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three further species at full proteome scale: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whose evidence and DOIs are listed in `PROTECTIVE_ANTIGENS.md`. The viral arm used rabies virus (species </w:t>
      </w:r>
      <w:r>
        <w:rPr>
          <w:b w:val="0"/>
          <w:i/>
          <w:sz w:val="24"/>
        </w:rPr>
        <w:t>Lyssavirus rabies</w:t>
      </w:r>
      <w:r>
        <w:rPr>
          <w:b w:val="0"/>
          <w:i w:val="0"/>
          <w:sz w:val="24"/>
        </w:rPr>
        <w:t>; NC_001542, glycoprotein G at NP_056796), vesicular stomatitis Indiana virus (</w:t>
      </w:r>
      <w:r>
        <w:rPr>
          <w:b w:val="0"/>
          <w:i/>
          <w:sz w:val="24"/>
        </w:rPr>
        <w:t>Vesiculovirus indiana</w:t>
      </w:r>
      <w:r>
        <w:rPr>
          <w:b w:val="0"/>
          <w:i w:val="0"/>
          <w:sz w:val="24"/>
        </w:rPr>
        <w:t>) and encephalomyocarditis virus (</w:t>
      </w:r>
      <w:r>
        <w:rPr>
          <w:b w:val="0"/>
          <w:i/>
          <w:sz w:val="24"/>
        </w:rPr>
        <w:t>Cardiovirus A</w:t>
      </w:r>
      <w:r>
        <w:rPr>
          <w:b w:val="0"/>
          <w:i w:val="0"/>
          <w:sz w:val="24"/>
        </w:rPr>
        <w:t>).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w:t>
            </w:r>
          </w:p>
        </w:tc>
        <w:tc>
          <w:tcPr>
            <w:tcW w:type="dxa" w:w="2160"/>
          </w:tcPr>
          <w:p>
            <w:pPr>
              <w:spacing w:line="240" w:lineRule="auto"/>
              <w:jc w:val="left"/>
            </w:pPr>
            <w:r/>
            <w:r>
              <w:rPr>
                <w:b w:val="0"/>
                <w:i w:val="0"/>
                <w:sz w:val="22"/>
              </w:rPr>
              <w:t>bacterial proteome + Gram</w:t>
            </w:r>
          </w:p>
        </w:tc>
        <w:tc>
          <w:tcPr>
            <w:tcW w:type="dxa" w:w="2160"/>
          </w:tcPr>
          <w:p>
            <w:pPr>
              <w:spacing w:line="240" w:lineRule="auto"/>
              <w:jc w:val="left"/>
            </w:pPr>
            <w:r/>
            <w:r>
              <w:rPr>
                <w:b w:val="0"/>
                <w:i w:val="0"/>
                <w:sz w:val="22"/>
              </w:rPr>
              <w:t>protein proteome</w:t>
            </w:r>
          </w:p>
        </w:tc>
      </w:tr>
      <w:tr>
        <w:tc>
          <w:tcPr>
            <w:tcW w:type="dxa" w:w="2160"/>
          </w:tcPr>
          <w:p>
            <w:pPr>
              <w:spacing w:line="240" w:lineRule="auto"/>
              <w:jc w:val="left"/>
            </w:pPr>
            <w:r/>
            <w:r>
              <w:rPr>
                <w:b w:val="0"/>
                <w:i w:val="0"/>
                <w:sz w:val="22"/>
              </w:rPr>
              <w:t>Applicable to viruses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limited</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Keeps virulence-database-negative antigens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epitopes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and T-cell epitope output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epitopes and construct</w:t>
            </w:r>
          </w:p>
        </w:tc>
        <w:tc>
          <w:tcPr>
            <w:tcW w:type="dxa" w:w="2160"/>
          </w:tcPr>
          <w:p>
            <w:pPr>
              <w:spacing w:line="240" w:lineRule="auto"/>
              <w:jc w:val="left"/>
            </w:pPr>
            <w:r/>
            <w:r>
              <w:rPr>
                <w:b w:val="0"/>
                <w:i w:val="0"/>
                <w:sz w:val="22"/>
              </w:rPr>
              <w:t>shortlist of candidate proteins</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two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Control experiments confirmed that the toxicity and allergenicity filters were not responsible, and all three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3).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i w:val="0"/>
          <w:sz w:val="24"/>
        </w:rPr>
        <w:t>Table 3.</w:t>
      </w:r>
      <w:r>
        <w:rPr>
          <w:b w:val="0"/>
          <w:i w:val="0"/>
          <w:sz w:val="24"/>
        </w:rPr>
        <w:t xml:space="preserve">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 xml:space="preserve">The viral arm was built to exercise this host-specific presentation. Using rabies virus (species </w:t>
      </w:r>
      <w:r>
        <w:rPr>
          <w:b w:val="0"/>
          <w:i/>
          <w:sz w:val="24"/>
        </w:rPr>
        <w:t>Lyssavirus rabies</w:t>
      </w:r>
      <w:r>
        <w:rPr>
          <w:b w:val="0"/>
          <w:i w:val="0"/>
          <w:sz w:val="24"/>
        </w:rPr>
        <w:t>;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5), so the choice of host materially changed the predicted repertoire. Two further four-host viruses reproduced the effect: vesicular stomatitis Indiana virus (</w:t>
      </w:r>
      <w:r>
        <w:rPr>
          <w:b w:val="0"/>
          <w:i/>
          <w:sz w:val="24"/>
        </w:rPr>
        <w:t>Vesiculovirus indiana</w:t>
      </w:r>
      <w:r>
        <w:rPr>
          <w:b w:val="0"/>
          <w:i w:val="0"/>
          <w:sz w:val="24"/>
        </w:rPr>
        <w:t>), a rhabdovirus relative of rabies virus, again placed glycoprotein G at rank 2 of 5 with human and pig overlap as low as 0.33, and encephalomyocarditis virus (</w:t>
      </w:r>
      <w:r>
        <w:rPr>
          <w:b w:val="0"/>
          <w:i/>
          <w:sz w:val="24"/>
        </w:rPr>
        <w:t>Cardiovirus A</w:t>
      </w:r>
      <w:r>
        <w:rPr>
          <w:b w:val="0"/>
          <w:i w:val="0"/>
          <w:sz w:val="24"/>
        </w:rPr>
        <w:t>)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i w:val="0"/>
          <w:sz w:val="24"/>
        </w:rPr>
        <w:t>Table 5.</w:t>
      </w:r>
      <w:r>
        <w:rPr>
          <w:b w:val="0"/>
          <w:i w:val="0"/>
          <w:sz w:val="24"/>
        </w:rPr>
        <w:t xml:space="preserve">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 (species)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 (Lyssavirus rabies)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Indiana virus (Vesiculovirus indiana)</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 (Cardiovirus A)</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spacing w:before="200"/>
      </w:pPr>
      <w:r>
        <w:rPr>
          <w:b/>
          <w:i w:val="0"/>
          <w:sz w:val="26"/>
        </w:rPr>
        <w:t>Discussion</w:t>
      </w:r>
    </w:p>
    <w:p>
      <w:r>
        <w:rPr>
          <w:b w:val="0"/>
          <w:i w:val="0"/>
          <w:sz w:val="24"/>
        </w:rPr>
        <w:t>VaxForge recovered known protective antigens as well as a strong independent predictor and added two capabilities that predictor does not have. Across four bacteria it found 14 of 15 validated antigens, against 15 of 15 for Vaxign-ML and 9 of 15 for NERVE 2.0, and it ranked them as high or higher. NERVE 2.0 fell short for a concrete reason: its hard selection step discarded genuine surface antigens that its own continuous score had rated highly, which raised fold enrichment while cutting recall. Fold enrichment can make a pipeline look sharper than it is, so recall over known antigens is the number to trust in this kind of benchmark.</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Figures</w:t>
      </w:r>
    </w:p>
    <w:p>
      <w:pPr>
        <w:jc w:val="center"/>
      </w:pPr>
      <w:r>
        <w:drawing>
          <wp:inline xmlns:a="http://schemas.openxmlformats.org/drawingml/2006/main" xmlns:pic="http://schemas.openxmlformats.org/drawingml/2006/picture">
            <wp:extent cx="5669280" cy="291563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1563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Antigen-by-tool recovery matrix for the four 4CMenB antigens; green cells mark recovered antigens with their rank and red cells mark antigens eliminated by the NERVE 2.0 selection step. Recall and candidate counts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pPr>
        <w:jc w:val="center"/>
      </w:pPr>
      <w:r>
        <w:drawing>
          <wp:inline xmlns:a="http://schemas.openxmlformats.org/drawingml/2006/main" xmlns:pic="http://schemas.openxmlformats.org/drawingml/2006/picture">
            <wp:extent cx="5669280" cy="3887506"/>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887506"/>
                    </a:xfrm>
                    <a:prstGeom prst="rect"/>
                  </pic:spPr>
                </pic:pic>
              </a:graphicData>
            </a:graphic>
          </wp:inline>
        </w:drawing>
      </w:r>
    </w:p>
    <w:p>
      <w:r>
        <w:rPr>
          <w:b/>
          <w:i w:val="0"/>
          <w:sz w:val="24"/>
        </w:rPr>
        <w:t>Figure 3.</w:t>
      </w:r>
      <w:r>
        <w:rPr>
          <w:b w:val="0"/>
          <w:i w:val="0"/>
          <w:sz w:val="24"/>
        </w:rPr>
        <w:t xml:space="preserve"> High fold enrichment tracks selectivity, not recall. Fold enrichment against recall for the three tools on the 204-protein set (filled circles) and the full proteome (open squares); the inset magnifies the full-recall cluster, where VaxForge and Vaxign-ML sit at moderate fold, and the dashed line marks the published NERVE 2.0 fold value of 16.6. NERVE 2.0 sits at high fold and low recall.</w:t>
      </w:r>
    </w:p>
    <w:p>
      <w:pPr>
        <w:jc w:val="center"/>
      </w:pPr>
      <w:r>
        <w:drawing>
          <wp:inline xmlns:a="http://schemas.openxmlformats.org/drawingml/2006/main" xmlns:pic="http://schemas.openxmlformats.org/drawingml/2006/picture">
            <wp:extent cx="5669280" cy="4829387"/>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829387"/>
                    </a:xfrm>
                    <a:prstGeom prst="rect"/>
                  </pic:spPr>
                </pic:pic>
              </a:graphicData>
            </a:graphic>
          </wp:inline>
        </w:drawing>
      </w:r>
    </w:p>
    <w:p>
      <w:r>
        <w:rPr>
          <w:b/>
          <w:i w:val="0"/>
          <w:sz w:val="24"/>
        </w:rPr>
        <w:t>Figure 4.</w:t>
      </w:r>
      <w:r>
        <w:rPr>
          <w:b w:val="0"/>
          <w:i w:val="0"/>
          <w:sz w:val="24"/>
        </w:rPr>
        <w:t xml:space="preserve"> Host selection reshapes the rabies glycoprotein G epitope repertoire. Pairwise Jaccard overlap of glycoprotein G class I epitopes across human, bovine, mouse and pig; values below one indicate that the predicted repertoire depends on the chosen host.</w:t>
      </w:r>
    </w:p>
    <w:p>
      <w:pPr>
        <w:jc w:val="center"/>
      </w:pPr>
      <w:r>
        <w:drawing>
          <wp:inline xmlns:a="http://schemas.openxmlformats.org/drawingml/2006/main" xmlns:pic="http://schemas.openxmlformats.org/drawingml/2006/picture">
            <wp:extent cx="5669280" cy="3180328"/>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180328"/>
                    </a:xfrm>
                    <a:prstGeom prst="rect"/>
                  </pic:spPr>
                </pic:pic>
              </a:graphicData>
            </a:graphic>
          </wp:inline>
        </w:drawing>
      </w:r>
    </w:p>
    <w:p>
      <w:r>
        <w:rPr>
          <w:b/>
          <w:i w:val="0"/>
          <w:sz w:val="24"/>
        </w:rPr>
        <w:t>Figure 5.</w:t>
      </w:r>
      <w:r>
        <w:rPr>
          <w:b w:val="0"/>
          <w:i w:val="0"/>
          <w:sz w:val="24"/>
        </w:rPr>
        <w:t xml:space="preserve"> The recall pattern generalises across three genome scales.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