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Bir kuduz modeli ve iki virüste VaxForge, türden türe belirgin biçimde değişen konak-özgü glikoprotein epitop repertuarları verdi (ikili Jaccard örtüşmesi birin altında, bir durumda sıfır); bu, karşılaştırılan araçların ulaşamadığı bir boyuttur.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dört bakteri ve üç virüste NERVE 2.0 ve Vaxign-ML'e karşı ölçüyor, ayrıca çalışma sırasında yakalayıp giderdiğimiz iki ölçek kaynaklı kusurun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üç tür daha eklendi: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kanıtı ve DOI'leri `PROTECTIVE_ANTIGENS.md`'de listelenen beşer koruyucu ya da aday antijenle. Virüs kolunda kuduz virüsü (tür </w:t>
      </w:r>
      <w:r>
        <w:rPr>
          <w:b w:val="0"/>
          <w:i/>
          <w:sz w:val="24"/>
        </w:rPr>
        <w:t>Lyssavirus rabies</w:t>
      </w:r>
      <w:r>
        <w:rPr>
          <w:b w:val="0"/>
          <w:i w:val="0"/>
          <w:sz w:val="24"/>
        </w:rPr>
        <w:t>; NC_001542; glikoprotein G, NP_056796), veziküler stomatit Indiana virüsü (</w:t>
      </w:r>
      <w:r>
        <w:rPr>
          <w:b w:val="0"/>
          <w:i/>
          <w:sz w:val="24"/>
        </w:rPr>
        <w:t>Vesiculovirus indiana</w:t>
      </w:r>
      <w:r>
        <w:rPr>
          <w:b w:val="0"/>
          <w:i w:val="0"/>
          <w:sz w:val="24"/>
        </w:rPr>
        <w:t>) ve ensefalomiyokardit virüsü (</w:t>
      </w:r>
      <w:r>
        <w:rPr>
          <w:b w:val="0"/>
          <w:i/>
          <w:sz w:val="24"/>
        </w:rPr>
        <w:t>Cardiovirus A</w:t>
      </w:r>
      <w:r>
        <w:rPr>
          <w:b w:val="0"/>
          <w:i w:val="0"/>
          <w:sz w:val="24"/>
        </w:rPr>
        <w:t>) kullanıldı.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veya genom</w:t>
            </w:r>
          </w:p>
        </w:tc>
        <w:tc>
          <w:tcPr>
            <w:tcW w:type="dxa" w:w="2160"/>
          </w:tcPr>
          <w:p>
            <w:pPr>
              <w:spacing w:line="240" w:lineRule="auto"/>
              <w:jc w:val="left"/>
            </w:pPr>
            <w:r/>
            <w:r>
              <w:rPr>
                <w:b w:val="0"/>
                <w:i w:val="0"/>
                <w:sz w:val="22"/>
              </w:rPr>
              <w:t>bakteriyel proteom + Gram</w:t>
            </w:r>
          </w:p>
        </w:tc>
        <w:tc>
          <w:tcPr>
            <w:tcW w:type="dxa" w:w="2160"/>
          </w:tcPr>
          <w:p>
            <w:pPr>
              <w:spacing w:line="240" w:lineRule="auto"/>
              <w:jc w:val="left"/>
            </w:pPr>
            <w:r/>
            <w:r>
              <w:rPr>
                <w:b w:val="0"/>
                <w:i w:val="0"/>
                <w:sz w:val="22"/>
              </w:rPr>
              <w:t>protein proteomu</w:t>
            </w:r>
          </w:p>
        </w:tc>
      </w:tr>
      <w:tr>
        <w:tc>
          <w:tcPr>
            <w:tcW w:type="dxa" w:w="2160"/>
          </w:tcPr>
          <w:p>
            <w:pPr>
              <w:spacing w:line="240" w:lineRule="auto"/>
              <w:jc w:val="left"/>
            </w:pPr>
            <w:r/>
            <w:r>
              <w:rPr>
                <w:b w:val="0"/>
                <w:i w:val="0"/>
                <w:sz w:val="22"/>
              </w:rPr>
              <w:t>Virüslere uygulanabilir</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sınırlı</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Virülans-veritabanı-negatif antijenleri korur</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epitopları</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 ve T-hücre epitop çıktısı</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konstrukt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epitop ve konstrukt</w:t>
            </w:r>
          </w:p>
        </w:tc>
        <w:tc>
          <w:tcPr>
            <w:tcW w:type="dxa" w:w="2160"/>
          </w:tcPr>
          <w:p>
            <w:pPr>
              <w:spacing w:line="240" w:lineRule="auto"/>
              <w:jc w:val="left"/>
            </w:pPr>
            <w:r/>
            <w:r>
              <w:rPr>
                <w:b w:val="0"/>
                <w:i w:val="0"/>
                <w:sz w:val="22"/>
              </w:rPr>
              <w:t>aday protein kısa listesi</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iki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Kontrol deneyleri toksisite ve alerjenite filtrelerinin suçsuz olduğunu doğruladı; düzeltmelerin ardından üç tür de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3).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5).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i w:val="0"/>
          <w:sz w:val="24"/>
        </w:rPr>
        <w:t>Tablo 3.</w:t>
      </w:r>
      <w:r>
        <w:rPr>
          <w:b w:val="0"/>
          <w:i w:val="0"/>
          <w:sz w:val="24"/>
        </w:rPr>
        <w:t xml:space="preserve">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 xml:space="preserve">Virüs kolunu bu konak-özgü sunumu sınamak için kurduk. Tek yapısal proteini olan glikoprotein G'nin nötralize edici ve koruyucu antikorları uyaran tek protein olduğu (Cox vd., 1977) kuduz virüsünde (tür </w:t>
      </w:r>
      <w:r>
        <w:rPr>
          <w:b w:val="0"/>
          <w:i/>
          <w:sz w:val="24"/>
        </w:rPr>
        <w:t>Lyssavirus rabies</w:t>
      </w:r>
      <w:r>
        <w:rPr>
          <w:b w:val="0"/>
          <w:i w:val="0"/>
          <w:sz w:val="24"/>
        </w:rPr>
        <w:t>; RefSeq NC_001542), VaxForge G'yi beş protein içinde ikinci sıraya koydu; daha da önemlisi dört doğal memeli konağın her biri için farklı bağlı-epitop setleri üretti (glikoprotein G: farede 8, insanda 7, sığırda 7, domuzda 5). Glikoprotein G epitoplarının ikili konak örtüşmesi birin belirgin altındaydı (Tablo 5); yani konak seçimi öngörülen repertuarı gözle görülür biçimde değiştirdi. İki ek dört-konaklı virüs bu etkiyi yineledi: kuduz virüsünün rabdovirüs akrabası veziküler stomatit Indiana virüsü (</w:t>
      </w:r>
      <w:r>
        <w:rPr>
          <w:b w:val="0"/>
          <w:i/>
          <w:sz w:val="24"/>
        </w:rPr>
        <w:t>Vesiculovirus indiana</w:t>
      </w:r>
      <w:r>
        <w:rPr>
          <w:b w:val="0"/>
          <w:i w:val="0"/>
          <w:sz w:val="24"/>
        </w:rPr>
        <w:t>) glikoprotein G'yi yine 5 içinde 2. sıraya koydu ve insan ile domuz örtüşmesi 0,33'e kadar indi; ensefalomiyokardit virüsü (</w:t>
      </w:r>
      <w:r>
        <w:rPr>
          <w:b w:val="0"/>
          <w:i/>
          <w:sz w:val="24"/>
        </w:rPr>
        <w:t>Cardiovirus A</w:t>
      </w:r>
      <w:r>
        <w:rPr>
          <w:b w:val="0"/>
          <w:i w:val="0"/>
          <w:sz w:val="24"/>
        </w:rPr>
        <w:t>) kapsid VP1'i 11 içinde 3. sıraya koydu ve sığır ile domuz arasında hiç ortak epitop çıkmadı. NERVE 2.0 yalnız bakteriler için çalışır, Vaxign-ML'de konak boyutu yoktur (kuduz glikoprotein G'yi konak ayrımı olmadan 5 içinde 4. sıraya koydu); dolayısıyla bu yetenek üç araç arasında yalnız VaxForge'da vardır. Kuduz tek koruyucu antijen sunduğundan buradaki sıra istatistiği çıkarımsal değil betimseldir (permütasyon p = 0,40, n = 1);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 (tür)</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 (Lyssavirus rabies)</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Indiana virüsü (Vesiculovirus indiana)</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 (Cardiovirus A)</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spacing w:before="200"/>
      </w:pPr>
      <w:r>
        <w:rPr>
          <w:b/>
          <w:i w:val="0"/>
          <w:sz w:val="26"/>
        </w:rPr>
        <w:t>Tartışma</w:t>
      </w:r>
    </w:p>
    <w:p>
      <w:r>
        <w:rPr>
          <w:b w:val="0"/>
          <w:i w:val="0"/>
          <w:sz w:val="24"/>
        </w:rPr>
        <w:t>VaxForge, bilinen koruyucu antijenleri geri getirmede güçlü bir bağımsız tahminci kadar başarılı oldu ve o tahmincinin sunmadığı iki yeteneği ekledi. Dört bakteride 15 doğrulanmış antijenin 14'ünü buldu; bu, Vaxign-ML için 15/15, NERVE 2.0 için 9/15'e karşılık gelir ve VaxForge antijenleri en az onlar kadar, çoğu yerde daha üst sıraya koydu. NERVE 2.0'ın eksiği belirli bir nedene dayanıyor: sert seçim adımı, kendi sürekli skorunun yüksek verdiği gerçek yüzey antijenlerini eledi; bu da fold-zenginleşmeyi şişirirken recall'ı kesti. Fold-zenginleşme bir hattı olduğundan keskin gösterebilir; bu yüzden bu tür karşılaştırmalarda güvenilecek sayı, bilinen antijenlerdeki recall'dır.</w:t>
      </w:r>
    </w:p>
    <w:p>
      <w:r>
        <w:rPr>
          <w:b w:val="0"/>
          <w:i w:val="0"/>
          <w:sz w:val="24"/>
        </w:rPr>
        <w:t>İki özellik VaxForge'u recall'ın ötesinde ayırır. Yumuşak virülans filtresi, virülans-veritabanı kaydı olmayan ruhsatlı bir bileşeni, Neisseria Heparin Bağlayıcı Antijeni, geri kazandı; konak-duyarlı epitop katmanı ise kuduz, veziküler stomatit ve ensefalomiyokardit virüsleri için türe özgü repertuarlar verdi. İkincisi, hedef konağın insan olmadığı geniş veteriner ve zoonotik alan için önemlidir; orada tek bir insan referansı hangi peptitlerin sunulduğunu yanlış gösterir. VaxForge ayrıca sıralamadan sonra konstrukt kurulumuna ve in silico immünizasyon çıktısına geçer; böylece elde bir liste değil, aday bir immünojen kalır.</w:t>
      </w:r>
    </w:p>
    <w:p>
      <w:r>
        <w:rPr>
          <w:b w:val="0"/>
          <w:i w:val="0"/>
          <w:sz w:val="24"/>
        </w:rPr>
        <w:t>Birkaç sınırlama bu iddiaları çerçeveler. ActA'yı VaxForge kaçırdı; bağımsız aracın da en dibe koyduğu gerçekten zor bir antijen olsa da, geri kazanımı lineer-epitop bir hattın modellemediği konformasyonel ya da bağlama-özgü sinyalleri gerektirir. Varsayılan toksisite filtresi, toksin antijenlerinden gelen peptitleri eleyebilir; bu, ölçek düzeltmelerinden önce por-açan listeriolizin O'da peptit-düzeyi recall'ını düşürmüştü ve karşılaştırma için ayarlamadığımız temkinli bir seçim olarak kalıyor. AUC değerlerini başlık değil, açık bir küçük-örneklem uyarısıyla ikincil olarak veriyoruz; çünkü patojen başına yalnız dört ila beş pozitifle farklar istatistiksel olarak ayrışmıyor, bu temelde üstün ayrım iddia etmiyoruz. Bakteriyel karşılaştırma bir ölçek asimetrisi de taşır: VaxForge'un tam-proteom meningokok koşuları bugünkü CPU-yalnız donanımda pratik değil, bu yüzden amiral meningokok karşılaştırması araçlar arası adil olan eşlenmiş alt-örneklem setlerini kullandı; tam proteom yalnız hızlı araçlarda koşulabildi. Son olarak, B-hücre epitoplarının kabaca onda dokuzu süreksizdir ve buradaki lineer konstrukt konformasyonel epitopları temsil etmez; bunu çözmek yerine bir kapsam sınırı olarak belirtiyoruz.</w:t>
      </w:r>
    </w:p>
    <w:p>
      <w:r>
        <w:rPr>
          <w:b w:val="0"/>
          <w:i w:val="0"/>
          <w:sz w:val="24"/>
        </w:rPr>
        <w:t>İki yön kendiliğinden çıkıyor. Bir GPU arka ucu, tam-proteom VaxForge koşularına ve her patojende tam ölçekli karşılaştırmaya olanak verir. Konak-özgü epitop tahminleri, özellikle viral glikoproteinlerde görülen türler-arası ayrışma, bağlanma ve immünizasyon deneyleriyle sınanabilecek somut hipotezlerdir. Hat ve karşılaştırması, bu iki genişlemenin de yeniden tasarım gerektirmeden mevcut çerçeveye oturacağı biçimde kurulmuştur.</w:t>
      </w:r>
    </w:p>
    <w:p>
      <w:pPr>
        <w:spacing w:before="200"/>
      </w:pPr>
      <w:r>
        <w:rPr>
          <w:b/>
          <w:i w:val="0"/>
          <w:sz w:val="26"/>
        </w:rPr>
        <w:t>Şekiller</w:t>
      </w:r>
    </w:p>
    <w:p>
      <w:pPr>
        <w:jc w:val="center"/>
      </w:pPr>
      <w:r>
        <w:drawing>
          <wp:inline xmlns:a="http://schemas.openxmlformats.org/drawingml/2006/main" xmlns:pic="http://schemas.openxmlformats.org/drawingml/2006/picture">
            <wp:extent cx="5669280" cy="291563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1563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Dört 4CMenB antijeni için antijen-araç geri getirme matrisi; yeşil hücreler bulunan antijenleri sıralarıyla, kırmızı hücreler NERVE 2.0 seçim adımınca elenenleri gösterir. Recall ve aday sayıları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pPr>
        <w:jc w:val="center"/>
      </w:pPr>
      <w:r>
        <w:drawing>
          <wp:inline xmlns:a="http://schemas.openxmlformats.org/drawingml/2006/main" xmlns:pic="http://schemas.openxmlformats.org/drawingml/2006/picture">
            <wp:extent cx="5669280" cy="3887506"/>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887506"/>
                    </a:xfrm>
                    <a:prstGeom prst="rect"/>
                  </pic:spPr>
                </pic:pic>
              </a:graphicData>
            </a:graphic>
          </wp:inline>
        </w:drawing>
      </w:r>
    </w:p>
    <w:p>
      <w:r>
        <w:rPr>
          <w:b/>
          <w:i w:val="0"/>
          <w:sz w:val="24"/>
        </w:rPr>
        <w:t>Şekil 3.</w:t>
      </w:r>
      <w:r>
        <w:rPr>
          <w:b w:val="0"/>
          <w:i w:val="0"/>
          <w:sz w:val="24"/>
        </w:rPr>
        <w:t xml:space="preserve"> Yüksek fold-zenginleşme recall'ı değil seçiciliği izler. Üç araç için 204-protein setinde (dolu daireler) ve tam proteomda (içi boş kareler) fold-zenginleşmeye karşı recall; inset tam-recall kümesini büyütür, burada VaxForge ve Vaxign-ML orta fold'da yer alır; kesikli çizgi yayınlanmış NERVE 2.0 fold değeri 16,6'yı gösterir. NERVE 2.0 yüksek fold ve düşük recall'dadır.</w:t>
      </w:r>
    </w:p>
    <w:p>
      <w:pPr>
        <w:jc w:val="center"/>
      </w:pPr>
      <w:r>
        <w:drawing>
          <wp:inline xmlns:a="http://schemas.openxmlformats.org/drawingml/2006/main" xmlns:pic="http://schemas.openxmlformats.org/drawingml/2006/picture">
            <wp:extent cx="5669280" cy="4829387"/>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829387"/>
                    </a:xfrm>
                    <a:prstGeom prst="rect"/>
                  </pic:spPr>
                </pic:pic>
              </a:graphicData>
            </a:graphic>
          </wp:inline>
        </w:drawing>
      </w:r>
    </w:p>
    <w:p>
      <w:r>
        <w:rPr>
          <w:b/>
          <w:i w:val="0"/>
          <w:sz w:val="24"/>
        </w:rPr>
        <w:t>Şekil 4.</w:t>
      </w:r>
      <w:r>
        <w:rPr>
          <w:b w:val="0"/>
          <w:i w:val="0"/>
          <w:sz w:val="24"/>
        </w:rPr>
        <w:t xml:space="preserve"> Konak seçimi kuduz glikoprotein G epitop repertuarını yeniden biçimlendirir. İnsan, sığır, fare ve domuz arasında glikoprotein G sınıf I epitoplarının ikili Jaccard örtüşmesi; birin altındaki değerler öngörülen repertuarın seçilen konağa bağlı olduğunu gösterir.</w:t>
      </w:r>
    </w:p>
    <w:p>
      <w:pPr>
        <w:jc w:val="center"/>
      </w:pPr>
      <w:r>
        <w:drawing>
          <wp:inline xmlns:a="http://schemas.openxmlformats.org/drawingml/2006/main" xmlns:pic="http://schemas.openxmlformats.org/drawingml/2006/picture">
            <wp:extent cx="5669280" cy="3180328"/>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180328"/>
                    </a:xfrm>
                    <a:prstGeom prst="rect"/>
                  </pic:spPr>
                </pic:pic>
              </a:graphicData>
            </a:graphic>
          </wp:inline>
        </w:drawing>
      </w:r>
    </w:p>
    <w:p>
      <w:r>
        <w:rPr>
          <w:b/>
          <w:i w:val="0"/>
          <w:sz w:val="24"/>
        </w:rPr>
        <w:t>Şekil 5.</w:t>
      </w:r>
      <w:r>
        <w:rPr>
          <w:b w:val="0"/>
          <w:i w:val="0"/>
          <w:sz w:val="24"/>
        </w:rPr>
        <w:t xml:space="preserve"> Recall kalıbı üç genom ölçeğinde de sürer.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