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On beş ruhsatlı ya da preklinik koruyucu antijenin ground-truth alındığı dört bakteriyel proteomda VaxForge 15 antijenin 14'ünü geri getirdi. Bu değer Vaxign-ML'inkiyle (15/15) yarışır ve NERVE 2.0'ın (9/15) belirgin önündedir; üstelik VaxForge koruyucu antijenleri daha üst sıralara koydu (örneğin demir-düzenlenen yüzey belirleyicisi B, 2.889 protein içinde 4. sırada). VaxForge'un kaçırdığı tek antijen olan ActA, bağımsız araçta da en dipte çıktı; yani bir yapaylık değil, gerçekten zor bir hedef. NERVE 2.0 daha yüksek fold-zenginleşmeye ulaştı, ama bunu dört ruhsatlı meningokok antijeninden üçünü her ölçekte eleyerek yaptı; dolayısıyla fold-zenginleşme tek başına yanıltıcıdır. Yedi aileye yayılan on virüste VaxForge, koruyucu ya da patentli antijeni sekizinde adayların üst çeyreğinde geri getirdi ve her durumda türden türe değişen konak-özgü epitop repertuarları verdi (ikili Jaccard örtüşmesi birin altında, bazı konak çiftlerinde sıfır); bu, karşılaştırılan araçların ulaşamadığı bir boyuttur. Antijen sıralamasında Vaxign-ML ile baş-başa sonuç dengeliydi (dörder galibiyet, iki beraberlik; NERVE 2.0 virüsleri işleyemiyor).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dört bakteri ve on virüste NERVE 2.0 ve Vaxign-ML'e karşı ölçüyor, ayrıca çalışma sırasında yakalayıp giderdiğimiz iki ölçek kaynaklı kusurun ve bir virüse-özgü antijen-filtresi kusurunun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üç tür daha eklendi: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kanıtı ve DOI'leri `PROTECTIVE_ANTIGENS.md`'de listelenen beşer koruyucu ya da aday antijenle. Virüs kolunda, dört memeli konağın da doğal olarak enfekte ettiği, yedi aileye yayılan on virüs kullanıldı: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Vadisi humması virüsü (NC_014397, glikoprotein Gn/Gc); Reoviridae'den memeli ortoreovirüsü (σ1 tutunma proteini); ve Poxviridae'den vaccinia (NC_006998, L1R) ve cowpox (NC_003663, L1R ortoloğu) virüsleri. Her ground-truth antijen koruyucu, ruhsatlı ya da patentli bir aşı hedefi taşır; patentler ve kanıt `PATENTED_VACCINES.md`'de listelidir. Poliprotein ve segmentli virüslerde olgun peptitler anote olduğu yerde çıkarıldı; iki ortopoksvirüste tek bir RefSeq referansı kullanıldı ve cowpox L1R'si vaccinia L1R'sine ortoloji ile belirlendi.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ardından seçenekli bir epitop-tahmin modülüyle insan HLA süpertipleri için lineer MHC-I/II bağlayıcılarını ve popülasyon kapsamını raporlayan (Conte vd., 2024)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tanımlandığı gibi verilmiştir (NERVE 2.0, Conte vd., 2024; Vaxign-ML, Ong vd.,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ya da ham genom (otomatik tanıma)</w:t>
            </w:r>
          </w:p>
        </w:tc>
        <w:tc>
          <w:tcPr>
            <w:tcW w:type="dxa" w:w="2160"/>
          </w:tcPr>
          <w:p>
            <w:pPr>
              <w:spacing w:line="240" w:lineRule="auto"/>
              <w:jc w:val="left"/>
            </w:pPr>
            <w:r/>
            <w:r>
              <w:rPr>
                <w:b w:val="0"/>
                <w:i w:val="0"/>
                <w:sz w:val="22"/>
              </w:rPr>
              <w:t>bakteriyel proteom + Gram tipi</w:t>
            </w:r>
          </w:p>
        </w:tc>
        <w:tc>
          <w:tcPr>
            <w:tcW w:type="dxa" w:w="2160"/>
          </w:tcPr>
          <w:p>
            <w:pPr>
              <w:spacing w:line="240" w:lineRule="auto"/>
              <w:jc w:val="left"/>
            </w:pPr>
            <w:r/>
            <w:r>
              <w:rPr>
                <w:b w:val="0"/>
                <w:i w:val="0"/>
                <w:sz w:val="22"/>
              </w:rPr>
              <w:t>bakteriyel protein proteomu</w:t>
            </w:r>
          </w:p>
        </w:tc>
      </w:tr>
      <w:tr>
        <w:tc>
          <w:tcPr>
            <w:tcW w:type="dxa" w:w="2160"/>
          </w:tcPr>
          <w:p>
            <w:pPr>
              <w:spacing w:line="240" w:lineRule="auto"/>
              <w:jc w:val="left"/>
            </w:pPr>
            <w:r/>
            <w:r>
              <w:rPr>
                <w:b w:val="0"/>
                <w:i w:val="0"/>
                <w:sz w:val="22"/>
              </w:rPr>
              <w:t>Desteklenen patojen</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 yayında tanımlı değil)</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 immünolojik katman</w:t>
            </w:r>
          </w:p>
        </w:tc>
        <w:tc>
          <w:tcPr>
            <w:tcW w:type="dxa" w:w="2160"/>
          </w:tcPr>
          <w:p>
            <w:pPr>
              <w:spacing w:line="240" w:lineRule="auto"/>
              <w:jc w:val="left"/>
            </w:pPr>
            <w:r/>
            <w:r>
              <w:rPr>
                <w:b w:val="0"/>
                <w:i w:val="0"/>
                <w:sz w:val="22"/>
              </w:rPr>
              <w:t>kural tabanlı modüler ortam + AI modülleri</w:t>
            </w:r>
          </w:p>
        </w:tc>
        <w:tc>
          <w:tcPr>
            <w:tcW w:type="dxa" w:w="2160"/>
          </w:tcPr>
          <w:p>
            <w:pPr>
              <w:spacing w:line="240" w:lineRule="auto"/>
              <w:jc w:val="left"/>
            </w:pPr>
            <w:r/>
            <w:r>
              <w:rPr>
                <w:b w:val="0"/>
                <w:i w:val="0"/>
                <w:sz w:val="22"/>
              </w:rPr>
              <w:t>denetimli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korujenite (protegenicity) skoru</w:t>
            </w:r>
          </w:p>
        </w:tc>
      </w:tr>
      <w:tr>
        <w:tc>
          <w:tcPr>
            <w:tcW w:type="dxa" w:w="2160"/>
          </w:tcPr>
          <w:p>
            <w:pPr>
              <w:spacing w:line="240" w:lineRule="auto"/>
              <w:jc w:val="left"/>
            </w:pPr>
            <w:r/>
            <w:r>
              <w:rPr>
                <w:b w:val="0"/>
                <w:i w:val="0"/>
                <w:sz w:val="22"/>
              </w:rPr>
              <w:t>Otoimmünite (konak-homoloji) elemesi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fare (seçenekli)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antijeni koruma</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 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işleme + immünojenite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 yalnız insan HLA; fare yalnız güvenlik)</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kapsamı</w:t>
            </w:r>
          </w:p>
        </w:tc>
        <w:tc>
          <w:tcPr>
            <w:tcW w:type="dxa" w:w="2160"/>
          </w:tcPr>
          <w:p>
            <w:pPr>
              <w:spacing w:line="240" w:lineRule="auto"/>
              <w:jc w:val="left"/>
            </w:pPr>
            <w:r/>
            <w:r>
              <w:rPr>
                <w:b w:val="0"/>
                <w:i w:val="0"/>
                <w:sz w:val="22"/>
              </w:rPr>
              <w:t>✓ insan HLA (diğer konak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(MEV) konstrukt</w:t>
            </w:r>
          </w:p>
        </w:tc>
        <w:tc>
          <w:tcPr>
            <w:tcW w:type="dxa" w:w="2160"/>
          </w:tcPr>
          <w:p>
            <w:pPr>
              <w:spacing w:line="240" w:lineRule="auto"/>
              <w:jc w:val="left"/>
            </w:pPr>
            <w:r/>
            <w:r>
              <w:rPr>
                <w:b w:val="0"/>
                <w:i w:val="0"/>
                <w:sz w:val="22"/>
              </w:rPr>
              <w:t>✓ linker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 konak-özgü epitop + konstrukt + immünizasyon</w:t>
            </w:r>
          </w:p>
        </w:tc>
        <w:tc>
          <w:tcPr>
            <w:tcW w:type="dxa" w:w="2160"/>
          </w:tcPr>
          <w:p>
            <w:pPr>
              <w:spacing w:line="240" w:lineRule="auto"/>
              <w:jc w:val="left"/>
            </w:pPr>
            <w:r/>
            <w:r>
              <w:rPr>
                <w:b w:val="0"/>
                <w:i w:val="0"/>
                <w:sz w:val="22"/>
              </w:rPr>
              <w:t>PVC kısa listesi + T-hücre epitop / popülasyon kapsamı</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iki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Kontrol deneyleri toksisite ve alerjenite filtrelerinin suçsuz olduğunu doğruladı; düzeltmelerin ardından üç tür de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r/>
    </w:p>
    <w:p>
      <w:r>
        <w:rPr>
          <w:b w:val="0"/>
          <w:i w:val="0"/>
          <w:sz w:val="24"/>
        </w:rPr>
        <w:t>[figür yüklenemedi: figures/fig1_antigen_recovery.png ([Errno 2] No such file or directory: 'figures/fig1_antigen_recovery.png')]</w:t>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r/>
    </w:p>
    <w:p>
      <w:r>
        <w:rPr>
          <w:b w:val="0"/>
          <w:i w:val="0"/>
          <w:sz w:val="24"/>
        </w:rPr>
        <w:t>[figür yüklenemedi: figures/fig2_recall_bar.png ([Errno 2] No such file or directory: 'figures/fig2_recall_bar.png')]</w:t>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r/>
    </w:p>
    <w:p>
      <w:r>
        <w:rPr>
          <w:b w:val="0"/>
          <w:i w:val="0"/>
          <w:sz w:val="24"/>
        </w:rPr>
        <w:t>[figür yüklenemedi: figures/fig3_fold_vs_recall.png ([Errno 2] No such file or directory: 'figures/fig3_fold_vs_recall.png')]</w:t>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genom ölçeğinden bağımsız ve bir doğrulama adımı sonuçları güvenilir kıldı.</w:t>
      </w:r>
      <w:r>
        <w:rPr>
          <w:b w:val="0"/>
          <w:i w:val="0"/>
          <w:sz w:val="24"/>
        </w:rPr>
        <w:t xml:space="preserve"> Tek örnekle sınırlı kalmamak için, artan genom boyutu ve Gram dengesine göre seçtiğimiz üç zoonotik bakteriyi tam proteom ölçeğinde koştuk (Tablo 3).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buldu; toplam 14/15 (Şekil 4). Vaxign-ML 15/15, NERVE 2.0 ise 9/15 bularak meningokoktakiyle aynı türden yüzey antijenlerini yine kaçırdı. Her iki aracın da tam recall'a ulaştığı iki türde VaxForge koruyucu antijenleri Vaxign-ML'den daha üste yerleştirdi. VaxForge'un tek kaybı olan </w:t>
      </w:r>
      <w:r>
        <w:rPr>
          <w:b w:val="0"/>
          <w:i/>
          <w:sz w:val="24"/>
        </w:rPr>
        <w:t>L. monocytogenes</w:t>
      </w:r>
      <w:r>
        <w:rPr>
          <w:b w:val="0"/>
          <w:i w:val="0"/>
          <w:sz w:val="24"/>
        </w:rPr>
        <w:t xml:space="preserve"> ActA'sı gerçekten zor bir antijendir; Vaxign-ML listesinde de en dipte çıktı, yani hedefin zorluğunu yansıtır, bir hat kusurunu değil. Bu koşular sırasında, ilk denemelerde VaxForge recall'ını yapay olarak düşüren iki ölçek kaynaklı kusuru saptayıp giderdik (ilk değerler 3/5, 3/5 ve 0/5); lokalizasyon ve MHC adımları tam-proteom ölçeğinde tek ve aşırı büyük bir yığın altında çöküyordu, ikisini de sınırlı ve paralel alt-yığınlara böldük (`MANUSCRIPT_METHODS.md`, bölüm B). Kontrol deneyleri toksisite ve alerjenite filtrelerinin suçsuz olduğunu doğruladı.</w:t>
      </w:r>
    </w:p>
    <w:p>
      <w:r>
        <w:rPr>
          <w:b/>
          <w:i w:val="0"/>
          <w:sz w:val="24"/>
        </w:rPr>
        <w:t>Tablo 3.</w:t>
      </w:r>
      <w:r>
        <w:rPr>
          <w:b w:val="0"/>
          <w:i w:val="0"/>
          <w:sz w:val="24"/>
        </w:rPr>
        <w:t xml:space="preserve"> Tam proteom ölçeğinde üç-bakteri karşılaştırması;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p>
    <w:p>
      <w:r>
        <w:rPr>
          <w:b w:val="0"/>
          <w:i w:val="0"/>
          <w:sz w:val="24"/>
        </w:rPr>
        <w:t>[figür yüklenemedi: figures/fig4_bacteria_panel.png ([Errno 2] No such file or directory: 'figures/fig4_bacteria_panel.png')]</w:t>
      </w:r>
    </w:p>
    <w:p>
      <w:r>
        <w:rPr>
          <w:b/>
          <w:i w:val="0"/>
          <w:sz w:val="24"/>
        </w:rPr>
        <w:t>Şekil 4.</w:t>
      </w:r>
      <w:r>
        <w:rPr>
          <w:b w:val="0"/>
          <w:i w:val="0"/>
          <w:sz w:val="24"/>
        </w:rPr>
        <w:t xml:space="preserve"> Recall kalıbı üç genom ölçeğinde de sürer.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antijendeki recall'ı, AUC ek notuyla; VaxForge toplam 14/15, Vaxign-ML 15/15 ve NERVE 2.0 9/15.</w:t>
      </w:r>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ve dört memeli konağın da doğal olarak enfekte ettiği, yedi aileye yayılan (Rhabdoviridae, Togaviridae, Flaviviridae, Phenuiviridae, Picornaviridae, Reoviridae, Poxviridae) on virüse genişlettik. Her virüste ground-truth, koruyucu, patentli ya da ruhsatlı aşı hedefini taşıyan proteindi (örneğin kuduz ve veziküler-stomatit glikoprotein G'si, alfavirüs E2'si, flavivirüs zarf E'si, bunyavirüs Gn/Gc'si, ortopoksvirüs L1R'si ve pikornavirüs kapsid VP1'i; patentler ve kanıt `PATENTED_VACCINES.md`'de). Viral zarf ve kapsid antijenleri aşının asıl hedefidir ama membrana gömülüdür; bakteriye göre ayarlanmış bir transmembran-sayısı filtresi onları eler. Bu yüzden söz konusu filtreyi virüs profilinde yumuşattık ve bir yüzey-maruziyet sinyali ekledik (Yöntemler). Bununla VaxForge, on virüsün sekizinde koruyucu antijeni adayların üst çeyreğinde geri getirdi; Getah, Rift Vadisi humması ve Japon ensefalitinde birinci, kuduz, veziküler stomatit ve Venezuela at ensefalitinde ikinci sıraya koydu (Tablo 5; Şekil 6). Vaxign-ML ile baş-başa sonuç karışıktı ve bunu dürüstçe bildiriyoruz: VaxForge dört virüste hedefi daha üste, Vaxign-ML dört virüste daha üste koydu, ikisi iki virüste berabere kaldı; yani hiçbir genel sıralayıcı viral antijenlerde baskın değil. VaxForge'un tek açık zayıflığı olan reovirüs σ1'in 11 içinde 9. sırası gizlenmedi, açıklandı: σ1 membran çapası olmayan bir fiber proteinidir, bu yüzden yüzey-maruziyet kredisi almaz; Vaxign-ML onu birinci koydu. Bu, viral sinyali membran topolojisine bağlamanın gerçek bir sınırıdır.</w:t>
      </w:r>
    </w:p>
    <w:p>
      <w:r>
        <w:rPr>
          <w:b w:val="0"/>
          <w:i w:val="0"/>
          <w:sz w:val="24"/>
        </w:rPr>
        <w:t>VaxForge'u her iki karşılaştırmalı araçtan ayıran özellik ise sıralama değil, konak boyutudur ve bu on virüsün hepsinde geçerliydi. Her virüste ground-truth-antijen epitop seti konak türüne göre farklıydı; ikili konak Jaccard örtüşmesi her durumda birin altında, birkaç virüste bazı konak çiftleri için hiç ortak epitop yok (Tablo 5; Şekil 7). NERVE 2.0 virüslerde koşamaz, Vaxign-ML tek bir konaksız protegenicity skoru döndürür (kuduz glikoprotein G'yi konak ayrımı olmadan 5 içinde 4. sıraya koydu); dolayısıyla bu konak-başına repertuar üç araç arasında yalnız VaxForge'da vardır. Her virüs tek koruyucu antijen sunduğundan sıra istatistiği çıkarımsal değil betimseldir;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gösterilmemiştir. Jaccard, ground-truth-antijen epitoplarının konak-çifti örtüşmesinin ortalaması (aralığı); birin altında olması konak seçiminin repertuarı değiştirdiğini gösterir.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Jaccard, ort.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Vadisi humması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zar)</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ortoloğu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r/>
    </w:p>
    <w:p>
      <w:r>
        <w:rPr>
          <w:b w:val="0"/>
          <w:i w:val="0"/>
          <w:sz w:val="24"/>
        </w:rPr>
        <w:t>[figür yüklenemedi: figures/fig6_virus_antigen_rank.png ([Errno 2] No such file or directory: 'figures/fig6_virus_antigen_rank.png')]</w:t>
      </w:r>
    </w:p>
    <w:p>
      <w:r>
        <w:rPr>
          <w:b/>
          <w:i w:val="0"/>
          <w:sz w:val="24"/>
        </w:rPr>
        <w:t>Şekil 6.</w:t>
      </w:r>
      <w:r>
        <w:rPr>
          <w:b w:val="0"/>
          <w:i w:val="0"/>
          <w:sz w:val="24"/>
        </w:rPr>
        <w:t xml:space="preserve"> On virüste koruyucu ya da patentli antijenin geri getirilmesi, VaxForge'a karşı Vaxign-ML. Her bar çifti bir virüstür; bar uzunluğu, ground-truth antijenin o aracın aday listesindeki sırasının yüzdelik konumudur (kısa = daha iyi), mutlak sıra etiketlidir. Noktalı çizgi üst çeyreği işaretler. NERVE 2.0 viral proteomları işleyemediği için yoktur. Hiçbir araç baskın değil: VaxForge dört virüste, Vaxign-ML dört virüste önde, ikisi iki virüste berabere.</w:t>
      </w:r>
    </w:p>
    <w:p>
      <w:r/>
    </w:p>
    <w:p>
      <w:r>
        <w:rPr>
          <w:b w:val="0"/>
          <w:i w:val="0"/>
          <w:sz w:val="24"/>
        </w:rPr>
        <w:t>[figür yüklenemedi: figures/fig7_virus_multihost.png ([Errno 2] No such file or directory: 'figures/fig7_virus_multihost.png')]</w:t>
      </w:r>
    </w:p>
    <w:p>
      <w:r>
        <w:rPr>
          <w:b/>
          <w:i w:val="0"/>
          <w:sz w:val="24"/>
        </w:rPr>
        <w:t>Şekil 7.</w:t>
      </w:r>
      <w:r>
        <w:rPr>
          <w:b w:val="0"/>
          <w:i w:val="0"/>
          <w:sz w:val="24"/>
        </w:rPr>
        <w:t xml:space="preserve"> Konak seçimi her virüste öngörülen epitop repertuarını yeniden biçimlendirir. Her satır bir virüstür; bar, ground-truth-antijen epitoplarının en düşük–en yüksek ikili konak Jaccard örtüşmesini kapsar, nokta ortalamadır. Bir değeri, iki konağın birebir aynı epitop setini paylaştığı anlamına gelir. Her virüs birin altındadır ve birkaçı en az bir konak çifti için sıfıra iner; yani bir konak için öngörülen epitoplar başka bir konağa aktarılmaz. Bu konak boyutu her iki karşılaştırmalı araçta da yoktur.</w:t>
      </w:r>
    </w:p>
    <w:p>
      <w:r/>
    </w:p>
    <w:p>
      <w:r>
        <w:rPr>
          <w:b w:val="0"/>
          <w:i w:val="0"/>
          <w:sz w:val="24"/>
        </w:rPr>
        <w:t>[figür yüklenemedi: figures/fig5_multihost_jaccard.png ([Errno 2] No such file or directory: 'figures/fig5_multihost_jaccard.png')]</w:t>
      </w:r>
    </w:p>
    <w:p>
      <w:r>
        <w:rPr>
          <w:b/>
          <w:i w:val="0"/>
          <w:sz w:val="24"/>
        </w:rPr>
        <w:t>Şekil 5.</w:t>
      </w:r>
      <w:r>
        <w:rPr>
          <w:b w:val="0"/>
          <w:i w:val="0"/>
          <w:sz w:val="24"/>
        </w:rPr>
        <w:t xml:space="preserve"> Konak seçimi kuduz glikoprotein G epitop repertuarını yeniden biçimlendirir (ikili gösterim).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dört bakteride VaxForge 14/15'e, Vaxign-ML 15/15'e, NERVE 2.0 9/15'e ulaştı. Bağımsız makine-öğrenmesi sınıflandırıcısının yüksek recall'ı, Ong vd.'nin (2020) Vaxign-ML için bildirdiği başarımla uyumludur; bu, recall tahminlerimizi tek-araca özgü bırakmak yerine güçlendirir.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On virüsün hepsi incelenen dört memeli konağı enfekte ettiğinden (Cox vd., 1977; Fooks vd., 2017), her biri için dürüst bir konak-başına repertuar hesaplayabildik; ground-truth-antijen epitop setleri her durumda türden türe farklıydı (ortalama ikili Jaccard 0,33-0,62, bazı konak çiftleri hiç ortak epitop paylaşmıyor). Pratik aşı yükünün çoğunu oluşturan veteriner ve zoonotik hedefler için (Fooks vd., 2017; Hampson vd., 2015), yalnız-insan bir epitop katmanı sunumu yanlış verir; dolayısıyla bu yetenek kozmetik değil, somut bir üstünlüktür. Yalnızca antijen sıralamasında ne VaxForge ne Vaxign-ML on virüs genelinde baskındı; bu, viral proteomlara uygulanan iki genel sıralayıcı için dürüst sonuçtur. VaxForge'un eklediği değer tekdüze daha yüksek bir sıra değil, konak boyutu ve sonraki konstrukttur.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