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On the meningococcal exemplar VaxForge recovered all four licensed 4CMenB antigens, matching Vaxign-ML, where NERVE 2.0 recovered only one. Across nine further zoonotic bacteria run at full proteome scale, spanning genome sizes from 2.0 to 5.5 Mb and forty-four protective antigens, VaxForge recovered 33, below the sequence-only classifier Vaxign-ML (43 of 44) but well ahead of NERVE 2.0 (13 of 44), while placing protective antigens at competitive or higher ranks (for example iron-regulated surface determinant B at rank 4 of 2,889 proteins). VaxForge matched Vaxign-ML on species whose protective antigens are secreted or surface-exposed and fell behind only on two species whose antigens are cytoplasmic proteins that moonlight on the cell surface, which its localisation filter removes by design, an interpretable trade-off rather than an artefact. NERVE 2.0 reached higher fold enrichment but only by discarding surface antigens under its hard selection cascade, returning none for four of the nine species, which shows that fold enrichment alone is misleading. Across ten viruses spanning seven families, VaxForge recovered the protective or patented antigen within the top quartile of candidates for eight, and resolved host-specific epitope repertoires that differed between species in every case (pairwise Jaccard overlap below one, and zero for some host pairs), a dimension the comparators cannot address; on antigen ranking the head-to-head against Vaxign-ML was balanced (four wins each and two ties, NERVE 2.0 being unable to process viruses).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ten bacteria and ten viruses, and we report a pipeline validation that surfaced and fixed three scale-dependent defects and a virus-specific antigen-filter defect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(Conte et al., 2024).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2;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generalises across nine bacteria and genome scale, with an honest limit on non-classical antigens.</w:t>
      </w:r>
      <w:r>
        <w:rPr>
          <w:b w:val="0"/>
          <w:i w:val="0"/>
          <w:sz w:val="24"/>
        </w:rPr>
        <w:t xml:space="preserve"> To move well beyond a single exemplar we ran nine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forty-four protective antigens of these nine species VaxForge recovered 33 (Figure 4), below the sequence-only classifier Vaxign-ML, which recovered 43, and well ahead of NERVE 2.0, which recovered 13. VaxForge reached 4 of 5 or 5 of 5 on seven of the nine species, including </w:t>
      </w:r>
      <w:r>
        <w:rPr>
          <w:b w:val="0"/>
          <w:i/>
          <w:sz w:val="24"/>
        </w:rPr>
        <w:t>Staphylococcus aureus</w:t>
      </w:r>
      <w:r>
        <w:rPr>
          <w:b w:val="0"/>
          <w:i w:val="0"/>
          <w:sz w:val="24"/>
        </w:rPr>
        <w:t xml:space="preserve"> (iron-regulated surface determinant B at rank 4 of 2,889), </w:t>
      </w:r>
      <w:r>
        <w:rPr>
          <w:b w:val="0"/>
          <w:i/>
          <w:sz w:val="24"/>
        </w:rPr>
        <w:t>Salmonella enterica</w:t>
      </w:r>
      <w:r>
        <w:rPr>
          <w:b w:val="0"/>
          <w:i w:val="0"/>
          <w:sz w:val="24"/>
        </w:rPr>
        <w:t xml:space="preserve"> serovar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and </w:t>
      </w:r>
      <w:r>
        <w:rPr>
          <w:b w:val="0"/>
          <w:i/>
          <w:sz w:val="24"/>
        </w:rPr>
        <w:t>Bacillus anthracis</w:t>
      </w:r>
      <w:r>
        <w:rPr>
          <w:b w:val="0"/>
          <w:i w:val="0"/>
          <w:sz w:val="24"/>
        </w:rPr>
        <w:t xml:space="preserve">, for which the anthrax protective antigen was among those recovered. NERVE 2.0 again discarded surface antigens under its hard selection cascade, returning none of the protective antigens for four of the nine species, even where, as on </w:t>
      </w:r>
      <w:r>
        <w:rPr>
          <w:b w:val="0"/>
          <w:i/>
          <w:sz w:val="24"/>
        </w:rPr>
        <w:t>B. suis</w:t>
      </w:r>
      <w:r>
        <w:rPr>
          <w:b w:val="0"/>
          <w:i w:val="0"/>
          <w:sz w:val="24"/>
        </w:rPr>
        <w:t xml:space="preserve"> and </w:t>
      </w:r>
      <w:r>
        <w:rPr>
          <w:b w:val="0"/>
          <w:i/>
          <w:sz w:val="24"/>
        </w:rPr>
        <w:t>B. anthracis</w:t>
      </w:r>
      <w:r>
        <w:rPr>
          <w:b w:val="0"/>
          <w:i w:val="0"/>
          <w:sz w:val="24"/>
        </w:rPr>
        <w:t>, it reached the highest fold enrichment of any tool.</w:t>
      </w:r>
    </w:p>
    <w:p>
      <w:r>
        <w:rPr>
          <w:b w:val="0"/>
          <w:i w:val="0"/>
          <w:sz w:val="24"/>
        </w:rPr>
        <w:t xml:space="preserve">The two species where VaxForge fell behind, </w:t>
      </w:r>
      <w:r>
        <w:rPr>
          <w:b w:val="0"/>
          <w:i/>
          <w:sz w:val="24"/>
        </w:rPr>
        <w:t>Coxiella burnetii</w:t>
      </w:r>
      <w:r>
        <w:rPr>
          <w:b w:val="0"/>
          <w:i w:val="0"/>
          <w:sz w:val="24"/>
        </w:rPr>
        <w:t xml:space="preserve"> (2 of 4) and </w:t>
      </w:r>
      <w:r>
        <w:rPr>
          <w:b w:val="0"/>
          <w:i/>
          <w:sz w:val="24"/>
        </w:rPr>
        <w:t>Streptococcus suis</w:t>
      </w:r>
      <w:r>
        <w:rPr>
          <w:b w:val="0"/>
          <w:i w:val="0"/>
          <w:sz w:val="24"/>
        </w:rPr>
        <w:t xml:space="preserve"> (1 of 5), expose a real and interpretable limit rather than a defect. The antigens it missed there, glyceraldehyde-3-phosphate dehydrogenase, enolase, 6-phosphogluconate dehydrogenase and the DnaJ and GroEL chaperones, are classically cytoplasmic proteins that moonlight on the cell surface. VaxForge removes them at its localisation hard filter by design, whereas Vaxign-ML, which scores sequence directly with no localisation gate, retains them. The behaviour is therefore a deliberate trade-off: the localisation filter suppresses cytoplasmic false positives at whole-proteome scale but also excludes non-classical surface antigens, and a user targeting a moonlighting antigen would relax that filter. On the species where both tools reached full recall VaxForge placed the protective antigens at competitive or higher ranks, and its single miss on </w:t>
      </w:r>
      <w:r>
        <w:rPr>
          <w:b w:val="0"/>
          <w:i/>
          <w:sz w:val="24"/>
        </w:rPr>
        <w:t>L. monocytogenes</w:t>
      </w:r>
      <w:r>
        <w:rPr>
          <w:b w:val="0"/>
          <w:i w:val="0"/>
          <w:sz w:val="24"/>
        </w:rPr>
        <w:t>, ActA, also ranked at the bottom of the Vaxign-ML list, so it reflects a hard target rather than a pipeline fault. During these full-proteome runs we identified and corrected three scale-dependent engineering defects that had artefactually lowered VaxForge recall in first-pass runs; the localisation and class I steps each collapsed under a single oversized batch, and at the largest scale the parallel class I workers could deadlock on a shared scratch directory, all three now repartitioned into bounded, isolated sub-batches (`MANUSCRIPT_METHODS.md`, section B). Control experiments confirmed that the toxicity and allergenicity filters were not responsible.</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species whose protective antigens are secreted or surface-exposed and falls behind only on </w:t>
      </w:r>
      <w:r>
        <w:rPr>
          <w:b w:val="0"/>
          <w:i/>
          <w:sz w:val="24"/>
        </w:rPr>
        <w:t>C. burnetii</w:t>
      </w:r>
      <w:r>
        <w:rPr>
          <w:b w:val="0"/>
          <w:i w:val="0"/>
          <w:sz w:val="24"/>
        </w:rPr>
        <w:t xml:space="preserve"> and </w:t>
      </w:r>
      <w:r>
        <w:rPr>
          <w:b w:val="0"/>
          <w:i/>
          <w:sz w:val="24"/>
        </w:rPr>
        <w:t>S. suis</w:t>
      </w:r>
      <w:r>
        <w:rPr>
          <w:b w:val="0"/>
          <w:i w:val="0"/>
          <w:sz w:val="24"/>
        </w:rPr>
        <w:t>, whose missed antigens are cytoplasmic moonlighting proteins that the localisation filter removes by design; NERVE 2.0 recovers none of the antigens for four species.</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w:t>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4),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i w:val="0"/>
          <w:sz w:val="24"/>
        </w:rPr>
        <w:t>Table 4.</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and we expanded it to ten viruses that all four mammalian hosts naturally infect, spanning seven families (Rhabdoviridae, Togaviridae, Flaviviridae, Phenuiviridae, Picornaviridae, Reoviridae and Poxviridae). For each virus the ground-truth antigen was the protein carrying the protective, patented or licensed vaccine target (for example the rabies and vesicular-stomatitis glycoprotein G, the alphavirus E2, the flavivirus envelope E, the bunyavirus Gn/Gc, the orthopoxvirus L1R and the picornavirus capsid VP1; patents and evidence in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recovered the protective antigen within the top quartile of candidates for eight of the ten viruses, placing it first for Getah, Rift Valley fever and Japanese encephalitis and second for rabies, vesicular stomatitis and Venezuelan equine encephalitis (Table 5; Figure 6). Against Vaxign-ML the head-to-head was mixed and honestly so: VaxForge ranked the target higher on four viruses, Vaxign-ML on four, and the two tied on two, confirming that neither general ranker dominates on viral antigens. The one clear VaxForge weakness, reovirus σ1 at rank 9 of 11, is explained rather than hidden: σ1 is a fibre protein with no membrane anchor, so it receives no surface-exposure credit, whereas Vaxign-ML placed it first; this is a genuine limitation of anchoring the viral signal on membrane topology.</w:t>
      </w:r>
    </w:p>
    <w:p>
      <w:r>
        <w:rPr>
          <w:b w:val="0"/>
          <w:i w:val="0"/>
          <w:sz w:val="24"/>
        </w:rPr>
        <w:t>The capability that separates VaxForge from both comparators, however, is not the ranking but the host dimension, and it held across all ten viruses. For every virus the ground-truth-antigen epitope set differed between host species, with pairwise host Jaccard overlap below one in every case and, for several viruses, host pairs that shared no epitopes at all (Table 5; Figure 7). NERVE 2.0 cannot run on viruses, and Vaxign-ML returns a single host-free protegenicity score (it ranked rabies glycoprotein G fourth of five with no host resolution), so this per-host repertoire is unique to VaxForge among the three. Because each virus presents a single protective antigen, the rank statistic is descriptive rather than inferential, and population-coverage data were reported as unavailable for non-human hosts rather than imputed.</w:t>
      </w:r>
    </w:p>
    <w:p>
      <w:r>
        <w:rPr>
          <w:b/>
          <w:i w:val="0"/>
          <w:sz w:val="24"/>
        </w:rPr>
        <w:t>Table 5.</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6.</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7.</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Figure 5.</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Discussion</w:t>
      </w:r>
    </w:p>
    <w:p>
      <w:r>
        <w:rPr>
          <w:b w:val="0"/>
          <w:i w:val="0"/>
          <w:sz w:val="24"/>
        </w:rPr>
        <w:t xml:space="preserve">Benchmarks of reverse vaccinology tools have usually reported enrichment or classifier accuracy on curated positive and negative sets (Goodswen et al., 2023). Our comparison adds a measure that is more decisive for a user: how many independently validated protective antigens each tool actually returns. On the licensed 4CMenB antigens (Pizza et al., 2000; Giuliani et al., 2006), VaxForge and Vaxign-ML recovered all four while NERVE 2.0 recovered one, and across nine further bacteria at full proteome scale VaxForge reached 33 of 44 against 43 of 44 for Vaxign-ML and 13 of 44 for NERVE 2.0. The high recall of the independent machine-learning classifier is in line with the performance Ong et al. (2020) reported for Vaxign-ML, which strengthens these recall estimates rather than leaving them tool-specific. VaxForge trailed Vaxign-ML on two species, </w:t>
      </w:r>
      <w:r>
        <w:rPr>
          <w:b w:val="0"/>
          <w:i/>
          <w:sz w:val="24"/>
        </w:rPr>
        <w:t>C. burnetii</w:t>
      </w:r>
      <w:r>
        <w:rPr>
          <w:b w:val="0"/>
          <w:i w:val="0"/>
          <w:sz w:val="24"/>
        </w:rPr>
        <w:t xml:space="preserve"> and </w:t>
      </w:r>
      <w:r>
        <w:rPr>
          <w:b w:val="0"/>
          <w:i/>
          <w:sz w:val="24"/>
        </w:rPr>
        <w:t>S. suis</w:t>
      </w:r>
      <w:r>
        <w:rPr>
          <w:b w:val="0"/>
          <w:i w:val="0"/>
          <w:sz w:val="24"/>
        </w:rPr>
        <w:t>, whose protective antigens are cytoplasmic moonlighting proteins that its localisation filter removes; this marks the practical boundary of a localisation-gated funnel and the point at which a user chasing a non-classical surface antigen would relax that gate. NERVE 2.0's shortfall traces to its hard selection cascade (Conte et al., 2024): antigens that its own score rated highly were removed by fixed localisation and adhesin cut-offs, which raised fold enrichment while lowering recall.</w:t>
      </w:r>
    </w:p>
    <w:p>
      <w:r>
        <w:rPr>
          <w:b w:val="0"/>
          <w:i w:val="0"/>
          <w:sz w:val="24"/>
        </w:rPr>
        <w:t>The clearest case is the Neisserial Heparin Binding Antigen, a licensed 4CMenB component that is not a classical virulence factor and is absent from curated virulence databases (Giuliani et al., 2006). Any pipeline that gates on a virulence-database hit loses it, whereas VaxForge's soft, score-weighted use of that evidence keeps it. This is consistent with a recurring caution in the reverse vaccinology methodology literature that rigid filters trade sensitivity for apparent specificity (Goodswen et al., 2023), and it argues for reporting recall over known antigens, not fold enrichment alone, when tools are compared.</w:t>
      </w:r>
    </w:p>
    <w:p>
      <w:r>
        <w:rPr>
          <w:b w:val="0"/>
          <w:i w:val="0"/>
          <w:sz w:val="24"/>
        </w:rPr>
        <w:t>The second distinguishing feature, host-specific epitope prediction, addresses a gap that bacterial-oriented tools leave open. NetMHCpan and NetMHCIIpan already support many non-human alleles (Reynisson et al., 2020), yet reverse vaccinology pipelines typically apply them against a single human reference. Because all ten viruses infect the four mammalian hosts examined (Cox et al., 1977; Fooks et al., 2017), we could compute an honest per-host repertoire for each, and the ground-truth-antigen epitope sets differed between species in every case (mean pairwise Jaccard 0.33 to 0.62, with some host pairs sharing no epitopes at all). For the veterinary and zoonotic targets that dominate the practical vaccine burden (Fooks et al., 2017; Hampson et al., 2015), a human-only epitope layer would misstate presentation, so this capability is a concrete advantage rather than a cosmetic one. On antigen ranking alone, neither VaxForge nor Vaxign-ML dominated across the ten viruses, which is the honest result for two general rankers applied to viral proteomes; the value VaxForge adds is the host dimension and the downstream construct rather than a uniformly higher rank. VaxForge also continues past ranking into construct assembly and an in silico immunisation readout, so its output is a candidate immunogen rather than a list.</w:t>
      </w:r>
    </w:p>
    <w:p>
      <w:r>
        <w:rPr>
          <w:b w:val="0"/>
          <w:i w:val="0"/>
          <w:sz w:val="24"/>
        </w:rPr>
        <w:t xml:space="preserve">Several limitations bound these claims. ActA of </w:t>
      </w:r>
      <w:r>
        <w:rPr>
          <w:b w:val="0"/>
          <w:i/>
          <w:sz w:val="24"/>
        </w:rPr>
        <w:t>L. monocytogenes</w:t>
      </w:r>
      <w:r>
        <w:rPr>
          <w:b w:val="0"/>
          <w:i w:val="0"/>
          <w:sz w:val="24"/>
        </w:rPr>
        <w:t xml:space="preserve"> was missed by VaxForge and also ranked last by the independent tool, so it is a genuinely difficult target rather than a pipeline fault; its recovery would need conformational or context-specific signals that a linear-epitope pipeline does not model, and most B-cell epitopes are in any case discontinuous (Michalik et al., 2016). The default toxicity filter can discard peptides from toxin antigens such as listeriolysin O, a conservative choice we did not tune for the benchmark. We report area-under-curve only as a secondary measure with an explicit small-sample caveat, because four to five positives per pathogen cannot resolve AUC differences, and we make no claim of superior discrimination on that basis. Finally, whole-proteome VaxForge runs are impractical on current CPU-only hardware, so the meningococcal comparison used matched subsamples that are fair across tools while full proteomes were run only for the faster comparators.</w:t>
      </w:r>
    </w:p>
    <w:p>
      <w:r>
        <w:rPr>
          <w:b w:val="0"/>
          <w:i w:val="0"/>
          <w:sz w:val="24"/>
        </w:rPr>
        <w:t>Two directions follow. A GPU backend would allow whole-proteome VaxForge runs and complete the head-to-head at full scale for every pathogen, and the cross-species divergence of the viral glycoprotein epitopes is a concrete hypothesis that binding and immunisation experiments could test. Both extensions fit the existing framework without redesign.</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