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Meningokok örneğinde VaxForge dört ruhsatlı 4CMenB antijeninin dördünü de geri getirerek Vaxign-ML'i yakaladı; NERVE 2.0 yalnız birini getirdi. Tam proteom ölçeğinde koşulan dokuz zoonotik bakteride daha, genom boyutları 2,0-5,5 Mb arası ve kırk dört koruyucu antijenle, VaxForge 33'ünü geri getirdi; yalnız-sekans sınıflandırıcı Vaxign-ML'in (43/44) altında ama NERVE 2.0'ın (13/44) belirgin önünde, üstelik koruyucu antijenleri rekabetçi ya da daha üst sıralara koyarak (örneğin demir-düzenlenen yüzey belirleyicisi B, 2.889 protein içinde 4. sırada). VaxForge, koruyucu antijenleri salgılanan ya da yüzeyde sunulan türlerde Vaxign-ML'i yakaladı ve yalnızca antijenleri hücre yüzeyinde "moonlighting" yapan sitoplazmik proteinler olan iki türde geride kaldı; bunları lokalizasyon filtresi tasarım gereği eler, yani bir yapaylık değil yorumlanabilir bir ödünleşmedir. NERVE 2.0 daha yüksek fold-zenginleşmeye ulaştı ama bunu yüzey antijenlerini sert seçim basamağıyla eleyerek yaptı ve dokuz türün dördünde hiçbirini döndürmedi; dolayısıyla fold-zenginleşme tek başına yanıltıcıdır. Yedi aileye yayılan on virüste VaxForge, koruyucu ya da patentli antijeni sekizinde adayların üst çeyreğinde geri getirdi ve her durumda türden türe değişen konak-özgü epitop repertuarları verdi (ikili Jaccard örtüşmesi birin altında, bazı konak çiftlerinde sıfır); bu, karşılaştırılan araçların ulaşamadığı bir boyuttur. Antijen sıralamasında Vaxign-ML ile baş-başa sonuç dengeliydi (dörder galibiyet, iki beraberlik; NERVE 2.0 virüsleri işleyemiyor).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on bakteri ve on virüste NERVE 2.0 ve Vaxign-ML'e karşı ölçüyor, ayrıca çalışma sırasında yakalayıp giderdiğimiz üç ölçek kaynaklı kusurun ve bir virüse-özgü antijen-filtresi kusurunun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dokuz tür daha eklendi. İlk üçü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beşer koruyucu ya da aday antijenle. Kalan altısı, dört memeli konağının da enfekte edebildiği, genom boyutu ve hücre biyolojisini kapsayacak biçimde seçilen zoonotik bakterilerdi: </w:t>
      </w:r>
      <w:r>
        <w:rPr>
          <w:b w:val="0"/>
          <w:i/>
          <w:sz w:val="24"/>
        </w:rPr>
        <w:t>Coxiella burnetii</w:t>
      </w:r>
      <w:r>
        <w:rPr>
          <w:b w:val="0"/>
          <w:i w:val="0"/>
          <w:sz w:val="24"/>
        </w:rPr>
        <w:t xml:space="preserve"> RSA 493 (UP000002671, 1.812 protein; zorunlu hücre-içi), </w:t>
      </w:r>
      <w:r>
        <w:rPr>
          <w:b w:val="0"/>
          <w:i/>
          <w:sz w:val="24"/>
        </w:rPr>
        <w:t>Streptococcus suis</w:t>
      </w:r>
      <w:r>
        <w:rPr>
          <w:b w:val="0"/>
          <w:i w:val="0"/>
          <w:sz w:val="24"/>
        </w:rPr>
        <w:t xml:space="preserve"> serotip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bir spiroket) ve </w:t>
      </w:r>
      <w:r>
        <w:rPr>
          <w:b w:val="0"/>
          <w:i/>
          <w:sz w:val="24"/>
        </w:rPr>
        <w:t>Bacillus anthracis</w:t>
      </w:r>
      <w:r>
        <w:rPr>
          <w:b w:val="0"/>
          <w:i w:val="0"/>
          <w:sz w:val="24"/>
        </w:rPr>
        <w:t xml:space="preserve"> Ames Ancestor (UP000000594, 5.493 protein; kromozom artı toksin ve kapsül antijenlerini taşıyan pXO1 ve pXO2 plazmitleri), her biri dört ya da beş koruyucu antijenle. Dokuz türün koruyucu antijenleri, kanıtı ve DOI'leriyle `PROTECTIVE_ANTIGENS.md`'de, aksesyonları `PATHOGEN_ACCESSIONS.md`'de listelidir. Virüs kolunda, dört memeli konağın da doğal olarak enfekte ettiği, yedi aileye yayılan on virüs kullanıldı: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Vadisi humması virüsü (NC_014397, glikoprotein Gn/Gc); Reoviridae'den memeli ortoreovirüsü (σ1 tutunma proteini); ve Poxviridae'den vaccinia (NC_006998, L1R) ve cowpox (NC_003663, L1R ortoloğu) virüsleri. Her ground-truth antijen koruyucu, ruhsatlı ya da patentli bir aşı hedefi taşır; patentler ve kanıt `PATENTED_VACCINES.md`'de listelidir. Poliprotein ve segmentli virüslerde olgun peptitler anote olduğu yerde çıkarıldı; iki ortopoksvirüste tek bir RefSeq referansı kullanıldı ve cowpox L1R'si vaccinia L1R'sine ortoloji ile belirlendi.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ardından seçenekli bir epitop-tahmin modülüyle insan HLA süpertipleri için lineer MHC-I/II bağlayıcılarını ve popülasyon kapsamını raporlayan (Conte vd., 2024)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tanımlandığı gibi verilmiştir (NERVE 2.0, Conte vd., 2024; Vaxign-ML, Ong vd.,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ya da ham genom (otomatik tanıma)</w:t>
            </w:r>
          </w:p>
        </w:tc>
        <w:tc>
          <w:tcPr>
            <w:tcW w:type="dxa" w:w="2160"/>
          </w:tcPr>
          <w:p>
            <w:pPr>
              <w:spacing w:line="240" w:lineRule="auto"/>
              <w:jc w:val="left"/>
            </w:pPr>
            <w:r/>
            <w:r>
              <w:rPr>
                <w:b w:val="0"/>
                <w:i w:val="0"/>
                <w:sz w:val="22"/>
              </w:rPr>
              <w:t>bakteriyel proteom + Gram tipi</w:t>
            </w:r>
          </w:p>
        </w:tc>
        <w:tc>
          <w:tcPr>
            <w:tcW w:type="dxa" w:w="2160"/>
          </w:tcPr>
          <w:p>
            <w:pPr>
              <w:spacing w:line="240" w:lineRule="auto"/>
              <w:jc w:val="left"/>
            </w:pPr>
            <w:r/>
            <w:r>
              <w:rPr>
                <w:b w:val="0"/>
                <w:i w:val="0"/>
                <w:sz w:val="22"/>
              </w:rPr>
              <w:t>bakteriyel protein proteomu</w:t>
            </w:r>
          </w:p>
        </w:tc>
      </w:tr>
      <w:tr>
        <w:tc>
          <w:tcPr>
            <w:tcW w:type="dxa" w:w="2160"/>
          </w:tcPr>
          <w:p>
            <w:pPr>
              <w:spacing w:line="240" w:lineRule="auto"/>
              <w:jc w:val="left"/>
            </w:pPr>
            <w:r/>
            <w:r>
              <w:rPr>
                <w:b w:val="0"/>
                <w:i w:val="0"/>
                <w:sz w:val="22"/>
              </w:rPr>
              <w:t>Desteklenen patojen</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 yayında tanımlı değil)</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 immünolojik katman</w:t>
            </w:r>
          </w:p>
        </w:tc>
        <w:tc>
          <w:tcPr>
            <w:tcW w:type="dxa" w:w="2160"/>
          </w:tcPr>
          <w:p>
            <w:pPr>
              <w:spacing w:line="240" w:lineRule="auto"/>
              <w:jc w:val="left"/>
            </w:pPr>
            <w:r/>
            <w:r>
              <w:rPr>
                <w:b w:val="0"/>
                <w:i w:val="0"/>
                <w:sz w:val="22"/>
              </w:rPr>
              <w:t>kural tabanlı modüler ortam + AI modülleri</w:t>
            </w:r>
          </w:p>
        </w:tc>
        <w:tc>
          <w:tcPr>
            <w:tcW w:type="dxa" w:w="2160"/>
          </w:tcPr>
          <w:p>
            <w:pPr>
              <w:spacing w:line="240" w:lineRule="auto"/>
              <w:jc w:val="left"/>
            </w:pPr>
            <w:r/>
            <w:r>
              <w:rPr>
                <w:b w:val="0"/>
                <w:i w:val="0"/>
                <w:sz w:val="22"/>
              </w:rPr>
              <w:t>denetimli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korujenite (protegenicity) skoru</w:t>
            </w:r>
          </w:p>
        </w:tc>
      </w:tr>
      <w:tr>
        <w:tc>
          <w:tcPr>
            <w:tcW w:type="dxa" w:w="2160"/>
          </w:tcPr>
          <w:p>
            <w:pPr>
              <w:spacing w:line="240" w:lineRule="auto"/>
              <w:jc w:val="left"/>
            </w:pPr>
            <w:r/>
            <w:r>
              <w:rPr>
                <w:b w:val="0"/>
                <w:i w:val="0"/>
                <w:sz w:val="22"/>
              </w:rPr>
              <w:t>Otoimmünite (konak-homoloji) elemesi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fare (seçenekli)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antijeni koruma</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 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işleme + immünojenite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 yalnız insan HLA; fare yalnız güvenlik)</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kapsamı</w:t>
            </w:r>
          </w:p>
        </w:tc>
        <w:tc>
          <w:tcPr>
            <w:tcW w:type="dxa" w:w="2160"/>
          </w:tcPr>
          <w:p>
            <w:pPr>
              <w:spacing w:line="240" w:lineRule="auto"/>
              <w:jc w:val="left"/>
            </w:pPr>
            <w:r/>
            <w:r>
              <w:rPr>
                <w:b w:val="0"/>
                <w:i w:val="0"/>
                <w:sz w:val="22"/>
              </w:rPr>
              <w:t>✓ insan HLA (diğer konak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(MEV) konstrukt</w:t>
            </w:r>
          </w:p>
        </w:tc>
        <w:tc>
          <w:tcPr>
            <w:tcW w:type="dxa" w:w="2160"/>
          </w:tcPr>
          <w:p>
            <w:pPr>
              <w:spacing w:line="240" w:lineRule="auto"/>
              <w:jc w:val="left"/>
            </w:pPr>
            <w:r/>
            <w:r>
              <w:rPr>
                <w:b w:val="0"/>
                <w:i w:val="0"/>
                <w:sz w:val="22"/>
              </w:rPr>
              <w:t>✓ linker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 konak-özgü epitop + konstrukt + immünizasyon</w:t>
            </w:r>
          </w:p>
        </w:tc>
        <w:tc>
          <w:tcPr>
            <w:tcW w:type="dxa" w:w="2160"/>
          </w:tcPr>
          <w:p>
            <w:pPr>
              <w:spacing w:line="240" w:lineRule="auto"/>
              <w:jc w:val="left"/>
            </w:pPr>
            <w:r/>
            <w:r>
              <w:rPr>
                <w:b w:val="0"/>
                <w:i w:val="0"/>
                <w:sz w:val="22"/>
              </w:rPr>
              <w:t>PVC kısa listesi + T-hücre epitop / popülasyon kapsamı</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üç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Üçüncü kusur yalnız en büyük proteomlarda ortaya çıktı: paralel sınıf I işçileri tek bir scratch dizinini paylaşıyordu, dolayısıyla eşzamanlı NetMHCpan örnekleri birbirinde kilitlenip bir koşuyu süresiz durdurabiliyordu; bu, her işçiye izole bir geçici dizin ve parça-başına sınırlı zaman aşımı verilerek çözüldü. Kontrol deneyleri toksisite ve alerjenite filtrelerinin suçsuz olduğunu doğruladı; düzeltmelerin ardından etkilenen türler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dört ruhsatlı meningokok antijeninin dördünü de bulur, NERVE 2.0 yalnız PorA'yı bulur. Her nokta, bir aracın bir antijen için sonucudur; renk aracı belirtir (lejant, sağ üst). Noktanın yanındaki sayı, o antijenin aracın aday listesindeki sırasıdır; yani baştan konumu (1 = ilk sırada; küçük sayı = daha iyi). "not recovered" (geri getirilmedi) sütunundaki çarpı, aracın hiç döndürmediği antijeni işaretler. Sıralar ve recall varsayılan parametrelerle özdeş girdi üzerinde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demek değildir. Her bar, bir aracın aday listesinde bilinen koruyucu antijenlerin fold-zenginleşmesidir; yani bilinen antijenlerin, adaylar arasında rastlantıya göre kaç kat daha yoğun olduğudur. Barın üstündeki etiket, o koşunun recall'ıdır: aracın toplam içinden gerçekten geri getirdiği bilinen antijen sayısı (4/4 = dördü de bulundu, 1/4 = yalnız biri). Kesikli çizgi yayınlanmış NERVE 2.0 fold değeri 16,6'yı gösterir. NERVE 2.0 en yüksek fold'a en düşük recall'la ulaşır.</w:t>
      </w:r>
    </w:p>
    <w:p>
      <w:r>
        <w:rPr>
          <w:b/>
          <w:i w:val="0"/>
          <w:sz w:val="24"/>
        </w:rPr>
        <w:t>Kalıp dokuz bakteri ve genom ölçeği boyunca sürüyor; klasik-olmayan antijenlerde dürüst bir sınırla.</w:t>
      </w:r>
      <w:r>
        <w:rPr>
          <w:b w:val="0"/>
          <w:i w:val="0"/>
          <w:sz w:val="24"/>
        </w:rPr>
        <w:t xml:space="preserve"> Tek örnekle sınırlı kalmamak için, dördü de memeli konağı doğal olarak enfekte eden dokuz zoonotik bakteriyi tam proteom ölçeğinde koştuk; genom boyutu 2,0-5,5 Mb arası değişen ve Gram tipi ile hücre biyolojisi dengeli seçilmiş bu set, zorunlu hücre-içi </w:t>
      </w:r>
      <w:r>
        <w:rPr>
          <w:b w:val="0"/>
          <w:i/>
          <w:sz w:val="24"/>
        </w:rPr>
        <w:t>Coxiella burnetii</w:t>
      </w:r>
      <w:r>
        <w:rPr>
          <w:b w:val="0"/>
          <w:i w:val="0"/>
          <w:sz w:val="24"/>
        </w:rPr>
        <w:t xml:space="preserve">'den spiroket </w:t>
      </w:r>
      <w:r>
        <w:rPr>
          <w:b w:val="0"/>
          <w:i/>
          <w:sz w:val="24"/>
        </w:rPr>
        <w:t>Leptospira interrogans</w:t>
      </w:r>
      <w:r>
        <w:rPr>
          <w:b w:val="0"/>
          <w:i w:val="0"/>
          <w:sz w:val="24"/>
        </w:rPr>
        <w:t xml:space="preserve">'a ve </w:t>
      </w:r>
      <w:r>
        <w:rPr>
          <w:b w:val="0"/>
          <w:i/>
          <w:sz w:val="24"/>
        </w:rPr>
        <w:t>Bacillus anthracis</w:t>
      </w:r>
      <w:r>
        <w:rPr>
          <w:b w:val="0"/>
          <w:i w:val="0"/>
          <w:sz w:val="24"/>
        </w:rPr>
        <w:t xml:space="preserve">'in plazmit-kodlu toksinlerine uzanır (Tablo 3). Bu dokuz türün kırk dört koruyucu antijeni arasından VaxForge 33'ünü geri getirdi (Şekil 4); yalnız-sekans sınıflandırıcı Vaxign-ML'in (43/44) altında, NERVE 2.0'ın (13/44) ise belirgin önünde. VaxForge dokuz türün yedisinde 4/5 ya da 5/5'e ulaştı; bunlar arasında </w:t>
      </w:r>
      <w:r>
        <w:rPr>
          <w:b w:val="0"/>
          <w:i/>
          <w:sz w:val="24"/>
        </w:rPr>
        <w:t>Staphylococcus aureus</w:t>
      </w:r>
      <w:r>
        <w:rPr>
          <w:b w:val="0"/>
          <w:i w:val="0"/>
          <w:sz w:val="24"/>
        </w:rPr>
        <w:t xml:space="preserve"> (demir-düzenlenen yüzey belirleyicisi B, 2.889 içinde 4. sırada), </w:t>
      </w:r>
      <w:r>
        <w:rPr>
          <w:b w:val="0"/>
          <w:i/>
          <w:sz w:val="24"/>
        </w:rPr>
        <w:t>Salmonella enterica</w:t>
      </w:r>
      <w:r>
        <w:rPr>
          <w:b w:val="0"/>
          <w:i w:val="0"/>
          <w:sz w:val="24"/>
        </w:rPr>
        <w:t xml:space="preserve"> serovar Typhimurium (5/5),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ve şarbonun koruyucu antijeninin geri getirildiği </w:t>
      </w:r>
      <w:r>
        <w:rPr>
          <w:b w:val="0"/>
          <w:i/>
          <w:sz w:val="24"/>
        </w:rPr>
        <w:t>Bacillus anthracis</w:t>
      </w:r>
      <w:r>
        <w:rPr>
          <w:b w:val="0"/>
          <w:i w:val="0"/>
          <w:sz w:val="24"/>
        </w:rPr>
        <w:t xml:space="preserve"> var. NERVE 2.0 sert seçim basamağıyla yüzey antijenlerini yine eledi ve dokuz türün dördünde koruyucu antijenlerin hiçbirini döndürmedi; üstelik </w:t>
      </w:r>
      <w:r>
        <w:rPr>
          <w:b w:val="0"/>
          <w:i/>
          <w:sz w:val="24"/>
        </w:rPr>
        <w:t>B. suis</w:t>
      </w:r>
      <w:r>
        <w:rPr>
          <w:b w:val="0"/>
          <w:i w:val="0"/>
          <w:sz w:val="24"/>
        </w:rPr>
        <w:t xml:space="preserve"> ve </w:t>
      </w:r>
      <w:r>
        <w:rPr>
          <w:b w:val="0"/>
          <w:i/>
          <w:sz w:val="24"/>
        </w:rPr>
        <w:t>B. anthracis</w:t>
      </w:r>
      <w:r>
        <w:rPr>
          <w:b w:val="0"/>
          <w:i w:val="0"/>
          <w:sz w:val="24"/>
        </w:rPr>
        <w:t>'te herhangi bir aracın en yüksek fold-zenginleşmesine ulaşmasına rağmen.</w:t>
      </w:r>
    </w:p>
    <w:p>
      <w:r>
        <w:rPr>
          <w:b w:val="0"/>
          <w:i w:val="0"/>
          <w:sz w:val="24"/>
        </w:rPr>
        <w:t xml:space="preserve">VaxForge'un geride kaldığı iki tür, </w:t>
      </w:r>
      <w:r>
        <w:rPr>
          <w:b w:val="0"/>
          <w:i/>
          <w:sz w:val="24"/>
        </w:rPr>
        <w:t>Coxiella burnetii</w:t>
      </w:r>
      <w:r>
        <w:rPr>
          <w:b w:val="0"/>
          <w:i w:val="0"/>
          <w:sz w:val="24"/>
        </w:rPr>
        <w:t xml:space="preserve"> (2/4) ve </w:t>
      </w:r>
      <w:r>
        <w:rPr>
          <w:b w:val="0"/>
          <w:i/>
          <w:sz w:val="24"/>
        </w:rPr>
        <w:t>Streptococcus suis</w:t>
      </w:r>
      <w:r>
        <w:rPr>
          <w:b w:val="0"/>
          <w:i w:val="0"/>
          <w:sz w:val="24"/>
        </w:rPr>
        <w:t xml:space="preserve"> (1/5), bir kusuru değil, gerçek ve yorumlanabilir bir sınırı açığa çıkarır. Orada kaçırdığı antijenler, gliseraldehit-3-fosfat dehidrogenaz, enolaz, 6-fosfoglukonat dehidrogenaz ile DnaJ ve GroEL şaperonları, klasik olarak sitoplazmik ama hücre yüzeyinde "moonlighting" yapan proteinlerdir. VaxForge bunları lokalizasyon sert filtresinde tasarım gereği eler; sekansı doğrudan skorlayan ve lokalizasyon kapısı olmayan Vaxign-ML ise tutar. Dolayısıyla bu davranış bir kusur değil, bilinçli bir ödünleşmedir: lokalizasyon filtresi tam-proteom ölçeğinde sitoplazmik yanlış-pozitifleri bastırır ama klasik-olmayan yüzey antijenlerini de dışlar; moonlighting bir antijeni hedefleyen kullanıcı bu filtreyi gevşetirdi. Her iki aracın tam recall'a ulaştığı türlerde VaxForge koruyucu antijenleri rekabetçi ya da daha üst sıralara koydu; tek kaybı olan </w:t>
      </w:r>
      <w:r>
        <w:rPr>
          <w:b w:val="0"/>
          <w:i/>
          <w:sz w:val="24"/>
        </w:rPr>
        <w:t>L. monocytogenes</w:t>
      </w:r>
      <w:r>
        <w:rPr>
          <w:b w:val="0"/>
          <w:i w:val="0"/>
          <w:sz w:val="24"/>
        </w:rPr>
        <w:t xml:space="preserve"> ActA'sı Vaxign-ML listesinde de en dipte çıktı, yani bir hat kusurunu değil, zor bir hedefi yansıtır. Bu tam-proteom koşuları sırasında, ilk denemelerde VaxForge recall'ını yapay olarak düşüren üç ölçek kaynaklı kusuru saptayıp giderdik; lokalizasyon ve sınıf I adımları tek ve aşırı büyük bir yığın altında çöküyordu ve en büyük ölçekte paralel sınıf I işçileri ortak bir scratch dizininde kilitlenebiliyordu, üçü de sınırlı ve izole alt-yığınlara bölündü (`MANUSCRIPT_METHODS.md`, bölüm B). Kontrol deneyleri toksisite ve alerjenite filtrelerinin suçsuz olduğunu doğruladı.</w:t>
      </w:r>
    </w:p>
    <w:p>
      <w:r>
        <w:rPr>
          <w:b/>
          <w:i w:val="0"/>
          <w:sz w:val="24"/>
        </w:rPr>
        <w:t>Tablo 3.</w:t>
      </w:r>
      <w:r>
        <w:rPr>
          <w:b w:val="0"/>
          <w:i w:val="0"/>
          <w:sz w:val="24"/>
        </w:rPr>
        <w:t xml:space="preserve"> Tam proteom ölçeğinde dokuz-bakteri karşılaştırması (varsayılan parametreler, özdeş girdi), genom boyutuna göre sıralı. Her tür dört ya da beş koruyucu antijen taşır.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 protein)</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Şekil 4.</w:t>
      </w:r>
      <w:r>
        <w:rPr>
          <w:b w:val="0"/>
          <w:i w:val="0"/>
          <w:sz w:val="24"/>
        </w:rPr>
        <w:t xml:space="preserve"> On bakteride tam proteom ölçeğinde recall kalıbı, genom boyutuna göre sıralı. Her aracın bilinen koruyucu antijenlerdeki recall'ı, türden türe antijen sayısı değiştiği için kesir olarak, her barın üstünde geri-getirilen/toplam sayısıyla gösterilir; meningokok örneği dokuz genelleme türünün yanında yer alır ve yıldız bu çalışmada eklenen altı zoonotik bakteriyi işaretler. VaxForge, koruyucu antijenleri salgılanan ya da yüzeyde sunulan türlerde Vaxign-ML'i yakalar ve yalnızca </w:t>
      </w:r>
      <w:r>
        <w:rPr>
          <w:b w:val="0"/>
          <w:i/>
          <w:sz w:val="24"/>
        </w:rPr>
        <w:t>C. burnetii</w:t>
      </w:r>
      <w:r>
        <w:rPr>
          <w:b w:val="0"/>
          <w:i w:val="0"/>
          <w:sz w:val="24"/>
        </w:rPr>
        <w:t xml:space="preserve"> ile </w:t>
      </w:r>
      <w:r>
        <w:rPr>
          <w:b w:val="0"/>
          <w:i/>
          <w:sz w:val="24"/>
        </w:rPr>
        <w:t>S. suis</w:t>
      </w:r>
      <w:r>
        <w:rPr>
          <w:b w:val="0"/>
          <w:i w:val="0"/>
          <w:sz w:val="24"/>
        </w:rPr>
        <w:t>'te geride kalır; bu ikisinde kaçırılan antijenler, lokalizasyon filtresinin tasarım gereği elediği sitoplazmik moonlighting proteinlerdir. NERVE 2.0 dört türde antijenlerin hiçbirini geri getirmez.</w:t>
      </w:r>
    </w:p>
    <w:p>
      <w:r>
        <w:rPr>
          <w:b/>
          <w:i w:val="0"/>
          <w:sz w:val="24"/>
        </w:rPr>
        <w:t>Tablo S1.</w:t>
      </w:r>
      <w:r>
        <w:rPr>
          <w:b w:val="0"/>
          <w:i w:val="0"/>
          <w:sz w:val="24"/>
        </w:rPr>
        <w:t xml:space="preserve"> Ground-truth koruyucu antijenler, türe göre; aksesyon, ruhsat durumu ve koruyucu/aday statüsünün doğrulanmış kanıtı (tam kanıt ve DOI'ler `PROTECTIVE_ANTIGENS.md`'de). Durum: </w:t>
      </w:r>
      <w:r>
        <w:rPr>
          <w:b w:val="0"/>
          <w:i/>
          <w:sz w:val="24"/>
        </w:rPr>
        <w:t>Ruhsatlı</w:t>
      </w:r>
      <w:r>
        <w:rPr>
          <w:b w:val="0"/>
          <w:i w:val="0"/>
          <w:sz w:val="24"/>
        </w:rPr>
        <w:t xml:space="preserve"> = onaylı insan aşısı bileşeni; </w:t>
      </w:r>
      <w:r>
        <w:rPr>
          <w:b w:val="0"/>
          <w:i/>
          <w:sz w:val="24"/>
        </w:rPr>
        <w:t>Vet-ruhsatlı suş</w:t>
      </w:r>
      <w:r>
        <w:rPr>
          <w:b w:val="0"/>
          <w:i w:val="0"/>
          <w:sz w:val="24"/>
        </w:rPr>
        <w:t xml:space="preserve"> = cinsin onaylı canlı/tam-hücre veteriner aşısı var ama buradaki subünit adaydır; </w:t>
      </w:r>
      <w:r>
        <w:rPr>
          <w:b w:val="0"/>
          <w:i/>
          <w:sz w:val="24"/>
        </w:rPr>
        <w:t>Klinik/Preklinik aday</w:t>
      </w:r>
      <w:r>
        <w:rPr>
          <w:b w:val="0"/>
          <w:i w:val="0"/>
          <w:sz w:val="24"/>
        </w:rPr>
        <w:t xml:space="preserve"> = deneysel koruyucu ya da immunodominant antijen.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Tür</w:t>
            </w:r>
          </w:p>
        </w:tc>
        <w:tc>
          <w:tcPr>
            <w:tcW w:type="dxa" w:w="1080"/>
          </w:tcPr>
          <w:p>
            <w:pPr>
              <w:spacing w:line="240" w:lineRule="auto"/>
              <w:jc w:val="left"/>
            </w:pPr>
            <w:r/>
            <w:r>
              <w:rPr>
                <w:b/>
                <w:i w:val="0"/>
                <w:sz w:val="22"/>
              </w:rPr>
              <w:t>Antijen (gen)</w:t>
            </w:r>
          </w:p>
        </w:tc>
        <w:tc>
          <w:tcPr>
            <w:tcW w:type="dxa" w:w="1080"/>
          </w:tcPr>
          <w:p>
            <w:pPr>
              <w:spacing w:line="240" w:lineRule="auto"/>
              <w:jc w:val="left"/>
            </w:pPr>
            <w:r/>
            <w:r>
              <w:rPr>
                <w:b/>
                <w:i w:val="0"/>
                <w:sz w:val="22"/>
              </w:rPr>
              <w:t>Aksesyon</w:t>
            </w:r>
          </w:p>
        </w:tc>
        <w:tc>
          <w:tcPr>
            <w:tcW w:type="dxa" w:w="1080"/>
          </w:tcPr>
          <w:p>
            <w:pPr>
              <w:spacing w:line="240" w:lineRule="auto"/>
              <w:jc w:val="left"/>
            </w:pPr>
            <w:r/>
            <w:r>
              <w:rPr>
                <w:b/>
                <w:i w:val="0"/>
                <w:sz w:val="22"/>
              </w:rPr>
              <w:t>Durum</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Kanıt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Ruhsatlı,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Ruhsatlı,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Klinik aday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Preklinik (CD8 koruma)</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Pasif-koruma adayı</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Preklinik (adoptif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İmmunodominant (zayıf)</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Suilysin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Enolase</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Preklinik (tam koruma)</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İmmunodominant / tanısal</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Klinik aday (BCG-ilişkili)</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Klinik aday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Aday / tanısal</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İmmunodominant / tanısal</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Ruhsatlı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Toksin bileşeni /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Preklinik (koruyucu ek)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(S-layer)</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w:t>
            </w:r>
          </w:p>
        </w:tc>
      </w:tr>
    </w:tbl>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Virüs kolunu bu konak-özgü sunumu sınamak için kurduk ve dört memeli konağın da doğal olarak enfekte ettiği, yedi aileye yayılan (Rhabdoviridae, Togaviridae, Flaviviridae, Phenuiviridae, Picornaviridae, Reoviridae, Poxviridae) on virüse genişlettik. Her virüste ground-truth, koruyucu, patentli ya da ruhsatlı aşı hedefini taşıyan proteindi (örneğin kuduz ve veziküler-stomatit glikoprotein G'si, alfavirüs E2'si, flavivirüs zarf E'si, bunyavirüs Gn/Gc'si, ortopoksvirüs L1R'si ve pikornavirüs kapsid VP1'i; patentler ve kanıt `PATENTED_VACCINES.md`'de). Viral zarf ve kapsid antijenleri aşının asıl hedefidir ama membrana gömülüdür; bakteriye göre ayarlanmış bir transmembran-sayısı filtresi onları eler. Bu yüzden söz konusu filtreyi virüs profilinde yumuşattık ve bir yüzey-maruziyet sinyali ekledik (Yöntemler). Bununla VaxForge, on virüsün sekizinde koruyucu antijeni adayların üst çeyreğinde geri getirdi; Getah, Rift Vadisi humması ve Japon ensefalitinde birinci, kuduz, veziküler stomatit ve Venezuela at ensefalitinde ikinci sıraya koydu (Tablo 5; Şekil 6). Vaxign-ML ile baş-başa sonuç karışıktı ve bunu dürüstçe bildiriyoruz: VaxForge dört virüste hedefi daha üste, Vaxign-ML dört virüste daha üste koydu, ikisi iki virüste berabere kaldı; yani hiçbir genel sıralayıcı viral antijenlerde baskın değil. VaxForge'un tek açık zayıflığı olan reovirüs σ1'in 11 içinde 9. sırası gizlenmedi, açıklandı: σ1 membran çapası olmayan bir fiber proteinidir, bu yüzden yüzey-maruziyet kredisi almaz; Vaxign-ML onu birinci koydu. Bu, viral sinyali membran topolojisine bağlamanın gerçek bir sınırıdır.</w:t>
      </w:r>
    </w:p>
    <w:p>
      <w:r>
        <w:rPr>
          <w:b w:val="0"/>
          <w:i w:val="0"/>
          <w:sz w:val="24"/>
        </w:rPr>
        <w:t>VaxForge'u her iki karşılaştırmalı araçtan ayıran özellik ise sıralama değil, konak boyutudur ve bu on virüsün hepsinde geçerliydi. Her virüste ground-truth-antijen epitop seti konak türüne göre farklıydı; ikili konak Jaccard örtüşmesi her durumda birin altında, birkaç virüste bazı konak çiftleri için hiç ortak epitop yok (Tablo 5; Şekil 7). NERVE 2.0 virüslerde koşamaz, Vaxign-ML tek bir konaksız protegenicity skoru döndürür (kuduz glikoprotein G'yi konak ayrımı olmadan 5 içinde 4. sıraya koydu); dolayısıyla bu konak-başına repertuar üç araç arasında yalnız VaxForge'da vardır. Her virüs tek koruyucu antijen sunduğundan sıra istatistiği çıkarımsal değil betimseldir;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gösterilmemiştir. Jaccard, ground-truth-antijen epitoplarının konak-çifti örtüşmesinin ortalaması (aralığı); birin altında olması konak seçiminin repertuarı değiştirdiğini gösterir.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Jaccard, ort.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Vadisi humması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zar)</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ortoloğu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Şekil 6.</w:t>
      </w:r>
      <w:r>
        <w:rPr>
          <w:b w:val="0"/>
          <w:i w:val="0"/>
          <w:sz w:val="24"/>
        </w:rPr>
        <w:t xml:space="preserve"> On virüste koruyucu ya da patentli antijenin geri getirilmesi, VaxForge'a karşı Vaxign-ML. Her bar çifti bir virüstür; bar uzunluğu, ground-truth antijenin o aracın aday listesindeki sırasının yüzdelik konumudur (kısa = daha iyi), mutlak sıra etiketlidir. Noktalı çizgi üst çeyreği işaretler. NERVE 2.0 viral proteomları işleyemediği için yoktur. Hiçbir araç baskın değil: VaxForge dört virüste, Vaxign-ML dört virüste önde, ikisi iki virüste berabere.</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Şekil 7.</w:t>
      </w:r>
      <w:r>
        <w:rPr>
          <w:b w:val="0"/>
          <w:i w:val="0"/>
          <w:sz w:val="24"/>
        </w:rPr>
        <w:t xml:space="preserve"> Konak seçimi her virüste öngörülen epitop repertuarını yeniden biçimlendirir. Her satır bir virüstür; bar, ground-truth-antijen epitoplarının en düşük–en yüksek ikili konak Jaccard örtüşmesini kapsar, nokta ortalamadır. Bir değeri, iki konağın birebir aynı epitop setini paylaştığı anlamına gelir. Her virüs birin altındadır ve birkaçı en az bir konak çifti için sıfıra iner; yani bir konak için öngörülen epitoplar başka bir konağa aktarılmaz. Bu konak boyutu her iki karşılaştırmalı araçta da yoktur.</w:t>
      </w:r>
    </w:p>
    <w:p>
      <w:pPr>
        <w:jc w:val="center"/>
      </w:pPr>
      <w:r>
        <w:drawing>
          <wp:inline xmlns:a="http://schemas.openxmlformats.org/drawingml/2006/main" xmlns:pic="http://schemas.openxmlformats.org/drawingml/2006/picture">
            <wp:extent cx="5669280" cy="3350029"/>
            <wp:docPr id="7" name="Picture 7"/>
            <wp:cNvGraphicFramePr>
              <a:graphicFrameLocks noChangeAspect="1"/>
            </wp:cNvGraphicFramePr>
            <a:graphic>
              <a:graphicData uri="http://schemas.openxmlformats.org/drawingml/2006/picture">
                <pic:pic>
                  <pic:nvPicPr>
                    <pic:cNvPr id="0" name="fig5_multihost_jaccard.png"/>
                    <pic:cNvPicPr/>
                  </pic:nvPicPr>
                  <pic:blipFill>
                    <a:blip r:embed="rId15"/>
                    <a:stretch>
                      <a:fillRect/>
                    </a:stretch>
                  </pic:blipFill>
                  <pic:spPr>
                    <a:xfrm>
                      <a:off x="0" y="0"/>
                      <a:ext cx="5669280" cy="3350029"/>
                    </a:xfrm>
                    <a:prstGeom prst="rect"/>
                  </pic:spPr>
                </pic:pic>
              </a:graphicData>
            </a:graphic>
          </wp:inline>
        </w:drawing>
      </w:r>
    </w:p>
    <w:p>
      <w:r>
        <w:rPr>
          <w:b/>
          <w:i w:val="0"/>
          <w:sz w:val="24"/>
        </w:rPr>
        <w:t>Şekil 5.</w:t>
      </w:r>
      <w:r>
        <w:rPr>
          <w:b w:val="0"/>
          <w:i w:val="0"/>
          <w:sz w:val="24"/>
        </w:rPr>
        <w:t xml:space="preserve"> Konak seçimi kuduz glikoprotein G epitop repertuarını yeniden biçimlendirir (ikili gösterim). Her bar bir konak çiftidir (örneğin insan–domuz) ve değeri, o iki konak için öngörülen glikoprotein G epitoplarının Jaccard örtüşmesidir: 1 iki konağın birebir aynı epitop setini paylaştığı, 0 ise hiç ortak epitop olmadığı anlamına gelir. Her çift birin altındadır; yani bir konak için öngörülen epitoplar başka bir konağa tam aktarılmaz ve konak seçimi öngörülen repertuarı değiştirir.</w:t>
      </w:r>
    </w:p>
    <w:p>
      <w:pPr>
        <w:spacing w:before="200"/>
      </w:pPr>
      <w:r>
        <w:rPr>
          <w:b/>
          <w:i w:val="0"/>
          <w:sz w:val="26"/>
        </w:rPr>
        <w:t>Tartışma</w:t>
      </w:r>
    </w:p>
    <w:p>
      <w:r>
        <w:rPr>
          <w:b w:val="0"/>
          <w:i w:val="0"/>
          <w:sz w:val="24"/>
        </w:rPr>
        <w:t xml:space="preserve">Ters aşı bilişimi araçlarının kıyasları çoğunlukla küratörlü pozitif ve negatif setlerde zenginleşme ya da sınıflandırıcı doğruluğu bildirir (Goodswen vd., 2023). Bizim karşılaştırmamız, bir kullanıcı için daha belirleyici bir ölçüt ekler: her aracın bağımsız olarak doğrulanmış kaç koruyucu antijeni gerçekten döndürdüğü. Ruhsatlı 4CMenB antijenlerinde (Pizza vd., 2000; Giuliani vd., 2006) VaxForge ve Vaxign-ML dördünü de, NERVE 2.0 ise yalnız birini geri getirdi; tam proteom ölçeğinde dokuz bakteri daha koşulduğunda VaxForge 33/44'e, Vaxign-ML 43/44'e, NERVE 2.0 13/44'e ulaştı. Bağımsız makine-öğrenmesi sınıflandırıcısının yüksek recall'ı, Ong vd.'nin (2020) Vaxign-ML için bildirdiği başarımla uyumludur; bu, recall tahminlerimizi tek-araca özgü bırakmak yerine güçlendirir. VaxForge iki türde, </w:t>
      </w:r>
      <w:r>
        <w:rPr>
          <w:b w:val="0"/>
          <w:i/>
          <w:sz w:val="24"/>
        </w:rPr>
        <w:t>C. burnetii</w:t>
      </w:r>
      <w:r>
        <w:rPr>
          <w:b w:val="0"/>
          <w:i w:val="0"/>
          <w:sz w:val="24"/>
        </w:rPr>
        <w:t xml:space="preserve"> ve </w:t>
      </w:r>
      <w:r>
        <w:rPr>
          <w:b w:val="0"/>
          <w:i/>
          <w:sz w:val="24"/>
        </w:rPr>
        <w:t>S. suis</w:t>
      </w:r>
      <w:r>
        <w:rPr>
          <w:b w:val="0"/>
          <w:i w:val="0"/>
          <w:sz w:val="24"/>
        </w:rPr>
        <w:t>, Vaxign-ML'in gerisinde kaldı; bu türlerin koruyucu antijenleri, lokalizasyon filtresinin elediği sitoplazmik moonlighting proteinlerdir. Bu, lokalizasyon-kapılı bir huninin pratik sınırını ve kullanıcının klasik-olmayan bir yüzey antijeni ararken o kapıyı gevşeteceği noktayı işaret eder. NERVE 2.0'ın eksiği sert seçim basamağından kaynaklanır (Conte vd., 2024): kendi skorunun yüksek verdiği antijenler sabit lokalizasyon ve adezin eşikleriyle elendi; bu, fold-zenginleşmeyi yükseltirken recall'ı düşürdü.</w:t>
      </w:r>
    </w:p>
    <w:p>
      <w:r>
        <w:rPr>
          <w:b w:val="0"/>
          <w:i w:val="0"/>
          <w:sz w:val="24"/>
        </w:rPr>
        <w:t>En açık örnek, klasik bir virülans faktörü olmayan ve küratörlü virülans veritabanlarında bulunmayan ruhsatlı bir 4CMenB bileşeni olan Neisseria Heparin Bağlayıcı Antijendir (Giuliani vd., 2006). Virülans-veritabanı isabetine kapı koyan her hat onu kaybeder; VaxForge ise bu kanıtı yumuşak ve puana-ağırlıklı biçimde kullandığı için korur. Bu, ters aşı bilişimi metodoloji literatüründe katı filtrelerin duyarlılığı görünürdeki özgüllük uğruna feda ettiği yönündeki yinelenen uyarıyla uyumludur (Goodswen vd., 2023) ve araçlar karşılaştırılırken tek başına fold-zenginleşme değil, bilinen antijenlerdeki recall'ın raporlanmasını gerektirir.</w:t>
      </w:r>
    </w:p>
    <w:p>
      <w:r>
        <w:rPr>
          <w:b w:val="0"/>
          <w:i w:val="0"/>
          <w:sz w:val="24"/>
        </w:rPr>
        <w:t>İkinci ayırt edici özellik, konak-özgü epitop tahmini, bakteri-odaklı araçların açık bıraktığı bir boşluğu kapatır. NetMHCpan ve NetMHCIIpan zaten pek çok insan-dışı alleli destekler (Reynisson vd., 2020); ancak ters aşı bilişimi hatları bunları çoğunlukla tek bir insan referansına uygular. On virüsün hepsi incelenen dört memeli konağı enfekte ettiğinden (Cox vd., 1977; Fooks vd., 2017), her biri için dürüst bir konak-başına repertuar hesaplayabildik; ground-truth-antijen epitop setleri her durumda türden türe farklıydı (ortalama ikili Jaccard 0,33-0,62, bazı konak çiftleri hiç ortak epitop paylaşmıyor). Pratik aşı yükünün çoğunu oluşturan veteriner ve zoonotik hedefler için (Fooks vd., 2017; Hampson vd., 2015), yalnız-insan bir epitop katmanı sunumu yanlış verir; dolayısıyla bu yetenek kozmetik değil, somut bir üstünlüktür. Yalnızca antijen sıralamasında ne VaxForge ne Vaxign-ML on virüs genelinde baskındı; bu, viral proteomlara uygulanan iki genel sıralayıcı için dürüst sonuçtur. VaxForge'un eklediği değer tekdüze daha yüksek bir sıra değil, konak boyutu ve sonraki konstrukttur. VaxForge ayrıca sıralamadan sonra konstrukt kurulumuna ve in silico immünizasyon çıktısına geçer; böylece çıktısı bir liste değil, aday bir immünojendir.</w:t>
      </w:r>
    </w:p>
    <w:p>
      <w:r>
        <w:rPr>
          <w:b w:val="0"/>
          <w:i w:val="0"/>
          <w:sz w:val="24"/>
        </w:rPr>
        <w:t xml:space="preserve">Birkaç sınırlama bu iddiaları çerçeveler. </w:t>
      </w:r>
      <w:r>
        <w:rPr>
          <w:b w:val="0"/>
          <w:i/>
          <w:sz w:val="24"/>
        </w:rPr>
        <w:t>L. monocytogenes</w:t>
      </w:r>
      <w:r>
        <w:rPr>
          <w:b w:val="0"/>
          <w:i w:val="0"/>
          <w:sz w:val="24"/>
        </w:rPr>
        <w:t xml:space="preserve"> ActA'sı VaxForge tarafından kaçırıldı ve bağımsız araçça da en dibe kondu; yani bir hat kusuru değil, gerçekten zor bir hedeftir. Geri kazanımı, lineer-epitop bir hattın modellemediği konformasyonel ya da bağlama-özgü sinyalleri gerektirir; zaten B-hücre epitoplarının çoğu süreksizdir (Michalik vd., 2016). Varsayılan toksisite filtresi, listeriolizin O gibi toksin antijenlerinden gelen peptitleri eleyebilir; bu, kıyas için ayarlamadığımız temkinli bir seçimdir. AUC'yi yalnız ikincil ölçüt olarak, açık bir küçük-örneklem uyarısıyla veriyoruz; çünkü patojen başına dört ila beş pozitif AUC farklarını ayrıştıramaz ve bu temelde üstün ayrım iddia etmiyoruz. Son olarak, tam-proteom VaxForge koşuları bugünkü CPU-yalnız donanımda pratik olmadığından meningokok karşılaştırması araçlar arası adil eşlenmiş alt-örneklemler kullandı; tam proteomlar yalnız hızlı araçlarda koşuldu.</w:t>
      </w:r>
    </w:p>
    <w:p>
      <w:r>
        <w:rPr>
          <w:b w:val="0"/>
          <w:i w:val="0"/>
          <w:sz w:val="24"/>
        </w:rPr>
        <w:t>İki yön öne çıkıyor. Bir GPU arka ucu, tam-proteom VaxForge koşularına ve her patojende tam ölçekli karşılaştırmaya olanak verir; viral glikoprotein epitoplarının türler-arası ayrışması ise bağlanma ve immünizasyon deneyleriyle sınanabilecek somut bir hipotezdir. İki genişleme de yeniden tasarım gerektirmeden mevcut çerçeveye oturur.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