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903E5" w14:textId="21733ACD" w:rsidR="00DD66BF" w:rsidRPr="00300DEF" w:rsidRDefault="00300DEF">
      <w:pPr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i/>
          <w:iCs/>
          <w:color w:val="595959" w:themeColor="text1" w:themeTint="A6"/>
        </w:rPr>
        <w:t>Impact Scales</w:t>
      </w:r>
    </w:p>
    <w:tbl>
      <w:tblPr>
        <w:tblStyle w:val="TableGrid1"/>
        <w:tblW w:w="14168" w:type="dxa"/>
        <w:tblLayout w:type="fixed"/>
        <w:tblLook w:val="04A0" w:firstRow="1" w:lastRow="0" w:firstColumn="1" w:lastColumn="0" w:noHBand="0" w:noVBand="1"/>
      </w:tblPr>
      <w:tblGrid>
        <w:gridCol w:w="1413"/>
        <w:gridCol w:w="1485"/>
        <w:gridCol w:w="2340"/>
        <w:gridCol w:w="2250"/>
        <w:gridCol w:w="2250"/>
        <w:gridCol w:w="2250"/>
        <w:gridCol w:w="2180"/>
      </w:tblGrid>
      <w:tr w:rsidR="00DD66BF" w:rsidRPr="00CF03A0" w14:paraId="108CA42E" w14:textId="77777777" w:rsidTr="00884472">
        <w:trPr>
          <w:trHeight w:val="372"/>
          <w:tblHeader/>
        </w:trPr>
        <w:tc>
          <w:tcPr>
            <w:tcW w:w="2898" w:type="dxa"/>
            <w:gridSpan w:val="2"/>
            <w:vMerge w:val="restart"/>
            <w:tcBorders>
              <w:right w:val="nil"/>
            </w:tcBorders>
            <w:shd w:val="clear" w:color="auto" w:fill="002060"/>
            <w:vAlign w:val="center"/>
          </w:tcPr>
          <w:p w14:paraId="44CECB73" w14:textId="77777777" w:rsidR="00DD66BF" w:rsidRPr="00CF03A0" w:rsidRDefault="00DD66BF" w:rsidP="00884472">
            <w:pPr>
              <w:jc w:val="center"/>
              <w:rPr>
                <w:b/>
                <w:sz w:val="16"/>
                <w:szCs w:val="16"/>
              </w:rPr>
            </w:pPr>
            <w:r w:rsidRPr="00CF03A0"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t>Impact Types</w:t>
            </w:r>
          </w:p>
        </w:tc>
        <w:tc>
          <w:tcPr>
            <w:tcW w:w="11270" w:type="dxa"/>
            <w:gridSpan w:val="5"/>
            <w:tcBorders>
              <w:left w:val="nil"/>
              <w:bottom w:val="single" w:sz="4" w:space="0" w:color="FFFFFF" w:themeColor="background1"/>
            </w:tcBorders>
            <w:shd w:val="clear" w:color="auto" w:fill="002060"/>
            <w:vAlign w:val="center"/>
          </w:tcPr>
          <w:p w14:paraId="4C5FC16F" w14:textId="77777777" w:rsidR="00DD66BF" w:rsidRPr="00CF03A0" w:rsidRDefault="00DD66BF" w:rsidP="00884472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F03A0"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t>Impact Severity</w:t>
            </w:r>
          </w:p>
        </w:tc>
      </w:tr>
      <w:tr w:rsidR="00DD66BF" w:rsidRPr="00CF03A0" w14:paraId="01BCFF8D" w14:textId="77777777" w:rsidTr="00884472">
        <w:trPr>
          <w:trHeight w:val="345"/>
          <w:tblHeader/>
        </w:trPr>
        <w:tc>
          <w:tcPr>
            <w:tcW w:w="2898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E833EEA" w14:textId="77777777" w:rsidR="00DD66BF" w:rsidRPr="00CF03A0" w:rsidRDefault="00DD66BF" w:rsidP="00884472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C119EC8" w14:textId="77777777" w:rsidR="00DD66BF" w:rsidRDefault="00DD66BF" w:rsidP="00884472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F03A0"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t>1 – Very Low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B05173B" w14:textId="77777777" w:rsidR="00DD66BF" w:rsidRPr="00CF03A0" w:rsidRDefault="00DD66BF" w:rsidP="00884472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F03A0"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t>2 – Low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D58EB3B" w14:textId="77777777" w:rsidR="00DD66BF" w:rsidRPr="00CF03A0" w:rsidRDefault="00DD66BF" w:rsidP="00884472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F03A0"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t>3 – Moderate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7450422" w14:textId="77777777" w:rsidR="00DD66BF" w:rsidRPr="00CF03A0" w:rsidRDefault="00DD66BF" w:rsidP="00884472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F03A0"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t>4 – High</w:t>
            </w:r>
          </w:p>
        </w:tc>
        <w:tc>
          <w:tcPr>
            <w:tcW w:w="218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3DBC740E" w14:textId="77777777" w:rsidR="00DD66BF" w:rsidRPr="00CF03A0" w:rsidRDefault="00DD66BF" w:rsidP="00884472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CF03A0"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t>5 – Very High</w:t>
            </w:r>
          </w:p>
        </w:tc>
      </w:tr>
      <w:tr w:rsidR="00DD66BF" w:rsidRPr="00197A3E" w14:paraId="3963CA69" w14:textId="77777777" w:rsidTr="004D3D78">
        <w:trPr>
          <w:trHeight w:val="1043"/>
        </w:trPr>
        <w:tc>
          <w:tcPr>
            <w:tcW w:w="1413" w:type="dxa"/>
            <w:vMerge w:val="restart"/>
            <w:shd w:val="clear" w:color="auto" w:fill="00B0F0"/>
            <w:vAlign w:val="center"/>
          </w:tcPr>
          <w:p w14:paraId="4AA47C1E" w14:textId="77777777" w:rsidR="00DD66BF" w:rsidRPr="004E6E3B" w:rsidRDefault="00DD66BF" w:rsidP="00884472">
            <w:pPr>
              <w:textAlignment w:val="bottom"/>
              <w:rPr>
                <w:b/>
                <w:color w:val="FFFFFF" w:themeColor="background1"/>
                <w:sz w:val="16"/>
                <w:szCs w:val="16"/>
              </w:rPr>
            </w:pPr>
            <w:r w:rsidRPr="004E6E3B">
              <w:rPr>
                <w:b/>
                <w:color w:val="FFFFFF" w:themeColor="background1"/>
                <w:sz w:val="16"/>
                <w:szCs w:val="16"/>
              </w:rPr>
              <w:t xml:space="preserve">Economic </w:t>
            </w:r>
          </w:p>
        </w:tc>
        <w:tc>
          <w:tcPr>
            <w:tcW w:w="1485" w:type="dxa"/>
            <w:vAlign w:val="center"/>
          </w:tcPr>
          <w:p w14:paraId="233A7813" w14:textId="77777777" w:rsidR="00DD66BF" w:rsidRPr="00197A3E" w:rsidRDefault="00DD66BF" w:rsidP="00884472">
            <w:pPr>
              <w:textAlignment w:val="bottom"/>
              <w:rPr>
                <w:color w:val="002060"/>
                <w:sz w:val="16"/>
                <w:szCs w:val="16"/>
              </w:rPr>
            </w:pP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>Expansions &amp; Investments</w:t>
            </w:r>
          </w:p>
        </w:tc>
        <w:tc>
          <w:tcPr>
            <w:tcW w:w="2340" w:type="dxa"/>
          </w:tcPr>
          <w:p w14:paraId="1B795E5C" w14:textId="45AD61DE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&lt;=X Million USD increase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in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approved budget </w:t>
            </w:r>
            <w:proofErr w:type="gramStart"/>
            <w:r>
              <w:rPr>
                <w:bCs/>
                <w:color w:val="002060"/>
                <w:kern w:val="24"/>
                <w:sz w:val="16"/>
                <w:szCs w:val="16"/>
              </w:rPr>
              <w:t>for  expansions</w:t>
            </w:r>
            <w:proofErr w:type="gramEnd"/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/ new projects</w:t>
            </w:r>
            <w:r w:rsidRPr="00197A3E" w:rsidDel="00AB0D5C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</w:tcPr>
          <w:p w14:paraId="3245D373" w14:textId="46911ED6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X Million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 w:rsidR="00E4687D">
              <w:rPr>
                <w:bCs/>
                <w:color w:val="002060"/>
                <w:kern w:val="24"/>
                <w:sz w:val="16"/>
                <w:szCs w:val="16"/>
              </w:rPr>
              <w:t>USD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and &lt;=Y Million increase in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approved budget for expansions / new projects</w:t>
            </w:r>
            <w:r w:rsidRPr="00197A3E" w:rsidDel="00AB0D5C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</w:tcPr>
          <w:p w14:paraId="5E1D52D4" w14:textId="13BD63AC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X Million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SAR and &lt;=Y Million increase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in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approved budget for expansions / new projects</w:t>
            </w:r>
            <w:r w:rsidRPr="00197A3E" w:rsidDel="00AB0D5C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</w:tcPr>
          <w:p w14:paraId="54E48E85" w14:textId="5F55633B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X Million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SAR and &lt;=Y Million increase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in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approved budget </w:t>
            </w:r>
            <w:proofErr w:type="gramStart"/>
            <w:r>
              <w:rPr>
                <w:bCs/>
                <w:color w:val="002060"/>
                <w:kern w:val="24"/>
                <w:sz w:val="16"/>
                <w:szCs w:val="16"/>
              </w:rPr>
              <w:t>for  expansions</w:t>
            </w:r>
            <w:proofErr w:type="gramEnd"/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/ new projects</w:t>
            </w:r>
            <w:r w:rsidRPr="00197A3E" w:rsidDel="00AB0D5C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2180" w:type="dxa"/>
          </w:tcPr>
          <w:p w14:paraId="2AC3ECE5" w14:textId="7081FBFF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X Million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SAR increase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in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approved budget for expansions / new projects</w:t>
            </w:r>
            <w:r w:rsidRPr="00197A3E" w:rsidDel="00AB0D5C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</w:p>
        </w:tc>
      </w:tr>
      <w:tr w:rsidR="00DD66BF" w:rsidRPr="00197A3E" w14:paraId="1CFB32EB" w14:textId="77777777" w:rsidTr="004D3D78">
        <w:trPr>
          <w:trHeight w:val="1565"/>
        </w:trPr>
        <w:tc>
          <w:tcPr>
            <w:tcW w:w="1413" w:type="dxa"/>
            <w:vMerge/>
            <w:shd w:val="clear" w:color="auto" w:fill="00B0F0"/>
            <w:vAlign w:val="center"/>
          </w:tcPr>
          <w:p w14:paraId="4458E0FB" w14:textId="77777777" w:rsidR="00DD66BF" w:rsidRPr="004E6E3B" w:rsidRDefault="00DD66BF" w:rsidP="00884472">
            <w:pPr>
              <w:textAlignment w:val="bottom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85" w:type="dxa"/>
            <w:vAlign w:val="center"/>
          </w:tcPr>
          <w:p w14:paraId="20BBD7ED" w14:textId="77777777" w:rsidR="00DD66BF" w:rsidRPr="00197A3E" w:rsidRDefault="00DD66BF" w:rsidP="00884472">
            <w:pPr>
              <w:textAlignment w:val="bottom"/>
              <w:rPr>
                <w:color w:val="002060"/>
                <w:sz w:val="16"/>
                <w:szCs w:val="16"/>
              </w:rPr>
            </w:pP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>Schedule</w:t>
            </w:r>
          </w:p>
        </w:tc>
        <w:tc>
          <w:tcPr>
            <w:tcW w:w="2340" w:type="dxa"/>
          </w:tcPr>
          <w:p w14:paraId="6157514C" w14:textId="77777777" w:rsidR="00DD66BF" w:rsidRPr="00197A3E" w:rsidRDefault="00DD66BF" w:rsidP="00884472">
            <w:pPr>
              <w:spacing w:before="120" w:after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Opportunity </w:t>
            </w:r>
            <w:proofErr w:type="gramStart"/>
            <w:r>
              <w:rPr>
                <w:bCs/>
                <w:color w:val="002060"/>
                <w:kern w:val="24"/>
                <w:sz w:val="16"/>
                <w:szCs w:val="16"/>
              </w:rPr>
              <w:t>loss</w:t>
            </w:r>
            <w:r w:rsidRPr="00C0638E">
              <w:rPr>
                <w:bCs/>
                <w:color w:val="002060"/>
                <w:kern w:val="24"/>
                <w:sz w:val="16"/>
                <w:szCs w:val="16"/>
                <w:vertAlign w:val="superscript"/>
              </w:rPr>
              <w:t>(</w:t>
            </w:r>
            <w:proofErr w:type="gramEnd"/>
            <w:r w:rsidRPr="00C0638E">
              <w:rPr>
                <w:bCs/>
                <w:color w:val="002060"/>
                <w:kern w:val="24"/>
                <w:sz w:val="16"/>
                <w:szCs w:val="16"/>
                <w:vertAlign w:val="superscript"/>
              </w:rPr>
              <w:t>1)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over a period of ½ month resulting from a delay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in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scheduled project launch</w:t>
            </w:r>
          </w:p>
          <w:p w14:paraId="6DD6C545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5% delay from targeted product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delivery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date during non-critical season</w:t>
            </w:r>
          </w:p>
        </w:tc>
        <w:tc>
          <w:tcPr>
            <w:tcW w:w="2250" w:type="dxa"/>
          </w:tcPr>
          <w:p w14:paraId="635AE126" w14:textId="77777777" w:rsidR="00DD66BF" w:rsidRPr="00197A3E" w:rsidRDefault="00DD66BF" w:rsidP="00884472">
            <w:pPr>
              <w:spacing w:before="120" w:after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Opportunity loss over a period of 1 months resulting from a delay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in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scheduled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project launch</w:t>
            </w:r>
          </w:p>
          <w:p w14:paraId="307C5D07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10% delay from targeted product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delivery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date during non-critical season</w:t>
            </w:r>
          </w:p>
        </w:tc>
        <w:tc>
          <w:tcPr>
            <w:tcW w:w="2250" w:type="dxa"/>
          </w:tcPr>
          <w:p w14:paraId="2E099070" w14:textId="77777777" w:rsidR="00DD66BF" w:rsidRPr="00197A3E" w:rsidRDefault="00DD66BF" w:rsidP="00884472">
            <w:pPr>
              <w:spacing w:before="120" w:after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Opportunity loss over a period of 2 months resulting from a delay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in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scheduled project launch</w:t>
            </w:r>
          </w:p>
          <w:p w14:paraId="3FF6E9AF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5% delay from targeted product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delivery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date during critical season</w:t>
            </w:r>
          </w:p>
        </w:tc>
        <w:tc>
          <w:tcPr>
            <w:tcW w:w="2250" w:type="dxa"/>
          </w:tcPr>
          <w:p w14:paraId="7E6FC5F9" w14:textId="77777777" w:rsidR="00DD66BF" w:rsidRPr="00197A3E" w:rsidRDefault="00DD66BF" w:rsidP="00884472">
            <w:pPr>
              <w:spacing w:before="120" w:after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Opportunity loss over a period of 3 months resulting from a delay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in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scheduled project launch</w:t>
            </w:r>
          </w:p>
          <w:p w14:paraId="210AD4C6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10% delay from targeted product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delivery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date during critical season</w:t>
            </w:r>
          </w:p>
        </w:tc>
        <w:tc>
          <w:tcPr>
            <w:tcW w:w="2180" w:type="dxa"/>
          </w:tcPr>
          <w:p w14:paraId="37917863" w14:textId="77777777" w:rsidR="00DD66BF" w:rsidRPr="00197A3E" w:rsidRDefault="00DD66BF" w:rsidP="00884472">
            <w:pPr>
              <w:spacing w:before="120" w:after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Opportunity loss over a period of 4 months resulting from a delay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in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scheduled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project launch </w:t>
            </w:r>
          </w:p>
          <w:p w14:paraId="62C43A3D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15% delay from targeted product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delivery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date during critical season</w:t>
            </w:r>
          </w:p>
        </w:tc>
      </w:tr>
      <w:tr w:rsidR="00DD66BF" w:rsidRPr="00197A3E" w14:paraId="57641A5F" w14:textId="77777777" w:rsidTr="004D3D78">
        <w:trPr>
          <w:trHeight w:val="800"/>
        </w:trPr>
        <w:tc>
          <w:tcPr>
            <w:tcW w:w="1413" w:type="dxa"/>
            <w:vMerge/>
            <w:shd w:val="clear" w:color="auto" w:fill="00B0F0"/>
            <w:vAlign w:val="center"/>
          </w:tcPr>
          <w:p w14:paraId="6BDD2567" w14:textId="77777777" w:rsidR="00DD66BF" w:rsidRPr="004E6E3B" w:rsidRDefault="00DD66BF" w:rsidP="00884472">
            <w:pPr>
              <w:textAlignment w:val="bottom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85" w:type="dxa"/>
            <w:vAlign w:val="center"/>
          </w:tcPr>
          <w:p w14:paraId="1DF0DDED" w14:textId="77777777" w:rsidR="00DD66BF" w:rsidRPr="00197A3E" w:rsidRDefault="00DD66BF" w:rsidP="00884472">
            <w:pPr>
              <w:rPr>
                <w:color w:val="002060"/>
                <w:sz w:val="16"/>
                <w:szCs w:val="16"/>
              </w:rPr>
            </w:pP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 xml:space="preserve">Capital and </w:t>
            </w: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>Operati</w:t>
            </w: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>ng</w:t>
            </w:r>
          </w:p>
          <w:p w14:paraId="3C7E8A2A" w14:textId="77777777" w:rsidR="00DD66BF" w:rsidRPr="00197A3E" w:rsidRDefault="00DD66BF" w:rsidP="00884472">
            <w:pPr>
              <w:textAlignment w:val="bottom"/>
              <w:rPr>
                <w:color w:val="002060"/>
                <w:sz w:val="16"/>
                <w:szCs w:val="16"/>
              </w:rPr>
            </w:pP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>Budget Overrun</w:t>
            </w:r>
          </w:p>
        </w:tc>
        <w:tc>
          <w:tcPr>
            <w:tcW w:w="2340" w:type="dxa"/>
            <w:vAlign w:val="center"/>
          </w:tcPr>
          <w:p w14:paraId="5D874885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Less than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1% Change in planned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capital and o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perati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ng budget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overrun</w:t>
            </w:r>
          </w:p>
        </w:tc>
        <w:tc>
          <w:tcPr>
            <w:tcW w:w="2250" w:type="dxa"/>
            <w:vAlign w:val="center"/>
          </w:tcPr>
          <w:p w14:paraId="29F5F94C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1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&lt;=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3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% change in planned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capital and o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perati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ng budget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overrun</w:t>
            </w:r>
          </w:p>
        </w:tc>
        <w:tc>
          <w:tcPr>
            <w:tcW w:w="2250" w:type="dxa"/>
            <w:vAlign w:val="center"/>
          </w:tcPr>
          <w:p w14:paraId="5C69B06D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3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&lt;=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5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% change in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planned capital and o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perati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ng budget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overrun</w:t>
            </w:r>
          </w:p>
        </w:tc>
        <w:tc>
          <w:tcPr>
            <w:tcW w:w="2250" w:type="dxa"/>
            <w:vAlign w:val="center"/>
          </w:tcPr>
          <w:p w14:paraId="5DA21AF1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5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 &lt;=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10% change in planned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capital and o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perati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ng budget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overrun</w:t>
            </w:r>
          </w:p>
        </w:tc>
        <w:tc>
          <w:tcPr>
            <w:tcW w:w="2180" w:type="dxa"/>
            <w:vAlign w:val="center"/>
          </w:tcPr>
          <w:p w14:paraId="2EF0651F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&gt;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10% change or more in planned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capital and o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perati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ng budget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overrun</w:t>
            </w:r>
          </w:p>
        </w:tc>
      </w:tr>
      <w:tr w:rsidR="00DD66BF" w:rsidRPr="00197A3E" w14:paraId="35BCF39C" w14:textId="77777777" w:rsidTr="004D3D78">
        <w:trPr>
          <w:trHeight w:val="728"/>
        </w:trPr>
        <w:tc>
          <w:tcPr>
            <w:tcW w:w="1413" w:type="dxa"/>
            <w:vMerge/>
            <w:shd w:val="clear" w:color="auto" w:fill="00B0F0"/>
            <w:vAlign w:val="center"/>
          </w:tcPr>
          <w:p w14:paraId="36548C9F" w14:textId="77777777" w:rsidR="00DD66BF" w:rsidRPr="004E6E3B" w:rsidRDefault="00DD66BF" w:rsidP="00884472">
            <w:pPr>
              <w:textAlignment w:val="bottom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85" w:type="dxa"/>
            <w:vAlign w:val="center"/>
          </w:tcPr>
          <w:p w14:paraId="64A38EFE" w14:textId="77777777" w:rsidR="00DD66BF" w:rsidRPr="00197A3E" w:rsidRDefault="00DD66BF" w:rsidP="00884472">
            <w:pPr>
              <w:textAlignment w:val="bottom"/>
              <w:rPr>
                <w:color w:val="002060"/>
                <w:sz w:val="16"/>
                <w:szCs w:val="16"/>
              </w:rPr>
            </w:pP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>Production V</w:t>
            </w: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>olumes</w:t>
            </w:r>
          </w:p>
        </w:tc>
        <w:tc>
          <w:tcPr>
            <w:tcW w:w="2340" w:type="dxa"/>
            <w:vAlign w:val="center"/>
          </w:tcPr>
          <w:p w14:paraId="71B1A14E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Less than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1% Change in annual production or reserves requirements</w:t>
            </w:r>
          </w:p>
        </w:tc>
        <w:tc>
          <w:tcPr>
            <w:tcW w:w="2250" w:type="dxa"/>
            <w:vAlign w:val="center"/>
          </w:tcPr>
          <w:p w14:paraId="468610EA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&gt;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1%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&lt;=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3% change in annual production or reserves requirements</w:t>
            </w:r>
          </w:p>
        </w:tc>
        <w:tc>
          <w:tcPr>
            <w:tcW w:w="2250" w:type="dxa"/>
            <w:vAlign w:val="center"/>
          </w:tcPr>
          <w:p w14:paraId="2043CA49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&gt;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3%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 &lt;=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5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% change in annual production or reserves requirements</w:t>
            </w:r>
          </w:p>
        </w:tc>
        <w:tc>
          <w:tcPr>
            <w:tcW w:w="2250" w:type="dxa"/>
            <w:vAlign w:val="center"/>
          </w:tcPr>
          <w:p w14:paraId="63B40DDC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5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&lt;=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10% change in annual production or reserves requirements</w:t>
            </w:r>
          </w:p>
        </w:tc>
        <w:tc>
          <w:tcPr>
            <w:tcW w:w="2180" w:type="dxa"/>
            <w:vAlign w:val="center"/>
          </w:tcPr>
          <w:p w14:paraId="0D84ABBC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&gt;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10% change or more in annual production or reserves requirements</w:t>
            </w:r>
          </w:p>
        </w:tc>
      </w:tr>
      <w:tr w:rsidR="00DD66BF" w:rsidRPr="00197A3E" w14:paraId="7DE8B8F5" w14:textId="77777777" w:rsidTr="004D3D78">
        <w:trPr>
          <w:trHeight w:val="728"/>
        </w:trPr>
        <w:tc>
          <w:tcPr>
            <w:tcW w:w="1413" w:type="dxa"/>
            <w:vMerge/>
            <w:shd w:val="clear" w:color="auto" w:fill="00B0F0"/>
            <w:vAlign w:val="center"/>
          </w:tcPr>
          <w:p w14:paraId="2CDA76DF" w14:textId="77777777" w:rsidR="00DD66BF" w:rsidRPr="004E6E3B" w:rsidRDefault="00DD66BF" w:rsidP="00884472">
            <w:pPr>
              <w:textAlignment w:val="bottom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85" w:type="dxa"/>
            <w:vAlign w:val="center"/>
          </w:tcPr>
          <w:p w14:paraId="540F22A0" w14:textId="77777777" w:rsidR="00DD66BF" w:rsidRDefault="00DD66BF" w:rsidP="00884472">
            <w:pPr>
              <w:textAlignment w:val="bottom"/>
              <w:rPr>
                <w:b/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>Financial</w:t>
            </w:r>
          </w:p>
        </w:tc>
        <w:tc>
          <w:tcPr>
            <w:tcW w:w="2340" w:type="dxa"/>
          </w:tcPr>
          <w:p w14:paraId="63B03741" w14:textId="77777777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 w:rsidRPr="00A01AD9">
              <w:rPr>
                <w:bCs/>
                <w:color w:val="002060"/>
                <w:kern w:val="24"/>
                <w:sz w:val="16"/>
                <w:szCs w:val="16"/>
              </w:rPr>
              <w:t xml:space="preserve">Loss of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less than 1% </w:t>
            </w:r>
            <w:r w:rsidRPr="00A01AD9">
              <w:rPr>
                <w:bCs/>
                <w:color w:val="002060"/>
                <w:kern w:val="24"/>
                <w:sz w:val="16"/>
                <w:szCs w:val="16"/>
              </w:rPr>
              <w:t>of EBIT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br/>
            </w:r>
            <w:r>
              <w:rPr>
                <w:bCs/>
                <w:color w:val="002060"/>
                <w:kern w:val="24"/>
                <w:sz w:val="16"/>
                <w:szCs w:val="16"/>
              </w:rPr>
              <w:br/>
              <w:t>*EBIT= Earnings Before Income Tax (Zakat).</w:t>
            </w:r>
          </w:p>
        </w:tc>
        <w:tc>
          <w:tcPr>
            <w:tcW w:w="2250" w:type="dxa"/>
          </w:tcPr>
          <w:p w14:paraId="7A449E5D" w14:textId="77777777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 w:rsidRPr="00A01AD9">
              <w:rPr>
                <w:bCs/>
                <w:color w:val="002060"/>
                <w:kern w:val="24"/>
                <w:sz w:val="16"/>
                <w:szCs w:val="16"/>
              </w:rPr>
              <w:t xml:space="preserve">Loss of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&gt;1% and &lt;=3</w:t>
            </w:r>
            <w:r w:rsidRPr="00A01AD9">
              <w:rPr>
                <w:bCs/>
                <w:color w:val="002060"/>
                <w:kern w:val="24"/>
                <w:sz w:val="16"/>
                <w:szCs w:val="16"/>
              </w:rPr>
              <w:t>% of EBIT</w:t>
            </w:r>
          </w:p>
        </w:tc>
        <w:tc>
          <w:tcPr>
            <w:tcW w:w="2250" w:type="dxa"/>
          </w:tcPr>
          <w:p w14:paraId="357C4940" w14:textId="77777777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 w:rsidRPr="00A01AD9">
              <w:rPr>
                <w:bCs/>
                <w:color w:val="002060"/>
                <w:kern w:val="24"/>
                <w:sz w:val="16"/>
                <w:szCs w:val="16"/>
              </w:rPr>
              <w:t xml:space="preserve">Loss of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&gt;3% and &lt;=5</w:t>
            </w:r>
            <w:r w:rsidRPr="00A01AD9">
              <w:rPr>
                <w:bCs/>
                <w:color w:val="002060"/>
                <w:kern w:val="24"/>
                <w:sz w:val="16"/>
                <w:szCs w:val="16"/>
              </w:rPr>
              <w:t>% of EBIT</w:t>
            </w:r>
          </w:p>
        </w:tc>
        <w:tc>
          <w:tcPr>
            <w:tcW w:w="2250" w:type="dxa"/>
          </w:tcPr>
          <w:p w14:paraId="7C12F2A4" w14:textId="77777777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 w:rsidRPr="00A01AD9">
              <w:rPr>
                <w:bCs/>
                <w:color w:val="002060"/>
                <w:kern w:val="24"/>
                <w:sz w:val="16"/>
                <w:szCs w:val="16"/>
              </w:rPr>
              <w:t xml:space="preserve">Loss of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&gt;5% and &lt;=</w:t>
            </w:r>
            <w:r w:rsidRPr="00A01AD9">
              <w:rPr>
                <w:bCs/>
                <w:color w:val="002060"/>
                <w:kern w:val="24"/>
                <w:sz w:val="16"/>
                <w:szCs w:val="16"/>
              </w:rPr>
              <w:t>10% of EBIT</w:t>
            </w:r>
          </w:p>
        </w:tc>
        <w:tc>
          <w:tcPr>
            <w:tcW w:w="2180" w:type="dxa"/>
          </w:tcPr>
          <w:p w14:paraId="7DF367F9" w14:textId="77777777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 w:rsidRPr="00FA6C2E">
              <w:rPr>
                <w:bCs/>
                <w:color w:val="002060"/>
                <w:kern w:val="24"/>
                <w:sz w:val="16"/>
                <w:szCs w:val="16"/>
              </w:rPr>
              <w:t>Loss of 10% or greater of EBIT</w:t>
            </w:r>
          </w:p>
        </w:tc>
      </w:tr>
      <w:tr w:rsidR="00DD66BF" w:rsidRPr="00197A3E" w14:paraId="09947E12" w14:textId="77777777" w:rsidTr="004D3D78">
        <w:trPr>
          <w:trHeight w:val="692"/>
        </w:trPr>
        <w:tc>
          <w:tcPr>
            <w:tcW w:w="1413" w:type="dxa"/>
            <w:vMerge/>
            <w:shd w:val="clear" w:color="auto" w:fill="00B0F0"/>
            <w:vAlign w:val="center"/>
          </w:tcPr>
          <w:p w14:paraId="640C98CC" w14:textId="77777777" w:rsidR="00DD66BF" w:rsidRPr="004E6E3B" w:rsidRDefault="00DD66BF" w:rsidP="00884472">
            <w:pPr>
              <w:textAlignment w:val="bottom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85" w:type="dxa"/>
            <w:vAlign w:val="center"/>
          </w:tcPr>
          <w:p w14:paraId="524EA572" w14:textId="77777777" w:rsidR="00DD66BF" w:rsidRPr="00197A3E" w:rsidRDefault="00DD66BF" w:rsidP="00884472">
            <w:pPr>
              <w:textAlignment w:val="bottom"/>
              <w:rPr>
                <w:color w:val="002060"/>
                <w:sz w:val="16"/>
                <w:szCs w:val="16"/>
              </w:rPr>
            </w:pP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>Life of Mines</w:t>
            </w: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 xml:space="preserve"> &amp; Plants</w:t>
            </w:r>
          </w:p>
        </w:tc>
        <w:tc>
          <w:tcPr>
            <w:tcW w:w="2340" w:type="dxa"/>
            <w:vAlign w:val="center"/>
          </w:tcPr>
          <w:p w14:paraId="2E2DF05D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Less than 1% decrease in life of mines and plants</w:t>
            </w:r>
          </w:p>
        </w:tc>
        <w:tc>
          <w:tcPr>
            <w:tcW w:w="2250" w:type="dxa"/>
            <w:vAlign w:val="center"/>
          </w:tcPr>
          <w:p w14:paraId="336AF37B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&gt;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1%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 &lt;= 5% decrease in life of mines and plants</w:t>
            </w:r>
          </w:p>
        </w:tc>
        <w:tc>
          <w:tcPr>
            <w:tcW w:w="2250" w:type="dxa"/>
            <w:vAlign w:val="center"/>
          </w:tcPr>
          <w:p w14:paraId="290B8B67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&gt;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5%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 &lt;= 10% decrease in life of mines and plants</w:t>
            </w:r>
          </w:p>
        </w:tc>
        <w:tc>
          <w:tcPr>
            <w:tcW w:w="2250" w:type="dxa"/>
            <w:vAlign w:val="center"/>
          </w:tcPr>
          <w:p w14:paraId="3AEFC077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&gt;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10%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 &lt;= 15% decrease in life of mines and plants</w:t>
            </w:r>
          </w:p>
        </w:tc>
        <w:tc>
          <w:tcPr>
            <w:tcW w:w="2180" w:type="dxa"/>
            <w:vAlign w:val="center"/>
          </w:tcPr>
          <w:p w14:paraId="1AB76B1A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1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5% decrease in life of mine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s and plants</w:t>
            </w:r>
          </w:p>
        </w:tc>
      </w:tr>
      <w:tr w:rsidR="00DD66BF" w:rsidRPr="00197A3E" w14:paraId="4FB33B78" w14:textId="77777777" w:rsidTr="004D3D78">
        <w:trPr>
          <w:trHeight w:val="818"/>
        </w:trPr>
        <w:tc>
          <w:tcPr>
            <w:tcW w:w="1413" w:type="dxa"/>
            <w:vMerge/>
            <w:shd w:val="clear" w:color="auto" w:fill="00B0F0"/>
            <w:vAlign w:val="center"/>
          </w:tcPr>
          <w:p w14:paraId="20B51FCE" w14:textId="77777777" w:rsidR="00DD66BF" w:rsidRPr="004E6E3B" w:rsidRDefault="00DD66BF" w:rsidP="00884472">
            <w:pPr>
              <w:textAlignment w:val="bottom"/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</w:pPr>
          </w:p>
        </w:tc>
        <w:tc>
          <w:tcPr>
            <w:tcW w:w="1485" w:type="dxa"/>
            <w:vAlign w:val="center"/>
          </w:tcPr>
          <w:p w14:paraId="5F91DC34" w14:textId="77777777" w:rsidR="00DD66BF" w:rsidRPr="00197A3E" w:rsidRDefault="00DD66BF" w:rsidP="00884472">
            <w:pPr>
              <w:textAlignment w:val="bottom"/>
              <w:rPr>
                <w:b/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 xml:space="preserve">Price &amp; </w:t>
            </w: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>Demand</w:t>
            </w:r>
          </w:p>
        </w:tc>
        <w:tc>
          <w:tcPr>
            <w:tcW w:w="2340" w:type="dxa"/>
            <w:vAlign w:val="center"/>
          </w:tcPr>
          <w:p w14:paraId="79B9A3D5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Less than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1% change in forecasts for commodity prices or </w:t>
            </w:r>
            <w:proofErr w:type="gramStart"/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demand  assumptions</w:t>
            </w:r>
            <w:proofErr w:type="gramEnd"/>
          </w:p>
        </w:tc>
        <w:tc>
          <w:tcPr>
            <w:tcW w:w="2250" w:type="dxa"/>
            <w:vAlign w:val="center"/>
          </w:tcPr>
          <w:p w14:paraId="61CF26A0" w14:textId="20386DAA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&gt;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1% or less than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3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% change in forecasts for commodity prices or </w:t>
            </w:r>
            <w:r w:rsidR="00300DEF" w:rsidRPr="00197A3E">
              <w:rPr>
                <w:bCs/>
                <w:color w:val="002060"/>
                <w:kern w:val="24"/>
                <w:sz w:val="16"/>
                <w:szCs w:val="16"/>
              </w:rPr>
              <w:t>demand assumptions</w:t>
            </w:r>
          </w:p>
        </w:tc>
        <w:tc>
          <w:tcPr>
            <w:tcW w:w="2250" w:type="dxa"/>
            <w:vAlign w:val="center"/>
          </w:tcPr>
          <w:p w14:paraId="6309B8E4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3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 &lt;=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5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% change in forecasts for commodity prices or </w:t>
            </w:r>
            <w:proofErr w:type="gramStart"/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demand  assumptions</w:t>
            </w:r>
            <w:proofErr w:type="gramEnd"/>
          </w:p>
        </w:tc>
        <w:tc>
          <w:tcPr>
            <w:tcW w:w="2250" w:type="dxa"/>
            <w:vAlign w:val="center"/>
          </w:tcPr>
          <w:p w14:paraId="0706EAD5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&gt; 5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%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and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&lt;=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10% change in forecasts for commodity prices or </w:t>
            </w:r>
            <w:proofErr w:type="gramStart"/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demand  assumptions</w:t>
            </w:r>
            <w:proofErr w:type="gramEnd"/>
          </w:p>
        </w:tc>
        <w:tc>
          <w:tcPr>
            <w:tcW w:w="2180" w:type="dxa"/>
            <w:vAlign w:val="center"/>
          </w:tcPr>
          <w:p w14:paraId="2F6BA55A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&gt;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10% change or more in forecasts for commodity prices or </w:t>
            </w:r>
            <w:proofErr w:type="gramStart"/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demand  assumptions</w:t>
            </w:r>
            <w:proofErr w:type="gramEnd"/>
          </w:p>
        </w:tc>
      </w:tr>
      <w:tr w:rsidR="00DD66BF" w:rsidRPr="00197A3E" w14:paraId="1D4708F8" w14:textId="77777777" w:rsidTr="004D3D78">
        <w:trPr>
          <w:trHeight w:val="1846"/>
        </w:trPr>
        <w:tc>
          <w:tcPr>
            <w:tcW w:w="1413" w:type="dxa"/>
            <w:vMerge/>
            <w:tcBorders>
              <w:bottom w:val="single" w:sz="4" w:space="0" w:color="FFFFFF" w:themeColor="background1"/>
            </w:tcBorders>
            <w:shd w:val="clear" w:color="auto" w:fill="00B0F0"/>
            <w:vAlign w:val="center"/>
          </w:tcPr>
          <w:p w14:paraId="29FD5944" w14:textId="77777777" w:rsidR="00DD66BF" w:rsidRPr="004E6E3B" w:rsidRDefault="00DD66BF" w:rsidP="00884472">
            <w:pPr>
              <w:textAlignment w:val="bottom"/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</w:pPr>
          </w:p>
        </w:tc>
        <w:tc>
          <w:tcPr>
            <w:tcW w:w="1485" w:type="dxa"/>
            <w:vAlign w:val="center"/>
          </w:tcPr>
          <w:p w14:paraId="7756440A" w14:textId="77777777" w:rsidR="00DD66BF" w:rsidRDefault="00DD66BF" w:rsidP="00884472">
            <w:pPr>
              <w:textAlignment w:val="bottom"/>
              <w:rPr>
                <w:b/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>Legal and Compliance</w:t>
            </w:r>
          </w:p>
        </w:tc>
        <w:tc>
          <w:tcPr>
            <w:tcW w:w="2340" w:type="dxa"/>
          </w:tcPr>
          <w:p w14:paraId="11C40F59" w14:textId="298D84C0" w:rsidR="00300DE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Isolated, quickly remedied noncompliance with regulations or contracts</w:t>
            </w:r>
            <w:r w:rsidR="00300DEF">
              <w:rPr>
                <w:bCs/>
                <w:color w:val="002060"/>
                <w:kern w:val="24"/>
                <w:sz w:val="16"/>
                <w:szCs w:val="16"/>
              </w:rPr>
              <w:t>.</w:t>
            </w:r>
          </w:p>
          <w:p w14:paraId="35F26237" w14:textId="2820EA2A" w:rsidR="00DD66BF" w:rsidRPr="00197A3E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Legal claim is less than </w:t>
            </w:r>
            <w:r w:rsidR="00300DEF">
              <w:rPr>
                <w:bCs/>
                <w:color w:val="002060"/>
                <w:kern w:val="24"/>
                <w:sz w:val="16"/>
                <w:szCs w:val="16"/>
              </w:rPr>
              <w:t>USD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5M</w:t>
            </w:r>
          </w:p>
        </w:tc>
        <w:tc>
          <w:tcPr>
            <w:tcW w:w="2250" w:type="dxa"/>
          </w:tcPr>
          <w:p w14:paraId="460110AB" w14:textId="77777777" w:rsidR="00300DE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Repeated, slowly remedied contractual or regulatory noncompliance; minor fines imposed</w:t>
            </w:r>
            <w:r w:rsidR="00300DEF">
              <w:rPr>
                <w:bCs/>
                <w:color w:val="002060"/>
                <w:kern w:val="24"/>
                <w:sz w:val="16"/>
                <w:szCs w:val="16"/>
              </w:rPr>
              <w:t>.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br/>
            </w:r>
          </w:p>
          <w:p w14:paraId="7ADAE5A5" w14:textId="053B10D3" w:rsidR="00DD66BF" w:rsidRPr="00197A3E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Legal claim is &gt; </w:t>
            </w:r>
            <w:r w:rsidR="00300DEF">
              <w:rPr>
                <w:bCs/>
                <w:color w:val="002060"/>
                <w:kern w:val="24"/>
                <w:sz w:val="16"/>
                <w:szCs w:val="16"/>
              </w:rPr>
              <w:t>USD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5M and &lt;=10M</w:t>
            </w:r>
          </w:p>
        </w:tc>
        <w:tc>
          <w:tcPr>
            <w:tcW w:w="2250" w:type="dxa"/>
          </w:tcPr>
          <w:p w14:paraId="60735542" w14:textId="77777777" w:rsidR="00300DE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Widespread, prolonged contractual or regulatory noncompliance; significant fines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br/>
            </w:r>
          </w:p>
          <w:p w14:paraId="7BFBAB80" w14:textId="31E95BCB" w:rsidR="00DD66BF" w:rsidRPr="00197A3E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Legal claim is &gt; </w:t>
            </w:r>
            <w:r w:rsidR="00300DEF">
              <w:rPr>
                <w:bCs/>
                <w:color w:val="002060"/>
                <w:kern w:val="24"/>
                <w:sz w:val="16"/>
                <w:szCs w:val="16"/>
              </w:rPr>
              <w:t>USD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10M and &lt;=30M</w:t>
            </w:r>
          </w:p>
        </w:tc>
        <w:tc>
          <w:tcPr>
            <w:tcW w:w="2250" w:type="dxa"/>
          </w:tcPr>
          <w:p w14:paraId="00EF44F1" w14:textId="77777777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Serious breach of regulation leading to investigation or report to authority with prosecution or major fine possible; major litigation</w:t>
            </w:r>
          </w:p>
          <w:p w14:paraId="76347357" w14:textId="53231BB7" w:rsidR="00DD66BF" w:rsidRPr="00197A3E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Legal claim is &gt; </w:t>
            </w:r>
            <w:r w:rsidR="00300DEF">
              <w:rPr>
                <w:bCs/>
                <w:color w:val="002060"/>
                <w:kern w:val="24"/>
                <w:sz w:val="16"/>
                <w:szCs w:val="16"/>
              </w:rPr>
              <w:t>USD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30M and &lt;=50M</w:t>
            </w:r>
          </w:p>
        </w:tc>
        <w:tc>
          <w:tcPr>
            <w:tcW w:w="2180" w:type="dxa"/>
          </w:tcPr>
          <w:p w14:paraId="5539CDBC" w14:textId="77777777" w:rsidR="00DD66BF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Significant prosecution and fines; very serious litigation; imprisonment of one or more executives or directors</w:t>
            </w:r>
          </w:p>
          <w:p w14:paraId="259697B7" w14:textId="00FF9A9C" w:rsidR="00DD66BF" w:rsidRPr="00197A3E" w:rsidRDefault="00DD66BF" w:rsidP="00884472">
            <w:pPr>
              <w:spacing w:before="120"/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Legal claim is greater than </w:t>
            </w:r>
            <w:r w:rsidR="00300DEF">
              <w:rPr>
                <w:bCs/>
                <w:color w:val="002060"/>
                <w:kern w:val="24"/>
                <w:sz w:val="16"/>
                <w:szCs w:val="16"/>
              </w:rPr>
              <w:t>USD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50M</w:t>
            </w:r>
          </w:p>
        </w:tc>
      </w:tr>
      <w:tr w:rsidR="00DD66BF" w:rsidRPr="00197A3E" w14:paraId="71762CB3" w14:textId="77777777" w:rsidTr="004D3D78">
        <w:trPr>
          <w:trHeight w:val="683"/>
        </w:trPr>
        <w:tc>
          <w:tcPr>
            <w:tcW w:w="1413" w:type="dxa"/>
            <w:vMerge w:val="restart"/>
            <w:tcBorders>
              <w:top w:val="single" w:sz="4" w:space="0" w:color="FFFFFF" w:themeColor="background1"/>
            </w:tcBorders>
            <w:shd w:val="clear" w:color="auto" w:fill="00B0F0"/>
            <w:vAlign w:val="center"/>
          </w:tcPr>
          <w:p w14:paraId="492FE27E" w14:textId="77777777" w:rsidR="00DD66BF" w:rsidRPr="004E6E3B" w:rsidRDefault="00DD66BF" w:rsidP="00884472">
            <w:pPr>
              <w:textAlignment w:val="bottom"/>
              <w:rPr>
                <w:b/>
                <w:color w:val="FFFFFF" w:themeColor="background1"/>
                <w:sz w:val="16"/>
                <w:szCs w:val="16"/>
              </w:rPr>
            </w:pPr>
            <w:r w:rsidRPr="004E6E3B">
              <w:rPr>
                <w:b/>
                <w:color w:val="FFFFFF" w:themeColor="background1"/>
                <w:sz w:val="16"/>
                <w:szCs w:val="16"/>
              </w:rPr>
              <w:t>Non-Economic</w:t>
            </w:r>
          </w:p>
        </w:tc>
        <w:tc>
          <w:tcPr>
            <w:tcW w:w="1485" w:type="dxa"/>
            <w:vAlign w:val="center"/>
          </w:tcPr>
          <w:p w14:paraId="4D10D1CA" w14:textId="77777777" w:rsidR="00DD66BF" w:rsidRPr="00197A3E" w:rsidRDefault="00DD66BF" w:rsidP="00884472">
            <w:pPr>
              <w:spacing w:after="240"/>
              <w:rPr>
                <w:b/>
                <w:color w:val="002060"/>
                <w:sz w:val="16"/>
                <w:szCs w:val="16"/>
              </w:rPr>
            </w:pP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>Health</w:t>
            </w: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 xml:space="preserve"> and</w:t>
            </w: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 xml:space="preserve"> Safety</w:t>
            </w:r>
          </w:p>
        </w:tc>
        <w:tc>
          <w:tcPr>
            <w:tcW w:w="2340" w:type="dxa"/>
            <w:vAlign w:val="center"/>
          </w:tcPr>
          <w:p w14:paraId="194D204E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Insignificant injury not </w:t>
            </w:r>
            <w:proofErr w:type="gramStart"/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requiring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medical</w:t>
            </w:r>
            <w:proofErr w:type="gramEnd"/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treatment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;</w:t>
            </w:r>
          </w:p>
        </w:tc>
        <w:tc>
          <w:tcPr>
            <w:tcW w:w="2250" w:type="dxa"/>
            <w:vAlign w:val="center"/>
          </w:tcPr>
          <w:p w14:paraId="3EDD15B8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Incident resulting in first aid injury / illness</w:t>
            </w:r>
          </w:p>
        </w:tc>
        <w:tc>
          <w:tcPr>
            <w:tcW w:w="2250" w:type="dxa"/>
            <w:vAlign w:val="center"/>
          </w:tcPr>
          <w:p w14:paraId="42971553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Incident resulting in medical treatment injury / illness</w:t>
            </w:r>
          </w:p>
        </w:tc>
        <w:tc>
          <w:tcPr>
            <w:tcW w:w="2250" w:type="dxa"/>
            <w:vAlign w:val="center"/>
          </w:tcPr>
          <w:p w14:paraId="3919F70E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Incident resulting in lost time injury &amp; restricted duty injury / illness</w:t>
            </w:r>
          </w:p>
        </w:tc>
        <w:tc>
          <w:tcPr>
            <w:tcW w:w="2180" w:type="dxa"/>
            <w:vAlign w:val="center"/>
          </w:tcPr>
          <w:p w14:paraId="3427AF20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Incident resulting in Fatality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</w:p>
        </w:tc>
      </w:tr>
      <w:tr w:rsidR="00DD66BF" w:rsidRPr="00197A3E" w14:paraId="5BF47D98" w14:textId="77777777" w:rsidTr="004D3D78">
        <w:trPr>
          <w:trHeight w:val="800"/>
        </w:trPr>
        <w:tc>
          <w:tcPr>
            <w:tcW w:w="1413" w:type="dxa"/>
            <w:vMerge/>
            <w:tcBorders>
              <w:top w:val="single" w:sz="4" w:space="0" w:color="FFFFFF" w:themeColor="background1"/>
            </w:tcBorders>
            <w:shd w:val="clear" w:color="auto" w:fill="00B0F0"/>
            <w:vAlign w:val="center"/>
          </w:tcPr>
          <w:p w14:paraId="5D9DB334" w14:textId="77777777" w:rsidR="00DD66BF" w:rsidRPr="004E6E3B" w:rsidRDefault="00DD66BF" w:rsidP="00884472">
            <w:pPr>
              <w:textAlignment w:val="bottom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85" w:type="dxa"/>
            <w:vAlign w:val="center"/>
          </w:tcPr>
          <w:p w14:paraId="05F0CC8D" w14:textId="77777777" w:rsidR="00DD66BF" w:rsidRPr="00197A3E" w:rsidRDefault="00DD66BF" w:rsidP="00884472">
            <w:pPr>
              <w:spacing w:after="240"/>
              <w:rPr>
                <w:b/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>Environment</w:t>
            </w:r>
          </w:p>
        </w:tc>
        <w:tc>
          <w:tcPr>
            <w:tcW w:w="2340" w:type="dxa"/>
            <w:vAlign w:val="center"/>
          </w:tcPr>
          <w:p w14:paraId="01E3FDF7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Q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uickly and easily reversible effects on biological or physical environment</w:t>
            </w:r>
          </w:p>
        </w:tc>
        <w:tc>
          <w:tcPr>
            <w:tcW w:w="2250" w:type="dxa"/>
            <w:vAlign w:val="center"/>
          </w:tcPr>
          <w:p w14:paraId="22929DD0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M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inor, short-term effects on environment but not affecting ecosystem functions</w:t>
            </w:r>
          </w:p>
        </w:tc>
        <w:tc>
          <w:tcPr>
            <w:tcW w:w="2250" w:type="dxa"/>
            <w:vAlign w:val="center"/>
          </w:tcPr>
          <w:p w14:paraId="6DBCE710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S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erious environmental effects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where recovery takes around 1 year</w:t>
            </w:r>
          </w:p>
        </w:tc>
        <w:tc>
          <w:tcPr>
            <w:tcW w:w="2250" w:type="dxa"/>
            <w:vAlign w:val="center"/>
          </w:tcPr>
          <w:p w14:paraId="02F951FE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V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ery serious impairment of ecosystem functions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where recovery takes between 1 - 5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years</w:t>
            </w:r>
          </w:p>
        </w:tc>
        <w:tc>
          <w:tcPr>
            <w:tcW w:w="2180" w:type="dxa"/>
            <w:vAlign w:val="center"/>
          </w:tcPr>
          <w:p w14:paraId="31CB3672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>V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ery serious widespread impairment of ecosystem functions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>where recovery takes more than 5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 years</w:t>
            </w:r>
          </w:p>
        </w:tc>
      </w:tr>
      <w:tr w:rsidR="00DD66BF" w:rsidRPr="00197A3E" w14:paraId="349715D2" w14:textId="77777777" w:rsidTr="004D3D78">
        <w:trPr>
          <w:trHeight w:val="1344"/>
        </w:trPr>
        <w:tc>
          <w:tcPr>
            <w:tcW w:w="1413" w:type="dxa"/>
            <w:vMerge/>
            <w:shd w:val="clear" w:color="auto" w:fill="00B0F0"/>
            <w:vAlign w:val="center"/>
          </w:tcPr>
          <w:p w14:paraId="4D831A51" w14:textId="77777777" w:rsidR="00DD66BF" w:rsidRPr="00197A3E" w:rsidRDefault="00DD66BF" w:rsidP="00884472">
            <w:pPr>
              <w:spacing w:after="240"/>
              <w:rPr>
                <w:color w:val="002060"/>
                <w:sz w:val="16"/>
                <w:szCs w:val="16"/>
              </w:rPr>
            </w:pPr>
          </w:p>
        </w:tc>
        <w:tc>
          <w:tcPr>
            <w:tcW w:w="1485" w:type="dxa"/>
            <w:vAlign w:val="center"/>
          </w:tcPr>
          <w:p w14:paraId="3995770F" w14:textId="77777777" w:rsidR="00DD66BF" w:rsidRPr="00197A3E" w:rsidRDefault="00DD66BF" w:rsidP="00884472">
            <w:pPr>
              <w:rPr>
                <w:b/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>Community, Reputation</w:t>
            </w:r>
            <w:r>
              <w:rPr>
                <w:b/>
                <w:bCs/>
                <w:color w:val="002060"/>
                <w:kern w:val="24"/>
                <w:sz w:val="16"/>
                <w:szCs w:val="16"/>
              </w:rPr>
              <w:t>, Government Relations,</w:t>
            </w: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 xml:space="preserve"> and Public Relations</w:t>
            </w:r>
          </w:p>
        </w:tc>
        <w:tc>
          <w:tcPr>
            <w:tcW w:w="2340" w:type="dxa"/>
            <w:vAlign w:val="center"/>
          </w:tcPr>
          <w:p w14:paraId="360547ED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Slight, medium-term social impacts on local population; mostly repairable damage to items of cultural significance; minor, adverse local public and media attention</w:t>
            </w:r>
          </w:p>
        </w:tc>
        <w:tc>
          <w:tcPr>
            <w:tcW w:w="2250" w:type="dxa"/>
            <w:vAlign w:val="center"/>
          </w:tcPr>
          <w:p w14:paraId="03A521E6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Ongoing social issues; small, yet repairable damage to items of cultural significance; attention from media; heightened concern by local community</w:t>
            </w:r>
          </w:p>
        </w:tc>
        <w:tc>
          <w:tcPr>
            <w:tcW w:w="2250" w:type="dxa"/>
            <w:vAlign w:val="center"/>
          </w:tcPr>
          <w:p w14:paraId="71121D03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Ongoing serious social issues; significant damage to structures or items of cultural significance; criticism by national government</w:t>
            </w:r>
          </w:p>
        </w:tc>
        <w:tc>
          <w:tcPr>
            <w:tcW w:w="2250" w:type="dxa"/>
            <w:vAlign w:val="center"/>
          </w:tcPr>
          <w:p w14:paraId="5EEFFF96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Serious social issues at national level; irreparable damage to structures of cultural significance; significant adverse national media or public or national government attention</w:t>
            </w:r>
          </w:p>
        </w:tc>
        <w:tc>
          <w:tcPr>
            <w:tcW w:w="2180" w:type="dxa"/>
            <w:vAlign w:val="center"/>
          </w:tcPr>
          <w:p w14:paraId="382D154E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Minor concerns reported by ministry of oil;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 xml:space="preserve">Very serious social issues at regional level; total destruction of structures of major cultural significance; serious public or media outcry; sustained, negative 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media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t>coverage</w:t>
            </w:r>
            <w:r>
              <w:rPr>
                <w:bCs/>
                <w:color w:val="002060"/>
                <w:kern w:val="24"/>
                <w:sz w:val="16"/>
                <w:szCs w:val="16"/>
              </w:rPr>
              <w:t xml:space="preserve"> </w:t>
            </w:r>
          </w:p>
        </w:tc>
      </w:tr>
      <w:tr w:rsidR="00DD66BF" w:rsidRPr="00197A3E" w14:paraId="0BB95910" w14:textId="77777777" w:rsidTr="004D3D78">
        <w:trPr>
          <w:trHeight w:val="257"/>
        </w:trPr>
        <w:tc>
          <w:tcPr>
            <w:tcW w:w="1413" w:type="dxa"/>
            <w:vMerge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32CF3E1" w14:textId="77777777" w:rsidR="00DD66BF" w:rsidRPr="00197A3E" w:rsidRDefault="00DD66BF" w:rsidP="00884472">
            <w:pPr>
              <w:spacing w:after="240"/>
              <w:rPr>
                <w:color w:val="002060"/>
                <w:sz w:val="16"/>
                <w:szCs w:val="16"/>
              </w:rPr>
            </w:pPr>
          </w:p>
        </w:tc>
        <w:tc>
          <w:tcPr>
            <w:tcW w:w="1485" w:type="dxa"/>
            <w:tcBorders>
              <w:bottom w:val="single" w:sz="4" w:space="0" w:color="auto"/>
            </w:tcBorders>
            <w:vAlign w:val="center"/>
          </w:tcPr>
          <w:p w14:paraId="0E94C95F" w14:textId="77777777" w:rsidR="00DD66BF" w:rsidRDefault="00DD66BF" w:rsidP="00884472">
            <w:pPr>
              <w:spacing w:after="240"/>
              <w:rPr>
                <w:b/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/>
                <w:bCs/>
                <w:color w:val="002060"/>
                <w:kern w:val="24"/>
                <w:sz w:val="16"/>
                <w:szCs w:val="16"/>
              </w:rPr>
              <w:t>Employees</w:t>
            </w:r>
          </w:p>
          <w:p w14:paraId="6A5CAFBF" w14:textId="77777777" w:rsidR="00DD66BF" w:rsidRPr="00197A3E" w:rsidRDefault="00DD66BF" w:rsidP="00884472">
            <w:pPr>
              <w:spacing w:after="240"/>
              <w:rPr>
                <w:b/>
                <w:bCs/>
                <w:color w:val="002060"/>
                <w:kern w:val="24"/>
                <w:sz w:val="16"/>
                <w:szCs w:val="16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0CF2CE6" w14:textId="77777777" w:rsidR="00DD66BF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lastRenderedPageBreak/>
              <w:t>Negligible or isolated staff dissatisfaction</w:t>
            </w:r>
          </w:p>
          <w:p w14:paraId="0D6D86B5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3DD58F9E" w14:textId="77777777" w:rsidR="00DD66BF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lastRenderedPageBreak/>
              <w:t>General staff morale and attitude problems; increase in staff turnover</w:t>
            </w:r>
          </w:p>
          <w:p w14:paraId="28342336" w14:textId="7777777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38CAFB0A" w14:textId="68DAF297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lastRenderedPageBreak/>
              <w:t xml:space="preserve">Poor reputation as an employer; widespread staff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lastRenderedPageBreak/>
              <w:t>attitude problems; high staff turnover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8F3A073" w14:textId="3299733C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lastRenderedPageBreak/>
              <w:t xml:space="preserve">Some senior managers leave; high turnover of experienced staff; company not perceived as employer of choice; some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lastRenderedPageBreak/>
              <w:t>shortfalls in Saudization targets</w:t>
            </w:r>
          </w:p>
        </w:tc>
        <w:tc>
          <w:tcPr>
            <w:tcW w:w="2180" w:type="dxa"/>
            <w:tcBorders>
              <w:bottom w:val="single" w:sz="4" w:space="0" w:color="auto"/>
            </w:tcBorders>
            <w:vAlign w:val="center"/>
          </w:tcPr>
          <w:p w14:paraId="329B5284" w14:textId="43E684B6" w:rsidR="00DD66BF" w:rsidRPr="00197A3E" w:rsidRDefault="00DD66BF" w:rsidP="00884472">
            <w:pPr>
              <w:rPr>
                <w:bCs/>
                <w:color w:val="002060"/>
                <w:kern w:val="24"/>
                <w:sz w:val="16"/>
                <w:szCs w:val="16"/>
              </w:rPr>
            </w:pP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lastRenderedPageBreak/>
              <w:t xml:space="preserve">A large number of senior managers, VPs or experienced staff leave; significant </w:t>
            </w:r>
            <w:r w:rsidRPr="00197A3E">
              <w:rPr>
                <w:bCs/>
                <w:color w:val="002060"/>
                <w:kern w:val="24"/>
                <w:sz w:val="16"/>
                <w:szCs w:val="16"/>
              </w:rPr>
              <w:lastRenderedPageBreak/>
              <w:t>shortfalls in Saudization targets</w:t>
            </w:r>
          </w:p>
        </w:tc>
      </w:tr>
      <w:tr w:rsidR="00DD66BF" w:rsidRPr="006172DF" w14:paraId="3AE1AA2E" w14:textId="77777777" w:rsidTr="004D3D78">
        <w:trPr>
          <w:trHeight w:val="323"/>
        </w:trPr>
        <w:tc>
          <w:tcPr>
            <w:tcW w:w="1413" w:type="dxa"/>
            <w:shd w:val="clear" w:color="auto" w:fill="8496B0" w:themeFill="text2" w:themeFillTint="99"/>
            <w:vAlign w:val="center"/>
          </w:tcPr>
          <w:p w14:paraId="609A7CBF" w14:textId="77777777" w:rsidR="00DD66BF" w:rsidRPr="006172DF" w:rsidRDefault="00DD66BF" w:rsidP="00884472">
            <w:pPr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</w:pPr>
            <w:r w:rsidRPr="006172DF"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lastRenderedPageBreak/>
              <w:t>Levels of Likelihood</w:t>
            </w:r>
          </w:p>
        </w:tc>
        <w:tc>
          <w:tcPr>
            <w:tcW w:w="1485" w:type="dxa"/>
            <w:shd w:val="clear" w:color="auto" w:fill="8496B0" w:themeFill="text2" w:themeFillTint="99"/>
            <w:vAlign w:val="center"/>
          </w:tcPr>
          <w:p w14:paraId="21B0A599" w14:textId="77777777" w:rsidR="00DD66BF" w:rsidRPr="006172DF" w:rsidRDefault="00DD66BF" w:rsidP="00884472">
            <w:pPr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</w:pPr>
            <w:r w:rsidRPr="006172DF"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t>Descriptive</w:t>
            </w:r>
          </w:p>
        </w:tc>
        <w:tc>
          <w:tcPr>
            <w:tcW w:w="11270" w:type="dxa"/>
            <w:gridSpan w:val="5"/>
            <w:shd w:val="clear" w:color="auto" w:fill="8496B0" w:themeFill="text2" w:themeFillTint="99"/>
            <w:vAlign w:val="center"/>
          </w:tcPr>
          <w:p w14:paraId="10CD9BE0" w14:textId="77777777" w:rsidR="00DD66BF" w:rsidRPr="006172DF" w:rsidRDefault="00DD66BF" w:rsidP="004D3D78">
            <w:pPr>
              <w:jc w:val="center"/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t xml:space="preserve">Inherent </w:t>
            </w:r>
            <w:r w:rsidRPr="006172DF">
              <w:rPr>
                <w:b/>
                <w:bCs/>
                <w:color w:val="FFFFFF" w:themeColor="background1"/>
                <w:kern w:val="24"/>
                <w:sz w:val="16"/>
                <w:szCs w:val="16"/>
              </w:rPr>
              <w:t>Risk Rating</w:t>
            </w:r>
          </w:p>
        </w:tc>
      </w:tr>
      <w:tr w:rsidR="00DD66BF" w:rsidRPr="00164FF0" w14:paraId="3BFC7330" w14:textId="77777777" w:rsidTr="004D3D78">
        <w:trPr>
          <w:trHeight w:val="192"/>
        </w:trPr>
        <w:tc>
          <w:tcPr>
            <w:tcW w:w="1413" w:type="dxa"/>
            <w:vAlign w:val="center"/>
          </w:tcPr>
          <w:p w14:paraId="7E4A7D53" w14:textId="77777777" w:rsidR="00DD66BF" w:rsidRPr="00197A3E" w:rsidRDefault="00DD66BF" w:rsidP="00884472">
            <w:pPr>
              <w:pStyle w:val="Bodycopy"/>
              <w:spacing w:after="0"/>
              <w:rPr>
                <w:color w:val="002060"/>
                <w:sz w:val="16"/>
                <w:szCs w:val="16"/>
                <w:lang w:val="en-US"/>
              </w:rPr>
            </w:pPr>
            <w:r w:rsidRPr="00197A3E">
              <w:rPr>
                <w:color w:val="002060"/>
                <w:sz w:val="16"/>
                <w:szCs w:val="16"/>
                <w:lang w:val="en-US"/>
              </w:rPr>
              <w:t xml:space="preserve">5 – Almost Certain </w:t>
            </w:r>
          </w:p>
        </w:tc>
        <w:tc>
          <w:tcPr>
            <w:tcW w:w="1485" w:type="dxa"/>
            <w:vAlign w:val="center"/>
          </w:tcPr>
          <w:p w14:paraId="0AB6D876" w14:textId="77777777" w:rsidR="00DD66BF" w:rsidRPr="00197A3E" w:rsidRDefault="00DD66BF" w:rsidP="00884472">
            <w:pPr>
              <w:rPr>
                <w:b/>
                <w:bCs/>
                <w:color w:val="002060"/>
                <w:kern w:val="24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V</w:t>
            </w:r>
            <w:r w:rsidRPr="00752C15">
              <w:rPr>
                <w:color w:val="002060"/>
                <w:sz w:val="16"/>
                <w:szCs w:val="16"/>
              </w:rPr>
              <w:t>ery</w:t>
            </w:r>
            <w:r>
              <w:rPr>
                <w:color w:val="002060"/>
                <w:sz w:val="16"/>
                <w:szCs w:val="16"/>
              </w:rPr>
              <w:t xml:space="preserve"> likely to occur within the next</w:t>
            </w:r>
            <w:r w:rsidRPr="00752C15">
              <w:rPr>
                <w:color w:val="002060"/>
                <w:sz w:val="16"/>
                <w:szCs w:val="16"/>
              </w:rPr>
              <w:t xml:space="preserve"> </w:t>
            </w:r>
            <w:r>
              <w:rPr>
                <w:color w:val="002060"/>
                <w:sz w:val="16"/>
                <w:szCs w:val="16"/>
              </w:rPr>
              <w:t>1-3 months or</w:t>
            </w:r>
            <w:r w:rsidRPr="00752C15">
              <w:rPr>
                <w:color w:val="002060"/>
                <w:sz w:val="16"/>
                <w:szCs w:val="16"/>
              </w:rPr>
              <w:t xml:space="preserve"> </w:t>
            </w:r>
            <w:r>
              <w:rPr>
                <w:color w:val="002060"/>
                <w:sz w:val="16"/>
                <w:szCs w:val="16"/>
              </w:rPr>
              <w:t xml:space="preserve">is </w:t>
            </w:r>
            <w:r w:rsidRPr="00752C15">
              <w:rPr>
                <w:color w:val="002060"/>
                <w:sz w:val="16"/>
                <w:szCs w:val="16"/>
              </w:rPr>
              <w:t>occurring at present</w:t>
            </w:r>
          </w:p>
        </w:tc>
        <w:tc>
          <w:tcPr>
            <w:tcW w:w="2340" w:type="dxa"/>
            <w:shd w:val="clear" w:color="auto" w:fill="FFC000"/>
            <w:vAlign w:val="center"/>
          </w:tcPr>
          <w:p w14:paraId="239ACB5C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6 (H)</w:t>
            </w:r>
          </w:p>
        </w:tc>
        <w:tc>
          <w:tcPr>
            <w:tcW w:w="2250" w:type="dxa"/>
            <w:shd w:val="clear" w:color="auto" w:fill="FFC000"/>
            <w:vAlign w:val="center"/>
          </w:tcPr>
          <w:p w14:paraId="04784D82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7 (H)</w:t>
            </w:r>
          </w:p>
        </w:tc>
        <w:tc>
          <w:tcPr>
            <w:tcW w:w="2250" w:type="dxa"/>
            <w:shd w:val="clear" w:color="auto" w:fill="FF0000"/>
            <w:vAlign w:val="center"/>
          </w:tcPr>
          <w:p w14:paraId="164239D6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8 (Ex)</w:t>
            </w:r>
          </w:p>
        </w:tc>
        <w:tc>
          <w:tcPr>
            <w:tcW w:w="2250" w:type="dxa"/>
            <w:shd w:val="clear" w:color="auto" w:fill="FF0000"/>
            <w:vAlign w:val="center"/>
          </w:tcPr>
          <w:p w14:paraId="05B196C5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9 (Ex)</w:t>
            </w:r>
          </w:p>
        </w:tc>
        <w:tc>
          <w:tcPr>
            <w:tcW w:w="2180" w:type="dxa"/>
            <w:shd w:val="clear" w:color="auto" w:fill="FF0000"/>
            <w:vAlign w:val="center"/>
          </w:tcPr>
          <w:p w14:paraId="08F1B6BF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10 (Ex)</w:t>
            </w:r>
          </w:p>
        </w:tc>
      </w:tr>
      <w:tr w:rsidR="00DD66BF" w:rsidRPr="00164FF0" w14:paraId="588E0794" w14:textId="77777777" w:rsidTr="004D3D78">
        <w:trPr>
          <w:trHeight w:val="435"/>
        </w:trPr>
        <w:tc>
          <w:tcPr>
            <w:tcW w:w="1413" w:type="dxa"/>
            <w:vAlign w:val="center"/>
          </w:tcPr>
          <w:p w14:paraId="5EDBBBF2" w14:textId="77777777" w:rsidR="00DD66BF" w:rsidRPr="00197A3E" w:rsidRDefault="00DD66BF" w:rsidP="00884472">
            <w:pPr>
              <w:pStyle w:val="Bodycopy"/>
              <w:spacing w:after="0"/>
              <w:rPr>
                <w:color w:val="002060"/>
                <w:sz w:val="16"/>
                <w:szCs w:val="16"/>
                <w:lang w:val="en-US"/>
              </w:rPr>
            </w:pPr>
            <w:r w:rsidRPr="00197A3E">
              <w:rPr>
                <w:color w:val="002060"/>
                <w:sz w:val="16"/>
                <w:szCs w:val="16"/>
                <w:lang w:val="en-US"/>
              </w:rPr>
              <w:t xml:space="preserve">4 – Likely </w:t>
            </w:r>
          </w:p>
        </w:tc>
        <w:tc>
          <w:tcPr>
            <w:tcW w:w="1485" w:type="dxa"/>
            <w:vAlign w:val="center"/>
          </w:tcPr>
          <w:p w14:paraId="2EC62601" w14:textId="77777777" w:rsidR="00DD66BF" w:rsidRPr="00197A3E" w:rsidRDefault="00DD66BF" w:rsidP="00884472">
            <w:pPr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L</w:t>
            </w:r>
            <w:r w:rsidRPr="00EB759C">
              <w:rPr>
                <w:color w:val="002060"/>
                <w:sz w:val="16"/>
                <w:szCs w:val="16"/>
              </w:rPr>
              <w:t xml:space="preserve">ikely to occur </w:t>
            </w:r>
            <w:r>
              <w:rPr>
                <w:color w:val="002060"/>
                <w:sz w:val="16"/>
                <w:szCs w:val="16"/>
              </w:rPr>
              <w:t xml:space="preserve">within the next 6-12 months </w:t>
            </w:r>
          </w:p>
        </w:tc>
        <w:tc>
          <w:tcPr>
            <w:tcW w:w="2340" w:type="dxa"/>
            <w:shd w:val="clear" w:color="auto" w:fill="FFFF00"/>
            <w:vAlign w:val="center"/>
          </w:tcPr>
          <w:p w14:paraId="02ACCE35" w14:textId="77777777" w:rsidR="00DD66BF" w:rsidRPr="008B0070" w:rsidRDefault="00DD66BF" w:rsidP="00884472">
            <w:pPr>
              <w:jc w:val="center"/>
              <w:rPr>
                <w:b/>
                <w:color w:val="002776"/>
                <w:kern w:val="24"/>
                <w:sz w:val="18"/>
                <w:szCs w:val="18"/>
              </w:rPr>
            </w:pPr>
            <w:r w:rsidRPr="008B0070">
              <w:rPr>
                <w:b/>
                <w:color w:val="002776"/>
                <w:kern w:val="24"/>
                <w:sz w:val="18"/>
                <w:szCs w:val="18"/>
              </w:rPr>
              <w:t>5 (M)</w:t>
            </w:r>
          </w:p>
        </w:tc>
        <w:tc>
          <w:tcPr>
            <w:tcW w:w="2250" w:type="dxa"/>
            <w:shd w:val="clear" w:color="auto" w:fill="FFC000"/>
            <w:vAlign w:val="center"/>
          </w:tcPr>
          <w:p w14:paraId="3A6F7290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6 (H)</w:t>
            </w:r>
          </w:p>
        </w:tc>
        <w:tc>
          <w:tcPr>
            <w:tcW w:w="2250" w:type="dxa"/>
            <w:shd w:val="clear" w:color="auto" w:fill="FFC000"/>
            <w:vAlign w:val="center"/>
          </w:tcPr>
          <w:p w14:paraId="608AD7B4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7 (H)</w:t>
            </w:r>
          </w:p>
        </w:tc>
        <w:tc>
          <w:tcPr>
            <w:tcW w:w="2250" w:type="dxa"/>
            <w:shd w:val="clear" w:color="auto" w:fill="FF0000"/>
            <w:vAlign w:val="center"/>
          </w:tcPr>
          <w:p w14:paraId="4981F99E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8 (Ex)</w:t>
            </w:r>
          </w:p>
        </w:tc>
        <w:tc>
          <w:tcPr>
            <w:tcW w:w="2180" w:type="dxa"/>
            <w:shd w:val="clear" w:color="auto" w:fill="FF0000"/>
            <w:vAlign w:val="center"/>
          </w:tcPr>
          <w:p w14:paraId="1A520B73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9 (Ex)</w:t>
            </w:r>
          </w:p>
        </w:tc>
      </w:tr>
      <w:tr w:rsidR="00DD66BF" w:rsidRPr="00164FF0" w14:paraId="3E94DAF8" w14:textId="77777777" w:rsidTr="004D3D78">
        <w:trPr>
          <w:trHeight w:val="435"/>
        </w:trPr>
        <w:tc>
          <w:tcPr>
            <w:tcW w:w="1413" w:type="dxa"/>
            <w:vAlign w:val="center"/>
          </w:tcPr>
          <w:p w14:paraId="5BC59992" w14:textId="77777777" w:rsidR="00DD66BF" w:rsidRPr="00197A3E" w:rsidRDefault="00DD66BF" w:rsidP="00884472">
            <w:pPr>
              <w:pStyle w:val="Bodycopy"/>
              <w:spacing w:after="0"/>
              <w:rPr>
                <w:color w:val="002060"/>
                <w:sz w:val="16"/>
                <w:szCs w:val="16"/>
                <w:lang w:val="en-US"/>
              </w:rPr>
            </w:pPr>
            <w:r w:rsidRPr="00197A3E">
              <w:rPr>
                <w:color w:val="002060"/>
                <w:sz w:val="16"/>
                <w:szCs w:val="16"/>
                <w:lang w:val="en-US"/>
              </w:rPr>
              <w:t>3 – Possible</w:t>
            </w:r>
          </w:p>
        </w:tc>
        <w:tc>
          <w:tcPr>
            <w:tcW w:w="1485" w:type="dxa"/>
            <w:vAlign w:val="center"/>
          </w:tcPr>
          <w:p w14:paraId="46A169F4" w14:textId="77777777" w:rsidR="00DD66BF" w:rsidRPr="00197A3E" w:rsidRDefault="00DD66BF" w:rsidP="00884472">
            <w:pPr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Likely to occur within the next 2</w:t>
            </w:r>
            <w:r w:rsidRPr="00EB759C">
              <w:rPr>
                <w:color w:val="002060"/>
                <w:sz w:val="16"/>
                <w:szCs w:val="16"/>
              </w:rPr>
              <w:t xml:space="preserve"> years</w:t>
            </w:r>
          </w:p>
        </w:tc>
        <w:tc>
          <w:tcPr>
            <w:tcW w:w="2340" w:type="dxa"/>
            <w:shd w:val="clear" w:color="auto" w:fill="FFFF00"/>
            <w:vAlign w:val="center"/>
          </w:tcPr>
          <w:p w14:paraId="396A8F68" w14:textId="77777777" w:rsidR="00DD66BF" w:rsidRPr="008B0070" w:rsidRDefault="00DD66BF" w:rsidP="00884472">
            <w:pPr>
              <w:jc w:val="center"/>
              <w:rPr>
                <w:b/>
                <w:color w:val="002776"/>
                <w:kern w:val="24"/>
                <w:sz w:val="18"/>
                <w:szCs w:val="18"/>
              </w:rPr>
            </w:pPr>
            <w:r w:rsidRPr="008B0070">
              <w:rPr>
                <w:b/>
                <w:color w:val="002776"/>
                <w:kern w:val="24"/>
                <w:sz w:val="18"/>
                <w:szCs w:val="18"/>
              </w:rPr>
              <w:t>4 (M)</w:t>
            </w:r>
          </w:p>
        </w:tc>
        <w:tc>
          <w:tcPr>
            <w:tcW w:w="2250" w:type="dxa"/>
            <w:shd w:val="clear" w:color="auto" w:fill="FFFF00"/>
            <w:vAlign w:val="center"/>
          </w:tcPr>
          <w:p w14:paraId="480C537C" w14:textId="77777777" w:rsidR="00DD66BF" w:rsidRPr="008B0070" w:rsidRDefault="00DD66BF" w:rsidP="00884472">
            <w:pPr>
              <w:jc w:val="center"/>
              <w:rPr>
                <w:b/>
                <w:color w:val="002776"/>
                <w:kern w:val="24"/>
                <w:sz w:val="18"/>
                <w:szCs w:val="18"/>
              </w:rPr>
            </w:pPr>
            <w:r w:rsidRPr="008B0070">
              <w:rPr>
                <w:b/>
                <w:color w:val="002776"/>
                <w:kern w:val="24"/>
                <w:sz w:val="18"/>
                <w:szCs w:val="18"/>
              </w:rPr>
              <w:t>5 (M)</w:t>
            </w:r>
          </w:p>
        </w:tc>
        <w:tc>
          <w:tcPr>
            <w:tcW w:w="2250" w:type="dxa"/>
            <w:shd w:val="clear" w:color="auto" w:fill="FFC000"/>
            <w:vAlign w:val="center"/>
          </w:tcPr>
          <w:p w14:paraId="1BEB998F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6 (H)</w:t>
            </w:r>
          </w:p>
        </w:tc>
        <w:tc>
          <w:tcPr>
            <w:tcW w:w="2250" w:type="dxa"/>
            <w:shd w:val="clear" w:color="auto" w:fill="FFC000"/>
            <w:vAlign w:val="center"/>
          </w:tcPr>
          <w:p w14:paraId="386ED0CD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7 (H)</w:t>
            </w:r>
          </w:p>
        </w:tc>
        <w:tc>
          <w:tcPr>
            <w:tcW w:w="2180" w:type="dxa"/>
            <w:shd w:val="clear" w:color="auto" w:fill="FF0000"/>
            <w:vAlign w:val="center"/>
          </w:tcPr>
          <w:p w14:paraId="0E4D17C0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8 (Ex)</w:t>
            </w:r>
          </w:p>
        </w:tc>
      </w:tr>
      <w:tr w:rsidR="00DD66BF" w:rsidRPr="00164FF0" w14:paraId="076391DC" w14:textId="77777777" w:rsidTr="004D3D78">
        <w:trPr>
          <w:trHeight w:val="435"/>
        </w:trPr>
        <w:tc>
          <w:tcPr>
            <w:tcW w:w="1413" w:type="dxa"/>
            <w:vAlign w:val="center"/>
          </w:tcPr>
          <w:p w14:paraId="6FA13B1A" w14:textId="77777777" w:rsidR="00DD66BF" w:rsidRPr="00197A3E" w:rsidRDefault="00DD66BF" w:rsidP="00884472">
            <w:pPr>
              <w:pStyle w:val="Bodycopy"/>
              <w:spacing w:after="0"/>
              <w:rPr>
                <w:color w:val="002060"/>
                <w:sz w:val="16"/>
                <w:szCs w:val="16"/>
                <w:lang w:val="en-US"/>
              </w:rPr>
            </w:pPr>
            <w:r w:rsidRPr="00197A3E">
              <w:rPr>
                <w:color w:val="002060"/>
                <w:sz w:val="16"/>
                <w:szCs w:val="16"/>
                <w:lang w:val="en-US"/>
              </w:rPr>
              <w:t>2 – Unlikely</w:t>
            </w:r>
          </w:p>
        </w:tc>
        <w:tc>
          <w:tcPr>
            <w:tcW w:w="1485" w:type="dxa"/>
            <w:vAlign w:val="center"/>
          </w:tcPr>
          <w:p w14:paraId="17653A93" w14:textId="77777777" w:rsidR="00DD66BF" w:rsidRPr="00EB759C" w:rsidRDefault="00DD66BF" w:rsidP="00884472">
            <w:pPr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L</w:t>
            </w:r>
            <w:r w:rsidRPr="00EB759C">
              <w:rPr>
                <w:color w:val="002060"/>
                <w:sz w:val="16"/>
                <w:szCs w:val="16"/>
              </w:rPr>
              <w:t>ikely to occur and may do so</w:t>
            </w:r>
            <w:r>
              <w:rPr>
                <w:color w:val="002060"/>
                <w:sz w:val="16"/>
                <w:szCs w:val="16"/>
              </w:rPr>
              <w:t xml:space="preserve"> within the next 3 to 4</w:t>
            </w:r>
            <w:r w:rsidRPr="00EB759C">
              <w:rPr>
                <w:color w:val="002060"/>
                <w:sz w:val="16"/>
                <w:szCs w:val="16"/>
              </w:rPr>
              <w:t xml:space="preserve"> years</w:t>
            </w:r>
          </w:p>
        </w:tc>
        <w:tc>
          <w:tcPr>
            <w:tcW w:w="2340" w:type="dxa"/>
            <w:shd w:val="clear" w:color="auto" w:fill="92D050"/>
            <w:vAlign w:val="center"/>
          </w:tcPr>
          <w:p w14:paraId="2184E30F" w14:textId="77777777" w:rsidR="00DD66BF" w:rsidRPr="008B0070" w:rsidRDefault="00DD66BF" w:rsidP="00884472">
            <w:pPr>
              <w:jc w:val="center"/>
              <w:rPr>
                <w:b/>
                <w:color w:val="002776"/>
                <w:kern w:val="24"/>
                <w:sz w:val="18"/>
                <w:szCs w:val="18"/>
              </w:rPr>
            </w:pPr>
            <w:r w:rsidRPr="008B0070">
              <w:rPr>
                <w:b/>
                <w:color w:val="002776"/>
                <w:kern w:val="24"/>
                <w:sz w:val="18"/>
                <w:szCs w:val="18"/>
              </w:rPr>
              <w:t>3</w:t>
            </w:r>
            <w:r>
              <w:rPr>
                <w:b/>
                <w:color w:val="002776"/>
                <w:kern w:val="24"/>
                <w:sz w:val="18"/>
                <w:szCs w:val="18"/>
              </w:rPr>
              <w:t xml:space="preserve"> (L)</w:t>
            </w:r>
          </w:p>
        </w:tc>
        <w:tc>
          <w:tcPr>
            <w:tcW w:w="2250" w:type="dxa"/>
            <w:shd w:val="clear" w:color="auto" w:fill="FFFF00"/>
            <w:vAlign w:val="center"/>
          </w:tcPr>
          <w:p w14:paraId="02077F22" w14:textId="77777777" w:rsidR="00DD66BF" w:rsidRPr="008B0070" w:rsidRDefault="00DD66BF" w:rsidP="00884472">
            <w:pPr>
              <w:jc w:val="center"/>
              <w:rPr>
                <w:b/>
                <w:color w:val="002776"/>
                <w:kern w:val="24"/>
                <w:sz w:val="18"/>
                <w:szCs w:val="18"/>
              </w:rPr>
            </w:pPr>
            <w:r w:rsidRPr="008B0070">
              <w:rPr>
                <w:b/>
                <w:color w:val="002776"/>
                <w:kern w:val="24"/>
                <w:sz w:val="18"/>
                <w:szCs w:val="18"/>
              </w:rPr>
              <w:t>4 (M)</w:t>
            </w:r>
          </w:p>
        </w:tc>
        <w:tc>
          <w:tcPr>
            <w:tcW w:w="2250" w:type="dxa"/>
            <w:shd w:val="clear" w:color="auto" w:fill="FFFF00"/>
            <w:vAlign w:val="center"/>
          </w:tcPr>
          <w:p w14:paraId="74A4F62B" w14:textId="77777777" w:rsidR="00DD66BF" w:rsidRPr="008B0070" w:rsidRDefault="00DD66BF" w:rsidP="00884472">
            <w:pPr>
              <w:jc w:val="center"/>
              <w:rPr>
                <w:b/>
                <w:color w:val="002776"/>
                <w:kern w:val="24"/>
                <w:sz w:val="18"/>
                <w:szCs w:val="18"/>
              </w:rPr>
            </w:pPr>
            <w:r w:rsidRPr="008B0070">
              <w:rPr>
                <w:b/>
                <w:color w:val="002776"/>
                <w:kern w:val="24"/>
                <w:sz w:val="18"/>
                <w:szCs w:val="18"/>
              </w:rPr>
              <w:t>5 (M)</w:t>
            </w:r>
          </w:p>
        </w:tc>
        <w:tc>
          <w:tcPr>
            <w:tcW w:w="2250" w:type="dxa"/>
            <w:shd w:val="clear" w:color="auto" w:fill="FFC000"/>
            <w:vAlign w:val="center"/>
          </w:tcPr>
          <w:p w14:paraId="7784C003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6 (H)</w:t>
            </w:r>
          </w:p>
        </w:tc>
        <w:tc>
          <w:tcPr>
            <w:tcW w:w="2180" w:type="dxa"/>
            <w:shd w:val="clear" w:color="auto" w:fill="FFC000"/>
            <w:vAlign w:val="center"/>
          </w:tcPr>
          <w:p w14:paraId="3AC735B1" w14:textId="77777777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7 (H)</w:t>
            </w:r>
            <w:r>
              <w:rPr>
                <w:b/>
                <w:color w:val="FFFFFF" w:themeColor="background1"/>
                <w:kern w:val="24"/>
                <w:sz w:val="18"/>
                <w:szCs w:val="18"/>
              </w:rPr>
              <w:t xml:space="preserve"> *</w:t>
            </w:r>
          </w:p>
        </w:tc>
      </w:tr>
      <w:tr w:rsidR="00DD66BF" w:rsidRPr="00164FF0" w14:paraId="1B265D4F" w14:textId="77777777" w:rsidTr="004D3D78">
        <w:trPr>
          <w:trHeight w:val="543"/>
        </w:trPr>
        <w:tc>
          <w:tcPr>
            <w:tcW w:w="1413" w:type="dxa"/>
            <w:vAlign w:val="center"/>
          </w:tcPr>
          <w:p w14:paraId="11DF4E23" w14:textId="77777777" w:rsidR="00DD66BF" w:rsidRPr="00197A3E" w:rsidRDefault="00DD66BF" w:rsidP="00884472">
            <w:pPr>
              <w:pStyle w:val="Bodycopy"/>
              <w:spacing w:after="0"/>
              <w:rPr>
                <w:color w:val="002060"/>
                <w:sz w:val="16"/>
                <w:szCs w:val="16"/>
                <w:lang w:val="en-US"/>
              </w:rPr>
            </w:pPr>
            <w:r w:rsidRPr="00197A3E">
              <w:rPr>
                <w:color w:val="002060"/>
                <w:sz w:val="16"/>
                <w:szCs w:val="16"/>
                <w:lang w:val="en-US"/>
              </w:rPr>
              <w:t>1 – Rare</w:t>
            </w:r>
          </w:p>
        </w:tc>
        <w:tc>
          <w:tcPr>
            <w:tcW w:w="1485" w:type="dxa"/>
            <w:vAlign w:val="center"/>
          </w:tcPr>
          <w:p w14:paraId="3EC54472" w14:textId="77777777" w:rsidR="00DD66BF" w:rsidRPr="00197A3E" w:rsidRDefault="00DD66BF" w:rsidP="00884472">
            <w:pPr>
              <w:rPr>
                <w:color w:val="002060"/>
                <w:sz w:val="16"/>
                <w:szCs w:val="16"/>
              </w:rPr>
            </w:pPr>
            <w:r>
              <w:rPr>
                <w:color w:val="002060"/>
                <w:sz w:val="16"/>
                <w:szCs w:val="16"/>
              </w:rPr>
              <w:t>E</w:t>
            </w:r>
            <w:r w:rsidRPr="00EB759C">
              <w:rPr>
                <w:color w:val="002060"/>
                <w:sz w:val="16"/>
                <w:szCs w:val="16"/>
              </w:rPr>
              <w:t xml:space="preserve">xtremely unlikely to occur but may </w:t>
            </w:r>
            <w:r>
              <w:rPr>
                <w:color w:val="002060"/>
                <w:sz w:val="16"/>
                <w:szCs w:val="16"/>
              </w:rPr>
              <w:t>do so in at least 5</w:t>
            </w:r>
            <w:r w:rsidRPr="00EB759C">
              <w:rPr>
                <w:color w:val="002060"/>
                <w:sz w:val="16"/>
                <w:szCs w:val="16"/>
              </w:rPr>
              <w:t xml:space="preserve"> years </w:t>
            </w:r>
          </w:p>
        </w:tc>
        <w:tc>
          <w:tcPr>
            <w:tcW w:w="2340" w:type="dxa"/>
            <w:shd w:val="clear" w:color="auto" w:fill="92D050"/>
            <w:vAlign w:val="center"/>
          </w:tcPr>
          <w:p w14:paraId="30DF97F1" w14:textId="77777777" w:rsidR="00DD66BF" w:rsidRPr="008B0070" w:rsidRDefault="00DD66BF" w:rsidP="00884472">
            <w:pPr>
              <w:jc w:val="center"/>
              <w:rPr>
                <w:b/>
                <w:color w:val="002776"/>
                <w:kern w:val="24"/>
                <w:sz w:val="18"/>
                <w:szCs w:val="18"/>
              </w:rPr>
            </w:pPr>
            <w:r w:rsidRPr="008B0070">
              <w:rPr>
                <w:b/>
                <w:color w:val="002776"/>
                <w:kern w:val="24"/>
                <w:sz w:val="18"/>
                <w:szCs w:val="18"/>
              </w:rPr>
              <w:t>2 (L)</w:t>
            </w:r>
          </w:p>
        </w:tc>
        <w:tc>
          <w:tcPr>
            <w:tcW w:w="2250" w:type="dxa"/>
            <w:shd w:val="clear" w:color="auto" w:fill="92D050"/>
            <w:vAlign w:val="center"/>
          </w:tcPr>
          <w:p w14:paraId="0CD4B9D1" w14:textId="77777777" w:rsidR="00DD66BF" w:rsidRPr="008B0070" w:rsidRDefault="00DD66BF" w:rsidP="00884472">
            <w:pPr>
              <w:jc w:val="center"/>
              <w:rPr>
                <w:b/>
                <w:color w:val="002776"/>
                <w:kern w:val="24"/>
                <w:sz w:val="18"/>
                <w:szCs w:val="18"/>
              </w:rPr>
            </w:pPr>
            <w:r w:rsidRPr="008B0070">
              <w:rPr>
                <w:b/>
                <w:color w:val="002776"/>
                <w:kern w:val="24"/>
                <w:sz w:val="18"/>
                <w:szCs w:val="18"/>
              </w:rPr>
              <w:t>3</w:t>
            </w:r>
            <w:r>
              <w:rPr>
                <w:b/>
                <w:color w:val="002776"/>
                <w:kern w:val="24"/>
                <w:sz w:val="18"/>
                <w:szCs w:val="18"/>
              </w:rPr>
              <w:t xml:space="preserve"> (L)</w:t>
            </w:r>
          </w:p>
        </w:tc>
        <w:tc>
          <w:tcPr>
            <w:tcW w:w="2250" w:type="dxa"/>
            <w:shd w:val="clear" w:color="auto" w:fill="FFFF00"/>
            <w:vAlign w:val="center"/>
          </w:tcPr>
          <w:p w14:paraId="57E9426B" w14:textId="77777777" w:rsidR="00DD66BF" w:rsidRPr="008B0070" w:rsidRDefault="00DD66BF" w:rsidP="00884472">
            <w:pPr>
              <w:jc w:val="center"/>
              <w:rPr>
                <w:b/>
                <w:color w:val="002776"/>
                <w:kern w:val="24"/>
                <w:sz w:val="18"/>
                <w:szCs w:val="18"/>
              </w:rPr>
            </w:pPr>
            <w:r w:rsidRPr="008B0070">
              <w:rPr>
                <w:b/>
                <w:color w:val="002776"/>
                <w:kern w:val="24"/>
                <w:sz w:val="18"/>
                <w:szCs w:val="18"/>
              </w:rPr>
              <w:t>4 (M)</w:t>
            </w:r>
          </w:p>
        </w:tc>
        <w:tc>
          <w:tcPr>
            <w:tcW w:w="2250" w:type="dxa"/>
            <w:shd w:val="clear" w:color="auto" w:fill="FFFF00"/>
            <w:vAlign w:val="center"/>
          </w:tcPr>
          <w:p w14:paraId="2AA5E541" w14:textId="77777777" w:rsidR="00DD66BF" w:rsidRPr="008B0070" w:rsidRDefault="00DD66BF" w:rsidP="00884472">
            <w:pPr>
              <w:jc w:val="center"/>
              <w:rPr>
                <w:b/>
                <w:color w:val="002776"/>
                <w:kern w:val="24"/>
                <w:sz w:val="18"/>
                <w:szCs w:val="18"/>
              </w:rPr>
            </w:pPr>
            <w:r w:rsidRPr="008B0070">
              <w:rPr>
                <w:b/>
                <w:color w:val="002776"/>
                <w:kern w:val="24"/>
                <w:sz w:val="18"/>
                <w:szCs w:val="18"/>
              </w:rPr>
              <w:t>5 (M)</w:t>
            </w:r>
            <w:r>
              <w:rPr>
                <w:b/>
                <w:color w:val="002776"/>
                <w:kern w:val="24"/>
                <w:sz w:val="18"/>
                <w:szCs w:val="18"/>
              </w:rPr>
              <w:t xml:space="preserve"> **</w:t>
            </w:r>
          </w:p>
        </w:tc>
        <w:tc>
          <w:tcPr>
            <w:tcW w:w="2180" w:type="dxa"/>
            <w:shd w:val="clear" w:color="auto" w:fill="FFC000"/>
            <w:vAlign w:val="center"/>
          </w:tcPr>
          <w:p w14:paraId="3958B50C" w14:textId="7CB43BAE" w:rsidR="00DD66BF" w:rsidRPr="008B0070" w:rsidRDefault="00DD66BF" w:rsidP="00884472">
            <w:pPr>
              <w:jc w:val="center"/>
              <w:rPr>
                <w:b/>
                <w:color w:val="FFFFFF" w:themeColor="background1"/>
                <w:kern w:val="24"/>
                <w:sz w:val="18"/>
                <w:szCs w:val="18"/>
              </w:rPr>
            </w:pPr>
            <w:r w:rsidRPr="008B0070">
              <w:rPr>
                <w:b/>
                <w:color w:val="FFFFFF" w:themeColor="background1"/>
                <w:kern w:val="24"/>
                <w:sz w:val="18"/>
                <w:szCs w:val="18"/>
              </w:rPr>
              <w:t>6 (H)</w:t>
            </w:r>
            <w:r>
              <w:rPr>
                <w:b/>
                <w:color w:val="FFFFFF" w:themeColor="background1"/>
                <w:kern w:val="24"/>
                <w:sz w:val="18"/>
                <w:szCs w:val="18"/>
              </w:rPr>
              <w:t xml:space="preserve"> *</w:t>
            </w:r>
          </w:p>
        </w:tc>
      </w:tr>
      <w:tr w:rsidR="00DD66BF" w:rsidRPr="004507FB" w14:paraId="22EAA15A" w14:textId="77777777" w:rsidTr="00884472">
        <w:trPr>
          <w:trHeight w:val="242"/>
        </w:trPr>
        <w:tc>
          <w:tcPr>
            <w:tcW w:w="14168" w:type="dxa"/>
            <w:gridSpan w:val="7"/>
            <w:shd w:val="clear" w:color="auto" w:fill="00B0F0"/>
            <w:vAlign w:val="center"/>
          </w:tcPr>
          <w:p w14:paraId="29D67246" w14:textId="10477A06" w:rsidR="00DD66BF" w:rsidRPr="004507FB" w:rsidRDefault="00DD66BF" w:rsidP="00884472">
            <w:pPr>
              <w:rPr>
                <w:b/>
                <w:color w:val="FFFFFF" w:themeColor="background1"/>
                <w:kern w:val="24"/>
                <w:sz w:val="16"/>
                <w:szCs w:val="16"/>
              </w:rPr>
            </w:pPr>
            <w:r w:rsidRPr="004507FB">
              <w:rPr>
                <w:b/>
                <w:color w:val="FFFFFF" w:themeColor="background1"/>
                <w:sz w:val="16"/>
                <w:szCs w:val="16"/>
              </w:rPr>
              <w:t>Interpretation of risk levels</w:t>
            </w:r>
          </w:p>
        </w:tc>
      </w:tr>
      <w:tr w:rsidR="00DD66BF" w:rsidRPr="006172DF" w14:paraId="7E5A37D0" w14:textId="77777777" w:rsidTr="004D3D78">
        <w:trPr>
          <w:trHeight w:val="215"/>
        </w:trPr>
        <w:tc>
          <w:tcPr>
            <w:tcW w:w="1413" w:type="dxa"/>
            <w:shd w:val="clear" w:color="auto" w:fill="002060"/>
            <w:vAlign w:val="bottom"/>
          </w:tcPr>
          <w:p w14:paraId="1E3CBCD5" w14:textId="77777777" w:rsidR="00DD66BF" w:rsidRPr="006172DF" w:rsidRDefault="00DD66BF" w:rsidP="00884472">
            <w:pPr>
              <w:pStyle w:val="Bodycopy"/>
              <w:spacing w:after="0"/>
              <w:rPr>
                <w:b/>
                <w:color w:val="FFFFFF" w:themeColor="background1"/>
                <w:sz w:val="16"/>
                <w:szCs w:val="18"/>
                <w:lang w:val="en-US"/>
              </w:rPr>
            </w:pPr>
            <w:r w:rsidRPr="006172DF">
              <w:rPr>
                <w:b/>
                <w:color w:val="FFFFFF" w:themeColor="background1"/>
                <w:sz w:val="16"/>
                <w:szCs w:val="18"/>
                <w:lang w:val="en-US"/>
              </w:rPr>
              <w:t>Rating</w:t>
            </w:r>
          </w:p>
        </w:tc>
        <w:tc>
          <w:tcPr>
            <w:tcW w:w="1485" w:type="dxa"/>
            <w:shd w:val="clear" w:color="auto" w:fill="002060"/>
            <w:vAlign w:val="bottom"/>
          </w:tcPr>
          <w:p w14:paraId="1B2507A1" w14:textId="77777777" w:rsidR="00DD66BF" w:rsidRPr="006172DF" w:rsidRDefault="00DD66BF" w:rsidP="00884472">
            <w:pPr>
              <w:rPr>
                <w:b/>
                <w:color w:val="FFFFFF" w:themeColor="background1"/>
                <w:sz w:val="16"/>
                <w:szCs w:val="18"/>
              </w:rPr>
            </w:pPr>
            <w:r w:rsidRPr="006172DF">
              <w:rPr>
                <w:b/>
                <w:color w:val="FFFFFF" w:themeColor="background1"/>
                <w:sz w:val="16"/>
                <w:szCs w:val="18"/>
              </w:rPr>
              <w:t>Risk Level</w:t>
            </w:r>
          </w:p>
        </w:tc>
        <w:tc>
          <w:tcPr>
            <w:tcW w:w="2340" w:type="dxa"/>
            <w:shd w:val="clear" w:color="auto" w:fill="002060"/>
            <w:vAlign w:val="bottom"/>
          </w:tcPr>
          <w:p w14:paraId="76A27391" w14:textId="77777777" w:rsidR="00DD66BF" w:rsidRPr="006172DF" w:rsidRDefault="00DD66BF" w:rsidP="00884472">
            <w:pPr>
              <w:rPr>
                <w:b/>
                <w:color w:val="FFFFFF" w:themeColor="background1"/>
                <w:kern w:val="24"/>
                <w:sz w:val="16"/>
                <w:szCs w:val="18"/>
              </w:rPr>
            </w:pPr>
            <w:r w:rsidRPr="006172DF">
              <w:rPr>
                <w:b/>
                <w:color w:val="FFFFFF" w:themeColor="background1"/>
                <w:kern w:val="24"/>
                <w:sz w:val="16"/>
                <w:szCs w:val="18"/>
              </w:rPr>
              <w:t>Class Levels</w:t>
            </w:r>
          </w:p>
        </w:tc>
        <w:tc>
          <w:tcPr>
            <w:tcW w:w="8930" w:type="dxa"/>
            <w:gridSpan w:val="4"/>
            <w:shd w:val="clear" w:color="auto" w:fill="002060"/>
            <w:vAlign w:val="bottom"/>
          </w:tcPr>
          <w:p w14:paraId="513877D6" w14:textId="77777777" w:rsidR="00DD66BF" w:rsidRPr="006172DF" w:rsidRDefault="00DD66BF" w:rsidP="00884472">
            <w:pPr>
              <w:rPr>
                <w:b/>
                <w:color w:val="FFFFFF" w:themeColor="background1"/>
                <w:kern w:val="24"/>
                <w:sz w:val="16"/>
                <w:szCs w:val="18"/>
              </w:rPr>
            </w:pPr>
            <w:r w:rsidRPr="006172DF">
              <w:rPr>
                <w:b/>
                <w:color w:val="FFFFFF" w:themeColor="background1"/>
                <w:kern w:val="24"/>
                <w:sz w:val="16"/>
                <w:szCs w:val="18"/>
              </w:rPr>
              <w:t>Required Action</w:t>
            </w:r>
          </w:p>
        </w:tc>
      </w:tr>
      <w:tr w:rsidR="00DD66BF" w:rsidRPr="006E3712" w14:paraId="254D3581" w14:textId="77777777" w:rsidTr="004D3D78">
        <w:trPr>
          <w:trHeight w:val="426"/>
        </w:trPr>
        <w:tc>
          <w:tcPr>
            <w:tcW w:w="1413" w:type="dxa"/>
            <w:vAlign w:val="center"/>
          </w:tcPr>
          <w:p w14:paraId="661C160E" w14:textId="77777777" w:rsidR="00DD66BF" w:rsidRPr="006E3712" w:rsidRDefault="00DD66BF" w:rsidP="00884472">
            <w:pPr>
              <w:pStyle w:val="Bodycopy"/>
              <w:spacing w:after="0"/>
              <w:rPr>
                <w:color w:val="002060"/>
                <w:sz w:val="16"/>
                <w:szCs w:val="18"/>
                <w:lang w:val="en-US"/>
              </w:rPr>
            </w:pPr>
            <w:r w:rsidRPr="006E3712">
              <w:rPr>
                <w:color w:val="002060"/>
                <w:sz w:val="16"/>
                <w:szCs w:val="18"/>
                <w:lang w:val="en-US"/>
              </w:rPr>
              <w:lastRenderedPageBreak/>
              <w:t>8 to 10</w:t>
            </w:r>
          </w:p>
        </w:tc>
        <w:tc>
          <w:tcPr>
            <w:tcW w:w="1485" w:type="dxa"/>
            <w:vAlign w:val="center"/>
          </w:tcPr>
          <w:p w14:paraId="5E86FBB7" w14:textId="77777777" w:rsidR="00DD66BF" w:rsidRPr="006E3712" w:rsidRDefault="00DD66BF" w:rsidP="00884472">
            <w:pPr>
              <w:rPr>
                <w:color w:val="002060"/>
                <w:sz w:val="16"/>
                <w:szCs w:val="18"/>
              </w:rPr>
            </w:pPr>
            <w:r w:rsidRPr="006E3712">
              <w:rPr>
                <w:color w:val="002060"/>
                <w:sz w:val="16"/>
                <w:szCs w:val="18"/>
              </w:rPr>
              <w:t>(Ex) – Extreme</w:t>
            </w:r>
          </w:p>
        </w:tc>
        <w:tc>
          <w:tcPr>
            <w:tcW w:w="2340" w:type="dxa"/>
            <w:shd w:val="clear" w:color="auto" w:fill="FF0000"/>
            <w:vAlign w:val="center"/>
          </w:tcPr>
          <w:p w14:paraId="7B737325" w14:textId="77777777" w:rsidR="00DD66BF" w:rsidRPr="003931F0" w:rsidRDefault="00DD66BF" w:rsidP="00884472">
            <w:pPr>
              <w:rPr>
                <w:color w:val="FFFFFF" w:themeColor="background1"/>
                <w:kern w:val="24"/>
                <w:sz w:val="16"/>
                <w:szCs w:val="18"/>
              </w:rPr>
            </w:pPr>
            <w:r w:rsidRPr="003931F0">
              <w:rPr>
                <w:color w:val="FFFFFF" w:themeColor="background1"/>
                <w:kern w:val="24"/>
                <w:sz w:val="16"/>
                <w:szCs w:val="18"/>
              </w:rPr>
              <w:t>Class IV</w:t>
            </w:r>
          </w:p>
        </w:tc>
        <w:tc>
          <w:tcPr>
            <w:tcW w:w="8930" w:type="dxa"/>
            <w:gridSpan w:val="4"/>
            <w:shd w:val="clear" w:color="auto" w:fill="FFFFFF" w:themeFill="background1"/>
            <w:vAlign w:val="center"/>
          </w:tcPr>
          <w:p w14:paraId="17154037" w14:textId="6C3DB298" w:rsidR="00DD66BF" w:rsidRPr="006E3712" w:rsidRDefault="00DD66BF" w:rsidP="00884472">
            <w:pPr>
              <w:rPr>
                <w:color w:val="002060"/>
                <w:kern w:val="24"/>
                <w:sz w:val="16"/>
                <w:szCs w:val="18"/>
              </w:rPr>
            </w:pPr>
            <w:r w:rsidRPr="006E3712">
              <w:rPr>
                <w:color w:val="002060"/>
                <w:kern w:val="24"/>
                <w:sz w:val="16"/>
                <w:szCs w:val="18"/>
              </w:rPr>
              <w:t>Requires Immediate treatment and response with monthly progressing reports to</w:t>
            </w:r>
            <w:r>
              <w:rPr>
                <w:color w:val="002060"/>
                <w:kern w:val="24"/>
                <w:sz w:val="16"/>
                <w:szCs w:val="18"/>
              </w:rPr>
              <w:t xml:space="preserve"> Executive Risk Oversight Committee (EROC), respective SBU’s Board of Managers, and Board of Directors.</w:t>
            </w:r>
          </w:p>
        </w:tc>
      </w:tr>
      <w:tr w:rsidR="00DD66BF" w:rsidRPr="006E3712" w14:paraId="2E3CC745" w14:textId="77777777" w:rsidTr="004D3D78">
        <w:trPr>
          <w:trHeight w:val="264"/>
        </w:trPr>
        <w:tc>
          <w:tcPr>
            <w:tcW w:w="1413" w:type="dxa"/>
            <w:vAlign w:val="center"/>
          </w:tcPr>
          <w:p w14:paraId="1E0A6032" w14:textId="77777777" w:rsidR="00DD66BF" w:rsidRPr="006E3712" w:rsidRDefault="00DD66BF" w:rsidP="00884472">
            <w:pPr>
              <w:pStyle w:val="Bodycopy"/>
              <w:spacing w:after="0"/>
              <w:rPr>
                <w:color w:val="002060"/>
                <w:sz w:val="16"/>
                <w:szCs w:val="18"/>
                <w:lang w:val="en-US"/>
              </w:rPr>
            </w:pPr>
            <w:r w:rsidRPr="006E3712">
              <w:rPr>
                <w:color w:val="002060"/>
                <w:sz w:val="16"/>
                <w:szCs w:val="18"/>
                <w:lang w:val="en-US"/>
              </w:rPr>
              <w:t>6 to 7</w:t>
            </w:r>
          </w:p>
        </w:tc>
        <w:tc>
          <w:tcPr>
            <w:tcW w:w="1485" w:type="dxa"/>
            <w:vAlign w:val="center"/>
          </w:tcPr>
          <w:p w14:paraId="0F1918D6" w14:textId="77777777" w:rsidR="00DD66BF" w:rsidRPr="006E3712" w:rsidRDefault="00DD66BF" w:rsidP="00884472">
            <w:pPr>
              <w:rPr>
                <w:color w:val="002060"/>
                <w:sz w:val="16"/>
                <w:szCs w:val="18"/>
              </w:rPr>
            </w:pPr>
            <w:r w:rsidRPr="006E3712">
              <w:rPr>
                <w:color w:val="002060"/>
                <w:sz w:val="16"/>
                <w:szCs w:val="18"/>
              </w:rPr>
              <w:t>(H) – High</w:t>
            </w:r>
          </w:p>
        </w:tc>
        <w:tc>
          <w:tcPr>
            <w:tcW w:w="2340" w:type="dxa"/>
            <w:shd w:val="clear" w:color="auto" w:fill="FFC000"/>
            <w:vAlign w:val="center"/>
          </w:tcPr>
          <w:p w14:paraId="50DA85D5" w14:textId="77777777" w:rsidR="00DD66BF" w:rsidRPr="003931F0" w:rsidRDefault="00DD66BF" w:rsidP="00884472">
            <w:pPr>
              <w:rPr>
                <w:color w:val="FFFFFF" w:themeColor="background1"/>
                <w:kern w:val="24"/>
                <w:sz w:val="16"/>
                <w:szCs w:val="18"/>
              </w:rPr>
            </w:pPr>
            <w:r w:rsidRPr="003931F0">
              <w:rPr>
                <w:color w:val="FFFFFF" w:themeColor="background1"/>
                <w:kern w:val="24"/>
                <w:sz w:val="16"/>
                <w:szCs w:val="18"/>
              </w:rPr>
              <w:t>Class III</w:t>
            </w:r>
          </w:p>
        </w:tc>
        <w:tc>
          <w:tcPr>
            <w:tcW w:w="8930" w:type="dxa"/>
            <w:gridSpan w:val="4"/>
            <w:shd w:val="clear" w:color="auto" w:fill="FFFFFF" w:themeFill="background1"/>
            <w:vAlign w:val="center"/>
          </w:tcPr>
          <w:p w14:paraId="6A4D3024" w14:textId="77777777" w:rsidR="00DD66BF" w:rsidRPr="006E3712" w:rsidRDefault="00DD66BF" w:rsidP="00884472">
            <w:pPr>
              <w:rPr>
                <w:color w:val="002060"/>
                <w:kern w:val="24"/>
                <w:sz w:val="16"/>
                <w:szCs w:val="18"/>
              </w:rPr>
            </w:pPr>
            <w:r>
              <w:rPr>
                <w:color w:val="002060"/>
                <w:kern w:val="24"/>
                <w:sz w:val="16"/>
                <w:szCs w:val="18"/>
              </w:rPr>
              <w:t>Requires an</w:t>
            </w:r>
            <w:r w:rsidRPr="006E3712">
              <w:rPr>
                <w:color w:val="002060"/>
                <w:kern w:val="24"/>
                <w:sz w:val="16"/>
                <w:szCs w:val="18"/>
              </w:rPr>
              <w:t xml:space="preserve"> appropriate treatment and response with progress reporting to the </w:t>
            </w:r>
            <w:r>
              <w:rPr>
                <w:color w:val="002060"/>
                <w:kern w:val="24"/>
                <w:sz w:val="16"/>
                <w:szCs w:val="18"/>
              </w:rPr>
              <w:t>Executive Risk Oversight Committee and respective Board of Managers.</w:t>
            </w:r>
          </w:p>
        </w:tc>
      </w:tr>
      <w:tr w:rsidR="00DD66BF" w:rsidRPr="006E3712" w14:paraId="11183CF1" w14:textId="77777777" w:rsidTr="004D3D78">
        <w:trPr>
          <w:trHeight w:val="300"/>
        </w:trPr>
        <w:tc>
          <w:tcPr>
            <w:tcW w:w="1413" w:type="dxa"/>
            <w:vAlign w:val="center"/>
          </w:tcPr>
          <w:p w14:paraId="6CB57502" w14:textId="77777777" w:rsidR="00DD66BF" w:rsidRPr="006E3712" w:rsidRDefault="00DD66BF" w:rsidP="00884472">
            <w:pPr>
              <w:pStyle w:val="Bodycopy"/>
              <w:spacing w:after="0"/>
              <w:rPr>
                <w:color w:val="002060"/>
                <w:sz w:val="16"/>
                <w:szCs w:val="18"/>
                <w:lang w:val="en-US"/>
              </w:rPr>
            </w:pPr>
            <w:r w:rsidRPr="006E3712">
              <w:rPr>
                <w:color w:val="002060"/>
                <w:sz w:val="16"/>
                <w:szCs w:val="18"/>
                <w:lang w:val="en-US"/>
              </w:rPr>
              <w:t>4 to 5</w:t>
            </w:r>
          </w:p>
        </w:tc>
        <w:tc>
          <w:tcPr>
            <w:tcW w:w="1485" w:type="dxa"/>
            <w:vAlign w:val="center"/>
          </w:tcPr>
          <w:p w14:paraId="0856D0DB" w14:textId="77777777" w:rsidR="00DD66BF" w:rsidRPr="006E3712" w:rsidRDefault="00DD66BF" w:rsidP="00884472">
            <w:pPr>
              <w:rPr>
                <w:color w:val="002060"/>
                <w:sz w:val="16"/>
                <w:szCs w:val="18"/>
              </w:rPr>
            </w:pPr>
            <w:r w:rsidRPr="006E3712">
              <w:rPr>
                <w:color w:val="002060"/>
                <w:sz w:val="16"/>
                <w:szCs w:val="18"/>
              </w:rPr>
              <w:t>(M) – M</w:t>
            </w:r>
            <w:r>
              <w:rPr>
                <w:color w:val="002060"/>
                <w:sz w:val="16"/>
                <w:szCs w:val="18"/>
              </w:rPr>
              <w:t>oderate</w:t>
            </w:r>
          </w:p>
        </w:tc>
        <w:tc>
          <w:tcPr>
            <w:tcW w:w="2340" w:type="dxa"/>
            <w:shd w:val="clear" w:color="auto" w:fill="FFFF00"/>
            <w:vAlign w:val="center"/>
          </w:tcPr>
          <w:p w14:paraId="0597103E" w14:textId="77777777" w:rsidR="00DD66BF" w:rsidRPr="006E3712" w:rsidRDefault="00DD66BF" w:rsidP="00884472">
            <w:pPr>
              <w:rPr>
                <w:color w:val="002060"/>
                <w:kern w:val="24"/>
                <w:sz w:val="16"/>
                <w:szCs w:val="18"/>
              </w:rPr>
            </w:pPr>
            <w:r w:rsidRPr="006E3712">
              <w:rPr>
                <w:color w:val="002060"/>
                <w:kern w:val="24"/>
                <w:sz w:val="16"/>
                <w:szCs w:val="18"/>
              </w:rPr>
              <w:t>Class II</w:t>
            </w:r>
          </w:p>
        </w:tc>
        <w:tc>
          <w:tcPr>
            <w:tcW w:w="8930" w:type="dxa"/>
            <w:gridSpan w:val="4"/>
            <w:shd w:val="clear" w:color="auto" w:fill="FFFFFF" w:themeFill="background1"/>
            <w:vAlign w:val="center"/>
          </w:tcPr>
          <w:p w14:paraId="0F56D439" w14:textId="77777777" w:rsidR="00DD66BF" w:rsidRPr="006E3712" w:rsidRDefault="00DD66BF" w:rsidP="00884472">
            <w:pPr>
              <w:rPr>
                <w:color w:val="002060"/>
                <w:kern w:val="24"/>
                <w:sz w:val="16"/>
                <w:szCs w:val="18"/>
              </w:rPr>
            </w:pPr>
            <w:r w:rsidRPr="006E3712">
              <w:rPr>
                <w:color w:val="002060"/>
                <w:kern w:val="24"/>
                <w:sz w:val="16"/>
                <w:szCs w:val="18"/>
              </w:rPr>
              <w:t xml:space="preserve">Actively </w:t>
            </w:r>
            <w:r>
              <w:rPr>
                <w:color w:val="002060"/>
                <w:kern w:val="24"/>
                <w:sz w:val="16"/>
                <w:szCs w:val="18"/>
              </w:rPr>
              <w:t>manage / monitor at the SBU / BU Level, and Tactical Risk Management Committee (TRMC).</w:t>
            </w:r>
          </w:p>
        </w:tc>
      </w:tr>
      <w:tr w:rsidR="00DD66BF" w:rsidRPr="006E3712" w14:paraId="20677325" w14:textId="77777777" w:rsidTr="004D3D78">
        <w:trPr>
          <w:trHeight w:val="377"/>
        </w:trPr>
        <w:tc>
          <w:tcPr>
            <w:tcW w:w="1413" w:type="dxa"/>
            <w:vAlign w:val="center"/>
          </w:tcPr>
          <w:p w14:paraId="69E69FCC" w14:textId="77777777" w:rsidR="00DD66BF" w:rsidRPr="006E3712" w:rsidRDefault="00DD66BF" w:rsidP="00884472">
            <w:pPr>
              <w:pStyle w:val="Bodycopy"/>
              <w:spacing w:after="0"/>
              <w:rPr>
                <w:color w:val="002060"/>
                <w:sz w:val="16"/>
                <w:szCs w:val="18"/>
                <w:lang w:val="en-US"/>
              </w:rPr>
            </w:pPr>
            <w:r w:rsidRPr="006E3712">
              <w:rPr>
                <w:color w:val="002060"/>
                <w:sz w:val="16"/>
                <w:szCs w:val="18"/>
                <w:lang w:val="en-US"/>
              </w:rPr>
              <w:t>2 to 3</w:t>
            </w:r>
          </w:p>
        </w:tc>
        <w:tc>
          <w:tcPr>
            <w:tcW w:w="1485" w:type="dxa"/>
            <w:vAlign w:val="center"/>
          </w:tcPr>
          <w:p w14:paraId="4F8D426E" w14:textId="77777777" w:rsidR="00DD66BF" w:rsidRPr="006E3712" w:rsidRDefault="00DD66BF" w:rsidP="00884472">
            <w:pPr>
              <w:rPr>
                <w:color w:val="002060"/>
                <w:sz w:val="16"/>
                <w:szCs w:val="18"/>
              </w:rPr>
            </w:pPr>
            <w:r w:rsidRPr="006E3712">
              <w:rPr>
                <w:color w:val="002060"/>
                <w:sz w:val="16"/>
                <w:szCs w:val="18"/>
              </w:rPr>
              <w:t>(L) – Low</w:t>
            </w:r>
          </w:p>
        </w:tc>
        <w:tc>
          <w:tcPr>
            <w:tcW w:w="2340" w:type="dxa"/>
            <w:shd w:val="clear" w:color="auto" w:fill="92D050"/>
            <w:vAlign w:val="center"/>
          </w:tcPr>
          <w:p w14:paraId="793A5052" w14:textId="77777777" w:rsidR="00DD66BF" w:rsidRPr="006E3712" w:rsidRDefault="00DD66BF" w:rsidP="00884472">
            <w:pPr>
              <w:rPr>
                <w:color w:val="002060"/>
                <w:kern w:val="24"/>
                <w:sz w:val="16"/>
                <w:szCs w:val="18"/>
              </w:rPr>
            </w:pPr>
            <w:r w:rsidRPr="006E3712">
              <w:rPr>
                <w:color w:val="002060"/>
                <w:kern w:val="24"/>
                <w:sz w:val="16"/>
                <w:szCs w:val="18"/>
              </w:rPr>
              <w:t>Class I</w:t>
            </w:r>
          </w:p>
        </w:tc>
        <w:tc>
          <w:tcPr>
            <w:tcW w:w="8930" w:type="dxa"/>
            <w:gridSpan w:val="4"/>
            <w:shd w:val="clear" w:color="auto" w:fill="FFFFFF" w:themeFill="background1"/>
            <w:vAlign w:val="center"/>
          </w:tcPr>
          <w:p w14:paraId="4D285C3D" w14:textId="77777777" w:rsidR="00DD66BF" w:rsidRPr="006E3712" w:rsidRDefault="00DD66BF" w:rsidP="00884472">
            <w:pPr>
              <w:rPr>
                <w:color w:val="002060"/>
                <w:kern w:val="24"/>
                <w:sz w:val="16"/>
                <w:szCs w:val="18"/>
              </w:rPr>
            </w:pPr>
            <w:r w:rsidRPr="006E3712">
              <w:rPr>
                <w:color w:val="002060"/>
                <w:kern w:val="24"/>
                <w:sz w:val="16"/>
                <w:szCs w:val="18"/>
              </w:rPr>
              <w:t>Monitor and manage as required</w:t>
            </w:r>
            <w:r>
              <w:rPr>
                <w:color w:val="002060"/>
                <w:kern w:val="24"/>
                <w:sz w:val="16"/>
                <w:szCs w:val="18"/>
              </w:rPr>
              <w:t xml:space="preserve"> at the SBU / BU Level.</w:t>
            </w:r>
          </w:p>
        </w:tc>
      </w:tr>
    </w:tbl>
    <w:p w14:paraId="4D6E97A2" w14:textId="77777777" w:rsidR="004D3D78" w:rsidRDefault="004D3D78" w:rsidP="005A04C2">
      <w:pPr>
        <w:rPr>
          <w:rFonts w:ascii="Arial" w:hAnsi="Arial" w:cs="Arial"/>
          <w:b/>
          <w:i/>
          <w:iCs/>
          <w:color w:val="595959" w:themeColor="text1" w:themeTint="A6"/>
        </w:rPr>
      </w:pPr>
    </w:p>
    <w:p w14:paraId="15EFB8C0" w14:textId="77777777" w:rsidR="004D3D78" w:rsidRDefault="004D3D78">
      <w:pPr>
        <w:spacing w:after="0" w:line="240" w:lineRule="auto"/>
        <w:rPr>
          <w:rFonts w:ascii="Arial" w:hAnsi="Arial" w:cs="Arial"/>
          <w:b/>
          <w:i/>
          <w:iCs/>
          <w:color w:val="595959" w:themeColor="text1" w:themeTint="A6"/>
        </w:rPr>
      </w:pPr>
      <w:r>
        <w:rPr>
          <w:rFonts w:ascii="Arial" w:hAnsi="Arial" w:cs="Arial"/>
          <w:b/>
          <w:i/>
          <w:iCs/>
          <w:color w:val="595959" w:themeColor="text1" w:themeTint="A6"/>
        </w:rPr>
        <w:br w:type="page"/>
      </w:r>
    </w:p>
    <w:p w14:paraId="0EDAC6B7" w14:textId="26BC03EF" w:rsidR="005A04C2" w:rsidRPr="00006F86" w:rsidRDefault="005A04C2" w:rsidP="005A04C2">
      <w:pPr>
        <w:rPr>
          <w:rFonts w:ascii="Arial" w:hAnsi="Arial" w:cs="Arial"/>
          <w:b/>
          <w:color w:val="595959" w:themeColor="text1" w:themeTint="A6"/>
        </w:rPr>
      </w:pPr>
      <w:r w:rsidRPr="00006F86">
        <w:rPr>
          <w:rFonts w:ascii="Arial" w:hAnsi="Arial" w:cs="Arial"/>
          <w:b/>
          <w:i/>
          <w:iCs/>
          <w:color w:val="595959" w:themeColor="text1" w:themeTint="A6"/>
        </w:rPr>
        <w:lastRenderedPageBreak/>
        <w:t>Control Ratings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9"/>
        <w:gridCol w:w="2701"/>
        <w:gridCol w:w="1738"/>
        <w:gridCol w:w="8032"/>
      </w:tblGrid>
      <w:tr w:rsidR="005A04C2" w:rsidRPr="00B94E89" w14:paraId="06A7C8BF" w14:textId="77777777" w:rsidTr="00006F86">
        <w:tc>
          <w:tcPr>
            <w:tcW w:w="530" w:type="pct"/>
            <w:shd w:val="clear" w:color="auto" w:fill="003399"/>
          </w:tcPr>
          <w:p w14:paraId="7A0604A9" w14:textId="77777777" w:rsidR="005A04C2" w:rsidRPr="00B94E89" w:rsidRDefault="005A04C2" w:rsidP="00884472">
            <w:pPr>
              <w:pStyle w:val="tablehead"/>
              <w:spacing w:before="120" w:after="120"/>
              <w:rPr>
                <w:rFonts w:cs="Arial"/>
                <w:sz w:val="20"/>
              </w:rPr>
            </w:pPr>
          </w:p>
        </w:tc>
        <w:tc>
          <w:tcPr>
            <w:tcW w:w="968" w:type="pct"/>
            <w:shd w:val="clear" w:color="auto" w:fill="003399"/>
          </w:tcPr>
          <w:p w14:paraId="53EDD1B6" w14:textId="77777777" w:rsidR="005A04C2" w:rsidRPr="00B94E89" w:rsidRDefault="005A04C2" w:rsidP="00884472">
            <w:pPr>
              <w:pStyle w:val="tablehead"/>
              <w:spacing w:before="120" w:after="120"/>
              <w:rPr>
                <w:rFonts w:cs="Arial"/>
                <w:sz w:val="20"/>
              </w:rPr>
            </w:pPr>
          </w:p>
        </w:tc>
        <w:tc>
          <w:tcPr>
            <w:tcW w:w="623" w:type="pct"/>
            <w:shd w:val="clear" w:color="auto" w:fill="003399"/>
          </w:tcPr>
          <w:p w14:paraId="659318F1" w14:textId="77777777" w:rsidR="005A04C2" w:rsidRPr="00B94E89" w:rsidRDefault="005A04C2" w:rsidP="00884472">
            <w:pPr>
              <w:pStyle w:val="tablehead"/>
              <w:spacing w:before="120" w:after="120"/>
              <w:rPr>
                <w:rFonts w:cs="Arial"/>
                <w:sz w:val="20"/>
              </w:rPr>
            </w:pPr>
            <w:r w:rsidRPr="00B94E89">
              <w:rPr>
                <w:rFonts w:cs="Arial"/>
                <w:sz w:val="20"/>
              </w:rPr>
              <w:t>Rating *</w:t>
            </w:r>
          </w:p>
        </w:tc>
        <w:tc>
          <w:tcPr>
            <w:tcW w:w="2878" w:type="pct"/>
            <w:shd w:val="clear" w:color="auto" w:fill="003399"/>
          </w:tcPr>
          <w:p w14:paraId="5730CFFC" w14:textId="77777777" w:rsidR="005A04C2" w:rsidRPr="00B94E89" w:rsidRDefault="005A04C2" w:rsidP="00884472">
            <w:pPr>
              <w:pStyle w:val="tablehead"/>
              <w:spacing w:before="120" w:after="120"/>
              <w:rPr>
                <w:rFonts w:cs="Arial"/>
                <w:sz w:val="20"/>
              </w:rPr>
            </w:pPr>
            <w:r w:rsidRPr="00B94E89">
              <w:rPr>
                <w:rFonts w:cs="Arial"/>
                <w:sz w:val="20"/>
              </w:rPr>
              <w:t>Description</w:t>
            </w:r>
          </w:p>
        </w:tc>
      </w:tr>
      <w:tr w:rsidR="005A04C2" w:rsidRPr="00B94E89" w14:paraId="3A43FC67" w14:textId="77777777" w:rsidTr="00006F86">
        <w:trPr>
          <w:trHeight w:val="1393"/>
        </w:trPr>
        <w:tc>
          <w:tcPr>
            <w:tcW w:w="530" w:type="pct"/>
            <w:vMerge w:val="restart"/>
            <w:shd w:val="clear" w:color="auto" w:fill="008000"/>
            <w:textDirection w:val="btLr"/>
          </w:tcPr>
          <w:p w14:paraId="6DCD04D3" w14:textId="77777777" w:rsidR="005A04C2" w:rsidRPr="00B94E89" w:rsidRDefault="005A04C2" w:rsidP="00884472">
            <w:pPr>
              <w:pStyle w:val="tabletext"/>
              <w:spacing w:before="240" w:after="240"/>
              <w:ind w:left="113" w:right="113"/>
              <w:jc w:val="center"/>
              <w:rPr>
                <w:rFonts w:cs="Arial"/>
                <w:color w:val="FFFFFF"/>
              </w:rPr>
            </w:pPr>
            <w:r w:rsidRPr="00B94E89">
              <w:rPr>
                <w:rFonts w:cs="Arial"/>
                <w:b/>
                <w:snapToGrid w:val="0"/>
                <w:color w:val="FFFFFF"/>
              </w:rPr>
              <w:t>ADEQUA</w:t>
            </w:r>
            <w:r w:rsidRPr="00B94E89">
              <w:rPr>
                <w:rFonts w:cs="Arial"/>
                <w:b/>
                <w:color w:val="FFFFFF"/>
              </w:rPr>
              <w:t>TE</w:t>
            </w:r>
          </w:p>
        </w:tc>
        <w:tc>
          <w:tcPr>
            <w:tcW w:w="968" w:type="pct"/>
            <w:vAlign w:val="center"/>
          </w:tcPr>
          <w:p w14:paraId="6D3F10C1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B94E89">
              <w:rPr>
                <w:rFonts w:cs="Arial"/>
                <w:b/>
                <w:bCs/>
              </w:rPr>
              <w:t>Excellent</w:t>
            </w:r>
          </w:p>
        </w:tc>
        <w:tc>
          <w:tcPr>
            <w:tcW w:w="623" w:type="pct"/>
            <w:vAlign w:val="center"/>
          </w:tcPr>
          <w:p w14:paraId="2772B0EE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B94E89">
              <w:rPr>
                <w:rFonts w:cs="Arial"/>
                <w:b/>
                <w:bCs/>
              </w:rPr>
              <w:t>1</w:t>
            </w:r>
          </w:p>
        </w:tc>
        <w:tc>
          <w:tcPr>
            <w:tcW w:w="2878" w:type="pct"/>
            <w:vAlign w:val="center"/>
          </w:tcPr>
          <w:p w14:paraId="75FA54D4" w14:textId="77777777" w:rsidR="005A04C2" w:rsidRPr="00B94E89" w:rsidRDefault="005A04C2" w:rsidP="00884472">
            <w:pPr>
              <w:pStyle w:val="tabletext"/>
              <w:spacing w:before="240" w:after="240"/>
              <w:jc w:val="both"/>
              <w:rPr>
                <w:rFonts w:cs="Arial"/>
              </w:rPr>
            </w:pPr>
            <w:r w:rsidRPr="00B94E89">
              <w:rPr>
                <w:rFonts w:cs="Arial"/>
              </w:rPr>
              <w:t xml:space="preserve">Effective and efficient systems and processes adequately mitigate the risk. </w:t>
            </w:r>
          </w:p>
          <w:p w14:paraId="1F9535F7" w14:textId="77777777" w:rsidR="005A04C2" w:rsidRPr="00B94E89" w:rsidRDefault="005A04C2" w:rsidP="00884472">
            <w:pPr>
              <w:pStyle w:val="tabletext"/>
              <w:spacing w:before="240" w:after="240"/>
              <w:jc w:val="both"/>
              <w:rPr>
                <w:rFonts w:cs="Arial"/>
              </w:rPr>
            </w:pPr>
            <w:r w:rsidRPr="00B94E89">
              <w:rPr>
                <w:rFonts w:cs="Arial"/>
                <w:b/>
                <w:bCs/>
              </w:rPr>
              <w:t>Example</w:t>
            </w:r>
            <w:r w:rsidRPr="00B94E89">
              <w:rPr>
                <w:rFonts w:cs="Arial"/>
              </w:rPr>
              <w:t xml:space="preserve"> – Systems and processes exist to manage the risk and management accountability is assigned.  The systems are well documented and regular monitoring / management review indicates high compliance to the process and that the system is effective in mitigating the risk.</w:t>
            </w:r>
          </w:p>
        </w:tc>
      </w:tr>
      <w:tr w:rsidR="005A04C2" w:rsidRPr="00B94E89" w14:paraId="32345E12" w14:textId="77777777" w:rsidTr="00006F86">
        <w:trPr>
          <w:cantSplit/>
          <w:trHeight w:val="1394"/>
        </w:trPr>
        <w:tc>
          <w:tcPr>
            <w:tcW w:w="530" w:type="pct"/>
            <w:vMerge/>
            <w:shd w:val="clear" w:color="auto" w:fill="008000"/>
          </w:tcPr>
          <w:p w14:paraId="5D36D3AF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</w:rPr>
            </w:pPr>
          </w:p>
        </w:tc>
        <w:tc>
          <w:tcPr>
            <w:tcW w:w="968" w:type="pct"/>
            <w:vAlign w:val="center"/>
          </w:tcPr>
          <w:p w14:paraId="1B63B95E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B94E89">
              <w:rPr>
                <w:rFonts w:cs="Arial"/>
                <w:b/>
                <w:bCs/>
              </w:rPr>
              <w:t>Good</w:t>
            </w:r>
          </w:p>
        </w:tc>
        <w:tc>
          <w:tcPr>
            <w:tcW w:w="623" w:type="pct"/>
            <w:vAlign w:val="center"/>
          </w:tcPr>
          <w:p w14:paraId="5BCB07FD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B94E89">
              <w:rPr>
                <w:rFonts w:cs="Arial"/>
                <w:b/>
                <w:bCs/>
              </w:rPr>
              <w:t>2, 3 or 4</w:t>
            </w:r>
          </w:p>
        </w:tc>
        <w:tc>
          <w:tcPr>
            <w:tcW w:w="2878" w:type="pct"/>
            <w:vAlign w:val="center"/>
          </w:tcPr>
          <w:p w14:paraId="16FE61A2" w14:textId="77777777" w:rsidR="005A04C2" w:rsidRPr="00B94E89" w:rsidRDefault="005A04C2" w:rsidP="00884472">
            <w:pPr>
              <w:pStyle w:val="tabletext"/>
              <w:spacing w:before="240" w:after="240"/>
              <w:jc w:val="both"/>
              <w:rPr>
                <w:rFonts w:cs="Arial"/>
              </w:rPr>
            </w:pPr>
            <w:r w:rsidRPr="00B94E89">
              <w:rPr>
                <w:rFonts w:cs="Arial"/>
              </w:rPr>
              <w:t xml:space="preserve">Systems and processes exist which adequately mitigate the risk.  </w:t>
            </w:r>
          </w:p>
          <w:p w14:paraId="37F44CD5" w14:textId="77777777" w:rsidR="005A04C2" w:rsidRPr="00B94E89" w:rsidRDefault="005A04C2" w:rsidP="00884472">
            <w:pPr>
              <w:pStyle w:val="tabletext"/>
              <w:spacing w:before="240" w:after="240"/>
              <w:jc w:val="both"/>
              <w:rPr>
                <w:rFonts w:cs="Arial"/>
              </w:rPr>
            </w:pPr>
            <w:r w:rsidRPr="00B94E89">
              <w:rPr>
                <w:rFonts w:cs="Arial"/>
                <w:b/>
                <w:bCs/>
              </w:rPr>
              <w:t xml:space="preserve">Example </w:t>
            </w:r>
            <w:r w:rsidRPr="00B94E89">
              <w:rPr>
                <w:rFonts w:cs="Arial"/>
              </w:rPr>
              <w:t>– Some improvement opportunities have been identified but not yet actioned.  Formal documentation exists for key systems and processes in place to manage the risk which is reasonably understood by staff.</w:t>
            </w:r>
          </w:p>
        </w:tc>
      </w:tr>
      <w:tr w:rsidR="005A04C2" w:rsidRPr="00B94E89" w14:paraId="6F2E33E0" w14:textId="77777777" w:rsidTr="00006F86">
        <w:trPr>
          <w:cantSplit/>
          <w:trHeight w:val="1393"/>
        </w:trPr>
        <w:tc>
          <w:tcPr>
            <w:tcW w:w="530" w:type="pct"/>
            <w:vMerge w:val="restart"/>
            <w:shd w:val="clear" w:color="auto" w:fill="FF0000"/>
            <w:textDirection w:val="btLr"/>
          </w:tcPr>
          <w:p w14:paraId="1E09B873" w14:textId="77777777" w:rsidR="005A04C2" w:rsidRPr="00B94E89" w:rsidRDefault="005A04C2" w:rsidP="00884472">
            <w:pPr>
              <w:pStyle w:val="tabletext"/>
              <w:spacing w:before="240" w:after="240"/>
              <w:ind w:left="113" w:right="113"/>
              <w:jc w:val="center"/>
              <w:rPr>
                <w:rFonts w:cs="Arial"/>
                <w:color w:val="FFFFFF"/>
              </w:rPr>
            </w:pPr>
            <w:r w:rsidRPr="00B94E89">
              <w:rPr>
                <w:rFonts w:cs="Arial"/>
                <w:b/>
                <w:color w:val="FFFFFF"/>
              </w:rPr>
              <w:t>INADEQUATE</w:t>
            </w:r>
          </w:p>
        </w:tc>
        <w:tc>
          <w:tcPr>
            <w:tcW w:w="968" w:type="pct"/>
            <w:vAlign w:val="center"/>
          </w:tcPr>
          <w:p w14:paraId="75F5DA6F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B94E89">
              <w:rPr>
                <w:rFonts w:cs="Arial"/>
                <w:b/>
                <w:bCs/>
              </w:rPr>
              <w:t>Partial</w:t>
            </w:r>
          </w:p>
        </w:tc>
        <w:tc>
          <w:tcPr>
            <w:tcW w:w="623" w:type="pct"/>
            <w:vAlign w:val="center"/>
          </w:tcPr>
          <w:p w14:paraId="73C9B92D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B94E89">
              <w:rPr>
                <w:rFonts w:cs="Arial"/>
                <w:b/>
                <w:bCs/>
              </w:rPr>
              <w:t>5, 6, or 7</w:t>
            </w:r>
          </w:p>
        </w:tc>
        <w:tc>
          <w:tcPr>
            <w:tcW w:w="2878" w:type="pct"/>
            <w:vAlign w:val="center"/>
          </w:tcPr>
          <w:p w14:paraId="1CD1E012" w14:textId="77777777" w:rsidR="005A04C2" w:rsidRPr="00B94E89" w:rsidRDefault="005A04C2" w:rsidP="00884472">
            <w:pPr>
              <w:pStyle w:val="tabletext"/>
              <w:spacing w:before="240" w:after="240"/>
              <w:rPr>
                <w:rFonts w:cs="Arial"/>
              </w:rPr>
            </w:pPr>
            <w:r w:rsidRPr="00B94E89">
              <w:rPr>
                <w:rFonts w:cs="Arial"/>
              </w:rPr>
              <w:t>Systems and processes exist which only partially mitigates the risk.</w:t>
            </w:r>
          </w:p>
          <w:p w14:paraId="3A8DDB98" w14:textId="77777777" w:rsidR="005A04C2" w:rsidRPr="00B94E89" w:rsidRDefault="005A04C2" w:rsidP="00884472">
            <w:pPr>
              <w:pStyle w:val="tabletext"/>
              <w:spacing w:before="240" w:after="240"/>
              <w:rPr>
                <w:rFonts w:cs="Arial"/>
              </w:rPr>
            </w:pPr>
            <w:r w:rsidRPr="00B94E89">
              <w:rPr>
                <w:rFonts w:cs="Arial"/>
                <w:b/>
                <w:bCs/>
              </w:rPr>
              <w:t>Example</w:t>
            </w:r>
            <w:r w:rsidRPr="00B94E89">
              <w:rPr>
                <w:rFonts w:cs="Arial"/>
              </w:rPr>
              <w:t xml:space="preserve"> – Some formal documentation exists and staff have a basic understanding of systems and processes in place to manage the risk.</w:t>
            </w:r>
          </w:p>
        </w:tc>
      </w:tr>
      <w:tr w:rsidR="005A04C2" w:rsidRPr="00B94E89" w14:paraId="05F008F6" w14:textId="77777777" w:rsidTr="00006F86">
        <w:trPr>
          <w:cantSplit/>
          <w:trHeight w:val="1394"/>
        </w:trPr>
        <w:tc>
          <w:tcPr>
            <w:tcW w:w="530" w:type="pct"/>
            <w:vMerge/>
            <w:shd w:val="clear" w:color="auto" w:fill="FF0000"/>
          </w:tcPr>
          <w:p w14:paraId="5A891A86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</w:rPr>
            </w:pPr>
          </w:p>
        </w:tc>
        <w:tc>
          <w:tcPr>
            <w:tcW w:w="968" w:type="pct"/>
            <w:vAlign w:val="center"/>
          </w:tcPr>
          <w:p w14:paraId="58CB7426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B94E89">
              <w:rPr>
                <w:rFonts w:cs="Arial"/>
                <w:b/>
                <w:bCs/>
              </w:rPr>
              <w:t>Poor</w:t>
            </w:r>
          </w:p>
        </w:tc>
        <w:tc>
          <w:tcPr>
            <w:tcW w:w="623" w:type="pct"/>
            <w:vAlign w:val="center"/>
          </w:tcPr>
          <w:p w14:paraId="1033BE1C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B94E89">
              <w:rPr>
                <w:rFonts w:cs="Arial"/>
                <w:b/>
                <w:bCs/>
              </w:rPr>
              <w:t>8 or 9</w:t>
            </w:r>
          </w:p>
        </w:tc>
        <w:tc>
          <w:tcPr>
            <w:tcW w:w="2878" w:type="pct"/>
            <w:vAlign w:val="center"/>
          </w:tcPr>
          <w:p w14:paraId="2C10E5A8" w14:textId="77777777" w:rsidR="005A04C2" w:rsidRPr="00B94E89" w:rsidRDefault="005A04C2" w:rsidP="00884472">
            <w:pPr>
              <w:pStyle w:val="tabletext"/>
              <w:spacing w:before="240" w:after="240"/>
              <w:jc w:val="both"/>
              <w:rPr>
                <w:rFonts w:cs="Arial"/>
              </w:rPr>
            </w:pPr>
            <w:r w:rsidRPr="00B94E89">
              <w:rPr>
                <w:rFonts w:cs="Arial"/>
              </w:rPr>
              <w:t>Systems and processes exist but do not mitigate the risk.</w:t>
            </w:r>
          </w:p>
          <w:p w14:paraId="1F471B53" w14:textId="77777777" w:rsidR="005A04C2" w:rsidRPr="00B94E89" w:rsidRDefault="005A04C2" w:rsidP="00884472">
            <w:pPr>
              <w:pStyle w:val="tabletext"/>
              <w:spacing w:before="240" w:after="240"/>
              <w:jc w:val="both"/>
              <w:rPr>
                <w:rFonts w:cs="Arial"/>
              </w:rPr>
            </w:pPr>
            <w:r w:rsidRPr="00B94E89">
              <w:rPr>
                <w:rFonts w:cs="Arial"/>
                <w:b/>
                <w:bCs/>
              </w:rPr>
              <w:t xml:space="preserve">Example </w:t>
            </w:r>
            <w:r w:rsidRPr="00B94E89">
              <w:rPr>
                <w:rFonts w:cs="Arial"/>
              </w:rPr>
              <w:t xml:space="preserve">– Some informal documentation </w:t>
            </w:r>
            <w:proofErr w:type="gramStart"/>
            <w:r w:rsidRPr="00B94E89">
              <w:rPr>
                <w:rFonts w:cs="Arial"/>
              </w:rPr>
              <w:t>exists,</w:t>
            </w:r>
            <w:proofErr w:type="gramEnd"/>
            <w:r w:rsidRPr="00B94E89">
              <w:rPr>
                <w:rFonts w:cs="Arial"/>
              </w:rPr>
              <w:t xml:space="preserve"> however staff are not aware or do not understand systems or processes to manage the risk.</w:t>
            </w:r>
          </w:p>
        </w:tc>
      </w:tr>
      <w:tr w:rsidR="005A04C2" w:rsidRPr="00B94E89" w14:paraId="2425B22D" w14:textId="77777777" w:rsidTr="00006F86">
        <w:trPr>
          <w:cantSplit/>
          <w:trHeight w:val="1394"/>
        </w:trPr>
        <w:tc>
          <w:tcPr>
            <w:tcW w:w="530" w:type="pct"/>
            <w:vMerge/>
            <w:shd w:val="clear" w:color="auto" w:fill="FF0000"/>
          </w:tcPr>
          <w:p w14:paraId="6494759E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</w:rPr>
            </w:pPr>
          </w:p>
        </w:tc>
        <w:tc>
          <w:tcPr>
            <w:tcW w:w="968" w:type="pct"/>
            <w:vAlign w:val="center"/>
          </w:tcPr>
          <w:p w14:paraId="2E712DB4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B94E89">
              <w:rPr>
                <w:rFonts w:cs="Arial"/>
                <w:b/>
                <w:bCs/>
              </w:rPr>
              <w:t>Unsatisfactory</w:t>
            </w:r>
          </w:p>
        </w:tc>
        <w:tc>
          <w:tcPr>
            <w:tcW w:w="623" w:type="pct"/>
            <w:vAlign w:val="center"/>
          </w:tcPr>
          <w:p w14:paraId="46F31D2B" w14:textId="77777777" w:rsidR="005A04C2" w:rsidRPr="00B94E89" w:rsidRDefault="005A04C2" w:rsidP="00884472">
            <w:pPr>
              <w:pStyle w:val="tabletext"/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B94E89">
              <w:rPr>
                <w:rFonts w:cs="Arial"/>
                <w:b/>
                <w:bCs/>
              </w:rPr>
              <w:t>10</w:t>
            </w:r>
          </w:p>
        </w:tc>
        <w:tc>
          <w:tcPr>
            <w:tcW w:w="2878" w:type="pct"/>
            <w:vAlign w:val="center"/>
          </w:tcPr>
          <w:p w14:paraId="77B2DF19" w14:textId="77777777" w:rsidR="005A04C2" w:rsidRPr="00B94E89" w:rsidRDefault="005A04C2" w:rsidP="00884472">
            <w:pPr>
              <w:pStyle w:val="tabletext"/>
              <w:spacing w:before="240" w:after="240"/>
              <w:jc w:val="both"/>
              <w:rPr>
                <w:rFonts w:cs="Arial"/>
              </w:rPr>
            </w:pPr>
            <w:r w:rsidRPr="00B94E89">
              <w:rPr>
                <w:rFonts w:cs="Arial"/>
              </w:rPr>
              <w:t>No systems and processes exist to manage the risk.</w:t>
            </w:r>
          </w:p>
        </w:tc>
      </w:tr>
    </w:tbl>
    <w:p w14:paraId="2C176B95" w14:textId="77777777" w:rsidR="00B94E89" w:rsidRDefault="00B94E89" w:rsidP="00B94E89">
      <w:pPr>
        <w:rPr>
          <w:rFonts w:ascii="Arial" w:hAnsi="Arial" w:cs="Arial"/>
          <w:b/>
          <w:i/>
          <w:iCs/>
          <w:color w:val="595959" w:themeColor="text1" w:themeTint="A6"/>
        </w:rPr>
      </w:pPr>
    </w:p>
    <w:p w14:paraId="03093BBF" w14:textId="79E419D0" w:rsidR="00AC7782" w:rsidRPr="00DD66BF" w:rsidRDefault="00AC7782" w:rsidP="00DD66BF">
      <w:pPr>
        <w:ind w:firstLine="142"/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i/>
          <w:iCs/>
          <w:color w:val="595959" w:themeColor="text1" w:themeTint="A6"/>
        </w:rPr>
        <w:lastRenderedPageBreak/>
        <w:t>Residual Risk</w:t>
      </w:r>
      <w:r w:rsidRPr="00006F86">
        <w:rPr>
          <w:rFonts w:ascii="Arial" w:hAnsi="Arial" w:cs="Arial"/>
          <w:b/>
          <w:i/>
          <w:iCs/>
          <w:color w:val="595959" w:themeColor="text1" w:themeTint="A6"/>
        </w:rPr>
        <w:t xml:space="preserve"> Ratings</w:t>
      </w:r>
      <w:r w:rsidR="00300DEF">
        <w:rPr>
          <w:rFonts w:ascii="Arial" w:hAnsi="Arial" w:cs="Arial"/>
          <w:b/>
          <w:i/>
          <w:iCs/>
          <w:color w:val="595959" w:themeColor="text1" w:themeTint="A6"/>
        </w:rPr>
        <w:t xml:space="preserve"> &amp; Action Matrix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2"/>
        <w:gridCol w:w="1579"/>
        <w:gridCol w:w="1770"/>
        <w:gridCol w:w="8578"/>
      </w:tblGrid>
      <w:tr w:rsidR="00DD66BF" w:rsidRPr="00DD66BF" w14:paraId="7ECC22BC" w14:textId="77777777" w:rsidTr="00DD66BF">
        <w:trPr>
          <w:trHeight w:val="800"/>
        </w:trPr>
        <w:tc>
          <w:tcPr>
            <w:tcW w:w="1852" w:type="dxa"/>
            <w:shd w:val="clear" w:color="auto" w:fill="000080"/>
            <w:vAlign w:val="center"/>
          </w:tcPr>
          <w:p w14:paraId="2511A482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DD66BF">
              <w:rPr>
                <w:rFonts w:ascii="Arial" w:hAnsi="Arial" w:cs="Arial"/>
                <w:b/>
                <w:bCs/>
                <w:lang w:val="en-GB"/>
              </w:rPr>
              <w:t>Risk</w:t>
            </w:r>
          </w:p>
        </w:tc>
        <w:tc>
          <w:tcPr>
            <w:tcW w:w="1579" w:type="dxa"/>
            <w:shd w:val="clear" w:color="auto" w:fill="000080"/>
            <w:vAlign w:val="center"/>
          </w:tcPr>
          <w:p w14:paraId="30E0E3D2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DD66BF">
              <w:rPr>
                <w:rFonts w:ascii="Arial" w:hAnsi="Arial" w:cs="Arial"/>
                <w:b/>
                <w:bCs/>
                <w:lang w:val="en-GB"/>
              </w:rPr>
              <w:t>Mitigating Practices / Control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shd w:val="clear" w:color="auto" w:fill="000080"/>
            <w:vAlign w:val="center"/>
          </w:tcPr>
          <w:p w14:paraId="3E90CBE7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DD66BF">
              <w:rPr>
                <w:rFonts w:ascii="Arial" w:hAnsi="Arial" w:cs="Arial"/>
                <w:b/>
                <w:bCs/>
                <w:lang w:val="en-GB"/>
              </w:rPr>
              <w:t>Risk Class</w:t>
            </w:r>
          </w:p>
        </w:tc>
        <w:tc>
          <w:tcPr>
            <w:tcW w:w="8578" w:type="dxa"/>
            <w:tcBorders>
              <w:bottom w:val="single" w:sz="4" w:space="0" w:color="auto"/>
            </w:tcBorders>
            <w:shd w:val="clear" w:color="auto" w:fill="000080"/>
            <w:vAlign w:val="center"/>
          </w:tcPr>
          <w:p w14:paraId="53EB23E0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DD66BF">
              <w:rPr>
                <w:rFonts w:ascii="Arial" w:hAnsi="Arial" w:cs="Arial"/>
                <w:b/>
                <w:bCs/>
                <w:lang w:val="en-GB"/>
              </w:rPr>
              <w:t>Action – Details Below</w:t>
            </w:r>
          </w:p>
        </w:tc>
      </w:tr>
      <w:tr w:rsidR="00DD66BF" w:rsidRPr="00DD66BF" w14:paraId="4E38945C" w14:textId="77777777" w:rsidTr="00DD66BF">
        <w:tc>
          <w:tcPr>
            <w:tcW w:w="1852" w:type="dxa"/>
            <w:vAlign w:val="center"/>
          </w:tcPr>
          <w:p w14:paraId="785D88BE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>Extreme / High</w:t>
            </w:r>
          </w:p>
        </w:tc>
        <w:tc>
          <w:tcPr>
            <w:tcW w:w="1579" w:type="dxa"/>
            <w:vAlign w:val="center"/>
          </w:tcPr>
          <w:p w14:paraId="3753EA5E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>Inadequate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2952F00B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 xml:space="preserve">Class IV - </w:t>
            </w:r>
            <w:r w:rsidRPr="00DD66BF">
              <w:rPr>
                <w:rFonts w:ascii="Arial" w:hAnsi="Arial" w:cs="Arial"/>
                <w:b/>
                <w:bCs/>
              </w:rPr>
              <w:br/>
              <w:t>Active Management</w:t>
            </w:r>
            <w:r w:rsidRPr="00DD66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78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6DCF8BF1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</w:rPr>
              <w:t>Requires Immediate treatment and response with monthly progressing reports to Executive Risk Oversight Committee (EROC), respective SBU’s Board of Managers, and Board of Directors.</w:t>
            </w:r>
          </w:p>
        </w:tc>
      </w:tr>
      <w:tr w:rsidR="00DD66BF" w:rsidRPr="00DD66BF" w14:paraId="1D813550" w14:textId="77777777" w:rsidTr="00DD66BF">
        <w:tc>
          <w:tcPr>
            <w:tcW w:w="1852" w:type="dxa"/>
            <w:vAlign w:val="center"/>
          </w:tcPr>
          <w:p w14:paraId="6BA07858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>Extreme / High</w:t>
            </w:r>
          </w:p>
        </w:tc>
        <w:tc>
          <w:tcPr>
            <w:tcW w:w="1579" w:type="dxa"/>
            <w:vAlign w:val="center"/>
          </w:tcPr>
          <w:p w14:paraId="0635A987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>Adequate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53B566B3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 xml:space="preserve">Class III – </w:t>
            </w:r>
            <w:r w:rsidRPr="00DD66BF">
              <w:rPr>
                <w:rFonts w:ascii="Arial" w:hAnsi="Arial" w:cs="Arial"/>
                <w:b/>
                <w:bCs/>
              </w:rPr>
              <w:br/>
              <w:t>Control Critical</w:t>
            </w:r>
          </w:p>
        </w:tc>
        <w:tc>
          <w:tcPr>
            <w:tcW w:w="8578" w:type="dxa"/>
            <w:tcBorders>
              <w:bottom w:val="single" w:sz="4" w:space="0" w:color="auto"/>
            </w:tcBorders>
            <w:shd w:val="clear" w:color="auto" w:fill="FF9900"/>
            <w:vAlign w:val="center"/>
          </w:tcPr>
          <w:p w14:paraId="7131C5E1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</w:rPr>
              <w:t>Actively manage / monitor at the SBU / BU Level, and Executive Risk Oversight Committee</w:t>
            </w:r>
          </w:p>
        </w:tc>
      </w:tr>
      <w:tr w:rsidR="00DD66BF" w:rsidRPr="00DD66BF" w14:paraId="541BA236" w14:textId="77777777" w:rsidTr="00DD66BF">
        <w:tc>
          <w:tcPr>
            <w:tcW w:w="1852" w:type="dxa"/>
            <w:vAlign w:val="center"/>
          </w:tcPr>
          <w:p w14:paraId="00E6F92F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>Moderate / Low</w:t>
            </w:r>
          </w:p>
        </w:tc>
        <w:tc>
          <w:tcPr>
            <w:tcW w:w="1579" w:type="dxa"/>
            <w:vAlign w:val="center"/>
          </w:tcPr>
          <w:p w14:paraId="37F23F9D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>Inadequate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637F4513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 xml:space="preserve">Class II – </w:t>
            </w:r>
            <w:r w:rsidRPr="00DD66BF">
              <w:rPr>
                <w:rFonts w:ascii="Arial" w:hAnsi="Arial" w:cs="Arial"/>
                <w:b/>
                <w:bCs/>
              </w:rPr>
              <w:br/>
              <w:t>Periodic Monitoring</w:t>
            </w:r>
          </w:p>
        </w:tc>
        <w:tc>
          <w:tcPr>
            <w:tcW w:w="8578" w:type="dxa"/>
            <w:tcBorders>
              <w:bottom w:val="single" w:sz="4" w:space="0" w:color="auto"/>
            </w:tcBorders>
            <w:shd w:val="clear" w:color="auto" w:fill="FFCC00"/>
            <w:vAlign w:val="center"/>
          </w:tcPr>
          <w:p w14:paraId="2489C372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</w:rPr>
              <w:t>Requires an appropriate treatment and response with progress reporting to the Tactical Risk Management Committee and respective Board of Managers.</w:t>
            </w:r>
          </w:p>
        </w:tc>
      </w:tr>
      <w:tr w:rsidR="00DD66BF" w:rsidRPr="00DD66BF" w14:paraId="59B48555" w14:textId="77777777" w:rsidTr="00DD66BF">
        <w:tc>
          <w:tcPr>
            <w:tcW w:w="1852" w:type="dxa"/>
            <w:vAlign w:val="center"/>
          </w:tcPr>
          <w:p w14:paraId="432ADB7E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>Moderate / Low</w:t>
            </w:r>
          </w:p>
        </w:tc>
        <w:tc>
          <w:tcPr>
            <w:tcW w:w="1579" w:type="dxa"/>
            <w:vAlign w:val="center"/>
          </w:tcPr>
          <w:p w14:paraId="5E333D80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>Adequate</w:t>
            </w:r>
          </w:p>
        </w:tc>
        <w:tc>
          <w:tcPr>
            <w:tcW w:w="1770" w:type="dxa"/>
            <w:shd w:val="clear" w:color="auto" w:fill="339966"/>
            <w:vAlign w:val="center"/>
          </w:tcPr>
          <w:p w14:paraId="6ECB3156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  <w:b/>
                <w:bCs/>
              </w:rPr>
              <w:t xml:space="preserve">Class I – </w:t>
            </w:r>
            <w:r w:rsidRPr="00DD66BF">
              <w:rPr>
                <w:rFonts w:ascii="Arial" w:hAnsi="Arial" w:cs="Arial"/>
                <w:b/>
                <w:bCs/>
              </w:rPr>
              <w:br/>
              <w:t>No Major Concern</w:t>
            </w:r>
          </w:p>
        </w:tc>
        <w:tc>
          <w:tcPr>
            <w:tcW w:w="8578" w:type="dxa"/>
            <w:shd w:val="clear" w:color="auto" w:fill="339966"/>
            <w:vAlign w:val="center"/>
          </w:tcPr>
          <w:p w14:paraId="0430A848" w14:textId="77777777" w:rsidR="00DD66BF" w:rsidRPr="00DD66BF" w:rsidRDefault="00DD66BF" w:rsidP="00DD66BF">
            <w:pPr>
              <w:rPr>
                <w:rFonts w:ascii="Arial" w:hAnsi="Arial" w:cs="Arial"/>
                <w:b/>
                <w:bCs/>
              </w:rPr>
            </w:pPr>
            <w:r w:rsidRPr="00DD66BF">
              <w:rPr>
                <w:rFonts w:ascii="Arial" w:hAnsi="Arial" w:cs="Arial"/>
              </w:rPr>
              <w:t>Monitor and manage as required at the SBU / BU Level.</w:t>
            </w:r>
          </w:p>
        </w:tc>
      </w:tr>
    </w:tbl>
    <w:p w14:paraId="20FB9BD0" w14:textId="77777777" w:rsidR="00DD66BF" w:rsidRPr="00006F86" w:rsidRDefault="00DD66BF">
      <w:pPr>
        <w:rPr>
          <w:rFonts w:ascii="Arial" w:hAnsi="Arial" w:cs="Arial"/>
        </w:rPr>
      </w:pPr>
    </w:p>
    <w:sectPr w:rsidR="00DD66BF" w:rsidRPr="00006F86" w:rsidSect="00B94E8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348CD"/>
    <w:multiLevelType w:val="singleLevel"/>
    <w:tmpl w:val="58A66306"/>
    <w:lvl w:ilvl="0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C2"/>
    <w:rsid w:val="00006F86"/>
    <w:rsid w:val="00300DEF"/>
    <w:rsid w:val="004D3D78"/>
    <w:rsid w:val="005A04C2"/>
    <w:rsid w:val="008D7C42"/>
    <w:rsid w:val="00950840"/>
    <w:rsid w:val="00992268"/>
    <w:rsid w:val="00AC7782"/>
    <w:rsid w:val="00B94E89"/>
    <w:rsid w:val="00DD66BF"/>
    <w:rsid w:val="00E4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1D16"/>
  <w15:chartTrackingRefBased/>
  <w15:docId w15:val="{4E24A194-5A97-4D4D-8881-D75BF673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C2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link w:val="BodycopyChar"/>
    <w:qFormat/>
    <w:rsid w:val="005A04C2"/>
    <w:pPr>
      <w:spacing w:after="24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BodycopyChar">
    <w:name w:val="Body copy Char"/>
    <w:basedOn w:val="DefaultParagraphFont"/>
    <w:link w:val="Bodycopy"/>
    <w:locked/>
    <w:rsid w:val="005A04C2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tablehead">
    <w:name w:val="tablehead"/>
    <w:basedOn w:val="Normal"/>
    <w:rsid w:val="005A04C2"/>
    <w:pPr>
      <w:spacing w:after="0" w:line="240" w:lineRule="auto"/>
      <w:jc w:val="center"/>
    </w:pPr>
    <w:rPr>
      <w:rFonts w:ascii="Arial" w:eastAsia="Times New Roman" w:hAnsi="Arial" w:cs="Times New Roman"/>
      <w:b/>
      <w:color w:val="FFFFFF"/>
      <w:sz w:val="24"/>
      <w:szCs w:val="20"/>
      <w:lang w:val="en-AU"/>
    </w:rPr>
  </w:style>
  <w:style w:type="paragraph" w:customStyle="1" w:styleId="tabletext">
    <w:name w:val="tabletext"/>
    <w:basedOn w:val="Normal"/>
    <w:rsid w:val="005A04C2"/>
    <w:pPr>
      <w:spacing w:beforeLines="100" w:afterLines="100" w:line="240" w:lineRule="auto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BodyText">
    <w:name w:val="Body Text"/>
    <w:basedOn w:val="Normal"/>
    <w:link w:val="BodyTextChar"/>
    <w:rsid w:val="005A04C2"/>
    <w:pPr>
      <w:spacing w:after="120" w:line="240" w:lineRule="auto"/>
    </w:pPr>
    <w:rPr>
      <w:rFonts w:ascii="Arial" w:eastAsia="Times New Roman" w:hAnsi="Arial" w:cs="Arial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5A04C2"/>
    <w:rPr>
      <w:rFonts w:ascii="Arial" w:eastAsia="Times New Roman" w:hAnsi="Arial" w:cs="Arial"/>
      <w:lang w:val="en-GB"/>
    </w:rPr>
  </w:style>
  <w:style w:type="paragraph" w:customStyle="1" w:styleId="number">
    <w:name w:val="number"/>
    <w:basedOn w:val="BodyText"/>
    <w:rsid w:val="005A04C2"/>
    <w:pPr>
      <w:numPr>
        <w:numId w:val="1"/>
      </w:numPr>
      <w:spacing w:before="120" w:after="60" w:line="240" w:lineRule="exact"/>
    </w:pPr>
    <w:rPr>
      <w:rFonts w:ascii="Times New Roman" w:hAnsi="Times New Roman" w:cs="Times New Roman"/>
      <w:snapToGrid w:val="0"/>
      <w:sz w:val="20"/>
      <w:szCs w:val="20"/>
      <w:lang w:val="en-AU"/>
    </w:rPr>
  </w:style>
  <w:style w:type="table" w:styleId="TableGrid">
    <w:name w:val="Table Grid"/>
    <w:basedOn w:val="TableNormal"/>
    <w:rsid w:val="00B94E89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DD66BF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41D970-AB80-714A-BF97-67804EE389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mustafahasany@gmail.com</dc:creator>
  <cp:keywords/>
  <dc:description/>
  <cp:lastModifiedBy>Kumail Morawala</cp:lastModifiedBy>
  <cp:revision>2</cp:revision>
  <cp:lastPrinted>2020-09-23T10:46:00Z</cp:lastPrinted>
  <dcterms:created xsi:type="dcterms:W3CDTF">2021-01-02T18:31:00Z</dcterms:created>
  <dcterms:modified xsi:type="dcterms:W3CDTF">2021-01-02T18:31:00Z</dcterms:modified>
</cp:coreProperties>
</file>