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2B7E0" w14:textId="77777777" w:rsidR="0040438B" w:rsidRPr="0040438B" w:rsidRDefault="0040438B" w:rsidP="0040438B">
      <w:pPr>
        <w:spacing w:line="360" w:lineRule="auto"/>
        <w:rPr>
          <w:rFonts w:asciiTheme="minorBidi" w:hAnsiTheme="minorBidi"/>
          <w:b/>
          <w:bCs/>
          <w:sz w:val="24"/>
          <w:szCs w:val="24"/>
          <w:lang w:val="en-DE"/>
        </w:rPr>
      </w:pPr>
      <w:r w:rsidRPr="0040438B">
        <w:rPr>
          <w:rFonts w:asciiTheme="minorBidi" w:hAnsiTheme="minorBidi"/>
          <w:b/>
          <w:bCs/>
          <w:sz w:val="24"/>
          <w:szCs w:val="24"/>
          <w:lang w:val="en-DE"/>
        </w:rPr>
        <w:t>Team XXX (Innovation Section)</w:t>
      </w:r>
    </w:p>
    <w:p w14:paraId="3FC4C3D3" w14:textId="77777777" w:rsidR="0040438B" w:rsidRPr="0040438B" w:rsidRDefault="0040438B" w:rsidP="0040438B">
      <w:pPr>
        <w:spacing w:line="360" w:lineRule="auto"/>
        <w:rPr>
          <w:rFonts w:asciiTheme="minorBidi" w:hAnsiTheme="minorBidi"/>
          <w:b/>
          <w:bCs/>
          <w:sz w:val="24"/>
          <w:szCs w:val="24"/>
          <w:lang w:val="en-DE"/>
        </w:rPr>
      </w:pPr>
      <w:r w:rsidRPr="0040438B">
        <w:rPr>
          <w:rFonts w:asciiTheme="minorBidi" w:hAnsiTheme="minorBidi"/>
          <w:b/>
          <w:bCs/>
          <w:sz w:val="24"/>
          <w:szCs w:val="24"/>
          <w:lang w:val="en-DE"/>
        </w:rPr>
        <w:t>1. Innovation</w:t>
      </w:r>
    </w:p>
    <w:p w14:paraId="7A993902" w14:textId="77777777" w:rsidR="0040438B" w:rsidRPr="0040438B" w:rsidRDefault="0040438B" w:rsidP="0040438B">
      <w:pPr>
        <w:spacing w:line="360" w:lineRule="auto"/>
        <w:rPr>
          <w:rFonts w:asciiTheme="minorBidi" w:hAnsiTheme="minorBidi"/>
          <w:b/>
          <w:bCs/>
          <w:sz w:val="24"/>
          <w:szCs w:val="24"/>
          <w:lang w:val="en-DE"/>
        </w:rPr>
      </w:pPr>
      <w:r w:rsidRPr="0040438B">
        <w:rPr>
          <w:rFonts w:asciiTheme="minorBidi" w:hAnsiTheme="minorBidi"/>
          <w:b/>
          <w:bCs/>
          <w:sz w:val="24"/>
          <w:szCs w:val="24"/>
          <w:lang w:val="en-DE"/>
        </w:rPr>
        <w:t>Description of the problem you want to solve with your idea.</w:t>
      </w:r>
    </w:p>
    <w:p w14:paraId="632D0D3E" w14:textId="77777777" w:rsidR="0040438B" w:rsidRPr="0040438B" w:rsidRDefault="0040438B" w:rsidP="0040438B">
      <w:pPr>
        <w:spacing w:line="360" w:lineRule="auto"/>
        <w:rPr>
          <w:rFonts w:asciiTheme="minorBidi" w:hAnsiTheme="minorBidi"/>
          <w:sz w:val="24"/>
          <w:szCs w:val="24"/>
          <w:lang w:val="en-DE"/>
        </w:rPr>
      </w:pPr>
      <w:r w:rsidRPr="0040438B">
        <w:rPr>
          <w:rFonts w:asciiTheme="minorBidi" w:hAnsiTheme="minorBidi"/>
          <w:sz w:val="24"/>
          <w:szCs w:val="24"/>
          <w:lang w:val="en-DE"/>
        </w:rPr>
        <w:t>Chronic disease management faces a structural decision-making gap: although increasing amounts of patient data are generated through electronic health records, laboratory systems, and digital health tools, this data is rarely transformed into individualized, actionable treatment decisions. As a result, clinicians and patients rely heavily on trial-and-error approaches, leading to delayed optimization of therapy and avoidable complications.</w:t>
      </w:r>
    </w:p>
    <w:p w14:paraId="5261E5C1" w14:textId="77777777" w:rsidR="0040438B" w:rsidRPr="0040438B" w:rsidRDefault="0040438B" w:rsidP="0040438B">
      <w:pPr>
        <w:spacing w:line="360" w:lineRule="auto"/>
        <w:rPr>
          <w:rFonts w:asciiTheme="minorBidi" w:hAnsiTheme="minorBidi"/>
          <w:sz w:val="24"/>
          <w:szCs w:val="24"/>
          <w:lang w:val="en-DE"/>
        </w:rPr>
      </w:pPr>
      <w:r w:rsidRPr="0040438B">
        <w:rPr>
          <w:rFonts w:asciiTheme="minorBidi" w:hAnsiTheme="minorBidi"/>
          <w:sz w:val="24"/>
          <w:szCs w:val="24"/>
          <w:lang w:val="en-DE"/>
        </w:rPr>
        <w:t>This challenge is particularly evident in Type 1 Diabetes (T1D), where maintaining glycemic control requires accurate, patient-specific insulin dosing decisions multiple times per day. These decisions depend on interacting factors such as meal composition, insulin sensitivity, physical activity, and timing. While Continuous Glucose Monitors (CGM) enable short-term optimization and parameter calibration, an estimated 80–85% of patients discontinue continuous CGM use due to high recurring costs (€3,000–5,000/year), skin irritation, or device fatigue. After discontinuation, patients return to finger-stick-based management without decision-support tools, despite having clinically validated parameters. This creates a persistent “precision gap” between known therapy parameters and daily insulin dosing decisions.</w:t>
      </w:r>
    </w:p>
    <w:p w14:paraId="10B7FBFA" w14:textId="77777777" w:rsidR="0040438B" w:rsidRPr="0040438B" w:rsidRDefault="0040438B" w:rsidP="0040438B">
      <w:pPr>
        <w:spacing w:line="360" w:lineRule="auto"/>
        <w:rPr>
          <w:rFonts w:asciiTheme="minorBidi" w:hAnsiTheme="minorBidi"/>
          <w:sz w:val="24"/>
          <w:szCs w:val="24"/>
          <w:lang w:val="en-DE"/>
        </w:rPr>
      </w:pPr>
      <w:r w:rsidRPr="0040438B">
        <w:rPr>
          <w:rFonts w:asciiTheme="minorBidi" w:hAnsiTheme="minorBidi"/>
          <w:sz w:val="24"/>
          <w:szCs w:val="24"/>
          <w:lang w:val="en-DE"/>
        </w:rPr>
        <w:t>Globally, the majority of T1D patients continue to use insulin pens rather than pumps or automated systems. However, existing digital solutions for pen users focus primarily on data logging and retrospective visualization, offering little support for real-time, personalized dosing decisions.</w:t>
      </w:r>
    </w:p>
    <w:p w14:paraId="7D4A57A5" w14:textId="77777777" w:rsidR="0040438B" w:rsidRPr="0040438B" w:rsidRDefault="0040438B" w:rsidP="0040438B">
      <w:pPr>
        <w:spacing w:line="360" w:lineRule="auto"/>
        <w:rPr>
          <w:rFonts w:asciiTheme="minorBidi" w:hAnsiTheme="minorBidi"/>
          <w:b/>
          <w:bCs/>
          <w:sz w:val="24"/>
          <w:szCs w:val="24"/>
          <w:lang w:val="en-DE"/>
        </w:rPr>
      </w:pPr>
      <w:r w:rsidRPr="0040438B">
        <w:rPr>
          <w:rFonts w:asciiTheme="minorBidi" w:hAnsiTheme="minorBidi"/>
          <w:b/>
          <w:bCs/>
          <w:sz w:val="24"/>
          <w:szCs w:val="24"/>
          <w:lang w:val="en-DE"/>
        </w:rPr>
        <w:t>Description of the technology or product innovation or the knowledge-based innovative service.</w:t>
      </w:r>
    </w:p>
    <w:p w14:paraId="28114D21" w14:textId="77777777" w:rsidR="0040438B" w:rsidRPr="0040438B" w:rsidRDefault="0040438B" w:rsidP="0040438B">
      <w:pPr>
        <w:spacing w:line="360" w:lineRule="auto"/>
        <w:rPr>
          <w:rFonts w:asciiTheme="minorBidi" w:hAnsiTheme="minorBidi"/>
          <w:sz w:val="24"/>
          <w:szCs w:val="24"/>
          <w:lang w:val="en-DE"/>
        </w:rPr>
      </w:pPr>
      <w:r w:rsidRPr="0040438B">
        <w:rPr>
          <w:rFonts w:asciiTheme="minorBidi" w:hAnsiTheme="minorBidi"/>
          <w:sz w:val="24"/>
          <w:szCs w:val="24"/>
          <w:lang w:val="en-DE"/>
        </w:rPr>
        <w:t>DiaTwin is an open-source, medical decision-support platform based on a patient-specific digital twin model. It creates a continuously evolving virtual representation of an individual’s glucose–insulin–meal dynamics to support personalized insulin dosing decisions within physician-defined boundaries.</w:t>
      </w:r>
    </w:p>
    <w:p w14:paraId="3AC8ABF4" w14:textId="77777777" w:rsidR="0040438B" w:rsidRPr="0040438B" w:rsidRDefault="0040438B" w:rsidP="0040438B">
      <w:pPr>
        <w:spacing w:line="360" w:lineRule="auto"/>
        <w:rPr>
          <w:rFonts w:asciiTheme="minorBidi" w:hAnsiTheme="minorBidi"/>
          <w:sz w:val="24"/>
          <w:szCs w:val="24"/>
          <w:lang w:val="en-DE"/>
        </w:rPr>
      </w:pPr>
      <w:r w:rsidRPr="0040438B">
        <w:rPr>
          <w:rFonts w:asciiTheme="minorBidi" w:hAnsiTheme="minorBidi"/>
          <w:sz w:val="24"/>
          <w:szCs w:val="24"/>
          <w:lang w:val="en-DE"/>
        </w:rPr>
        <w:lastRenderedPageBreak/>
        <w:t>The platform is designed as a clinical decision-support system, not an automated therapy system. All calculation factors—such as insulin-to-carbohydrate ratios (ICR), correction factors (CF), basal-bolus distributions, and safety limits—are defined, validated, and monitored by the treating physician. DiaTwin supports doctors in assigning and refining patient-specific parameters by providing structured analysis and transparent feedback on therapy outcomes. The system does not override medical decisions and does not automate insulin delivery.</w:t>
      </w:r>
    </w:p>
    <w:p w14:paraId="3F7975A0" w14:textId="77777777" w:rsidR="0040438B" w:rsidRPr="0040438B" w:rsidRDefault="0040438B" w:rsidP="0040438B">
      <w:pPr>
        <w:spacing w:line="360" w:lineRule="auto"/>
        <w:rPr>
          <w:rFonts w:asciiTheme="minorBidi" w:hAnsiTheme="minorBidi"/>
          <w:sz w:val="24"/>
          <w:szCs w:val="24"/>
          <w:lang w:val="en-DE"/>
        </w:rPr>
      </w:pPr>
      <w:r w:rsidRPr="0040438B">
        <w:rPr>
          <w:rFonts w:asciiTheme="minorBidi" w:hAnsiTheme="minorBidi"/>
          <w:sz w:val="24"/>
          <w:szCs w:val="24"/>
          <w:lang w:val="en-DE"/>
        </w:rPr>
        <w:t>Core Technology Features (Table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gridCol w:w="3885"/>
        <w:gridCol w:w="3478"/>
      </w:tblGrid>
      <w:tr w:rsidR="0040438B" w:rsidRPr="0040438B" w14:paraId="713F1854" w14:textId="77777777">
        <w:trPr>
          <w:tblCellSpacing w:w="15" w:type="dxa"/>
        </w:trPr>
        <w:tc>
          <w:tcPr>
            <w:tcW w:w="0" w:type="auto"/>
            <w:vAlign w:val="center"/>
            <w:hideMark/>
          </w:tcPr>
          <w:p w14:paraId="31A247A1" w14:textId="77777777" w:rsidR="0040438B" w:rsidRPr="0040438B" w:rsidRDefault="0040438B" w:rsidP="0040438B">
            <w:pPr>
              <w:spacing w:line="360" w:lineRule="auto"/>
              <w:rPr>
                <w:rFonts w:asciiTheme="minorBidi" w:hAnsiTheme="minorBidi"/>
                <w:sz w:val="24"/>
                <w:szCs w:val="24"/>
                <w:lang w:val="en-DE"/>
              </w:rPr>
            </w:pPr>
            <w:r w:rsidRPr="0040438B">
              <w:rPr>
                <w:rFonts w:asciiTheme="minorBidi" w:hAnsiTheme="minorBidi"/>
                <w:sz w:val="24"/>
                <w:szCs w:val="24"/>
                <w:lang w:val="en-DE"/>
              </w:rPr>
              <w:t>Feature</w:t>
            </w:r>
          </w:p>
        </w:tc>
        <w:tc>
          <w:tcPr>
            <w:tcW w:w="0" w:type="auto"/>
            <w:vAlign w:val="center"/>
            <w:hideMark/>
          </w:tcPr>
          <w:p w14:paraId="39A2B06C" w14:textId="77777777" w:rsidR="0040438B" w:rsidRPr="0040438B" w:rsidRDefault="0040438B" w:rsidP="0040438B">
            <w:pPr>
              <w:spacing w:line="360" w:lineRule="auto"/>
              <w:rPr>
                <w:rFonts w:asciiTheme="minorBidi" w:hAnsiTheme="minorBidi"/>
                <w:sz w:val="24"/>
                <w:szCs w:val="24"/>
                <w:lang w:val="en-DE"/>
              </w:rPr>
            </w:pPr>
            <w:r w:rsidRPr="0040438B">
              <w:rPr>
                <w:rFonts w:asciiTheme="minorBidi" w:hAnsiTheme="minorBidi"/>
                <w:sz w:val="24"/>
                <w:szCs w:val="24"/>
                <w:lang w:val="en-DE"/>
              </w:rPr>
              <w:t>Description</w:t>
            </w:r>
          </w:p>
        </w:tc>
        <w:tc>
          <w:tcPr>
            <w:tcW w:w="0" w:type="auto"/>
            <w:vAlign w:val="center"/>
            <w:hideMark/>
          </w:tcPr>
          <w:p w14:paraId="3156FD45" w14:textId="77777777" w:rsidR="0040438B" w:rsidRPr="0040438B" w:rsidRDefault="0040438B" w:rsidP="0040438B">
            <w:pPr>
              <w:spacing w:line="360" w:lineRule="auto"/>
              <w:rPr>
                <w:rFonts w:asciiTheme="minorBidi" w:hAnsiTheme="minorBidi"/>
                <w:sz w:val="24"/>
                <w:szCs w:val="24"/>
                <w:lang w:val="en-DE"/>
              </w:rPr>
            </w:pPr>
            <w:r w:rsidRPr="0040438B">
              <w:rPr>
                <w:rFonts w:asciiTheme="minorBidi" w:hAnsiTheme="minorBidi"/>
                <w:sz w:val="24"/>
                <w:szCs w:val="24"/>
                <w:lang w:val="en-DE"/>
              </w:rPr>
              <w:t>Benefit</w:t>
            </w:r>
          </w:p>
        </w:tc>
      </w:tr>
      <w:tr w:rsidR="0040438B" w:rsidRPr="0040438B" w14:paraId="4C598C3F" w14:textId="77777777">
        <w:trPr>
          <w:tblCellSpacing w:w="15" w:type="dxa"/>
        </w:trPr>
        <w:tc>
          <w:tcPr>
            <w:tcW w:w="0" w:type="auto"/>
            <w:vAlign w:val="center"/>
            <w:hideMark/>
          </w:tcPr>
          <w:p w14:paraId="1C954DAC" w14:textId="77777777" w:rsidR="0040438B" w:rsidRPr="0040438B" w:rsidRDefault="0040438B" w:rsidP="0040438B">
            <w:pPr>
              <w:spacing w:line="360" w:lineRule="auto"/>
              <w:rPr>
                <w:rFonts w:asciiTheme="minorBidi" w:hAnsiTheme="minorBidi"/>
                <w:sz w:val="24"/>
                <w:szCs w:val="24"/>
                <w:lang w:val="en-DE"/>
              </w:rPr>
            </w:pPr>
            <w:r w:rsidRPr="0040438B">
              <w:rPr>
                <w:rFonts w:asciiTheme="minorBidi" w:hAnsiTheme="minorBidi"/>
                <w:sz w:val="24"/>
                <w:szCs w:val="24"/>
                <w:lang w:val="en-DE"/>
              </w:rPr>
              <w:t>Dual Net Effect System</w:t>
            </w:r>
          </w:p>
        </w:tc>
        <w:tc>
          <w:tcPr>
            <w:tcW w:w="0" w:type="auto"/>
            <w:vAlign w:val="center"/>
            <w:hideMark/>
          </w:tcPr>
          <w:p w14:paraId="26D17C67" w14:textId="77777777" w:rsidR="0040438B" w:rsidRPr="0040438B" w:rsidRDefault="0040438B" w:rsidP="0040438B">
            <w:pPr>
              <w:spacing w:line="360" w:lineRule="auto"/>
              <w:rPr>
                <w:rFonts w:asciiTheme="minorBidi" w:hAnsiTheme="minorBidi"/>
                <w:sz w:val="24"/>
                <w:szCs w:val="24"/>
                <w:lang w:val="en-DE"/>
              </w:rPr>
            </w:pPr>
            <w:r w:rsidRPr="0040438B">
              <w:rPr>
                <w:rFonts w:asciiTheme="minorBidi" w:hAnsiTheme="minorBidi"/>
                <w:sz w:val="24"/>
                <w:szCs w:val="24"/>
                <w:lang w:val="en-DE"/>
              </w:rPr>
              <w:t>Fixed-baseline analysis for doctors (validation); dynamic-baseline projection for patients (real-time decision support).</w:t>
            </w:r>
          </w:p>
        </w:tc>
        <w:tc>
          <w:tcPr>
            <w:tcW w:w="0" w:type="auto"/>
            <w:vAlign w:val="center"/>
            <w:hideMark/>
          </w:tcPr>
          <w:p w14:paraId="4D9E48BE" w14:textId="77777777" w:rsidR="0040438B" w:rsidRPr="0040438B" w:rsidRDefault="0040438B" w:rsidP="0040438B">
            <w:pPr>
              <w:spacing w:line="360" w:lineRule="auto"/>
              <w:rPr>
                <w:rFonts w:asciiTheme="minorBidi" w:hAnsiTheme="minorBidi"/>
                <w:sz w:val="24"/>
                <w:szCs w:val="24"/>
                <w:lang w:val="en-DE"/>
              </w:rPr>
            </w:pPr>
            <w:r w:rsidRPr="0040438B">
              <w:rPr>
                <w:rFonts w:asciiTheme="minorBidi" w:hAnsiTheme="minorBidi"/>
                <w:sz w:val="24"/>
                <w:szCs w:val="24"/>
                <w:lang w:val="en-DE"/>
              </w:rPr>
              <w:t>Aligns clinical rigor with patient usability and empowerment.</w:t>
            </w:r>
          </w:p>
        </w:tc>
      </w:tr>
      <w:tr w:rsidR="0040438B" w:rsidRPr="0040438B" w14:paraId="79B3B5BA" w14:textId="77777777">
        <w:trPr>
          <w:tblCellSpacing w:w="15" w:type="dxa"/>
        </w:trPr>
        <w:tc>
          <w:tcPr>
            <w:tcW w:w="0" w:type="auto"/>
            <w:vAlign w:val="center"/>
            <w:hideMark/>
          </w:tcPr>
          <w:p w14:paraId="226623F5" w14:textId="77777777" w:rsidR="0040438B" w:rsidRPr="0040438B" w:rsidRDefault="0040438B" w:rsidP="0040438B">
            <w:pPr>
              <w:spacing w:line="360" w:lineRule="auto"/>
              <w:rPr>
                <w:rFonts w:asciiTheme="minorBidi" w:hAnsiTheme="minorBidi"/>
                <w:sz w:val="24"/>
                <w:szCs w:val="24"/>
                <w:lang w:val="en-DE"/>
              </w:rPr>
            </w:pPr>
            <w:r w:rsidRPr="0040438B">
              <w:rPr>
                <w:rFonts w:asciiTheme="minorBidi" w:hAnsiTheme="minorBidi"/>
                <w:sz w:val="24"/>
                <w:szCs w:val="24"/>
                <w:lang w:val="en-DE"/>
              </w:rPr>
              <w:t>Intelligent Glucose Estimation</w:t>
            </w:r>
          </w:p>
        </w:tc>
        <w:tc>
          <w:tcPr>
            <w:tcW w:w="0" w:type="auto"/>
            <w:vAlign w:val="center"/>
            <w:hideMark/>
          </w:tcPr>
          <w:p w14:paraId="437E2407" w14:textId="77777777" w:rsidR="0040438B" w:rsidRPr="0040438B" w:rsidRDefault="0040438B" w:rsidP="0040438B">
            <w:pPr>
              <w:spacing w:line="360" w:lineRule="auto"/>
              <w:rPr>
                <w:rFonts w:asciiTheme="minorBidi" w:hAnsiTheme="minorBidi"/>
                <w:sz w:val="24"/>
                <w:szCs w:val="24"/>
                <w:lang w:val="en-DE"/>
              </w:rPr>
            </w:pPr>
            <w:r w:rsidRPr="0040438B">
              <w:rPr>
                <w:rFonts w:asciiTheme="minorBidi" w:hAnsiTheme="minorBidi"/>
                <w:sz w:val="24"/>
                <w:szCs w:val="24"/>
                <w:lang w:val="en-DE"/>
              </w:rPr>
              <w:t>Physiological modeling fills data gaps between finger-stick readings with confidence-weighted estimates.</w:t>
            </w:r>
          </w:p>
        </w:tc>
        <w:tc>
          <w:tcPr>
            <w:tcW w:w="0" w:type="auto"/>
            <w:vAlign w:val="center"/>
            <w:hideMark/>
          </w:tcPr>
          <w:p w14:paraId="5938F8F5" w14:textId="77777777" w:rsidR="0040438B" w:rsidRPr="0040438B" w:rsidRDefault="0040438B" w:rsidP="0040438B">
            <w:pPr>
              <w:spacing w:line="360" w:lineRule="auto"/>
              <w:rPr>
                <w:rFonts w:asciiTheme="minorBidi" w:hAnsiTheme="minorBidi"/>
                <w:sz w:val="24"/>
                <w:szCs w:val="24"/>
                <w:lang w:val="en-DE"/>
              </w:rPr>
            </w:pPr>
            <w:r w:rsidRPr="0040438B">
              <w:rPr>
                <w:rFonts w:asciiTheme="minorBidi" w:hAnsiTheme="minorBidi"/>
                <w:sz w:val="24"/>
                <w:szCs w:val="24"/>
                <w:lang w:val="en-DE"/>
              </w:rPr>
              <w:t>Maintains CGM-level precision without the need for continuous sensor hardware.</w:t>
            </w:r>
          </w:p>
        </w:tc>
      </w:tr>
      <w:tr w:rsidR="0040438B" w:rsidRPr="0040438B" w14:paraId="5C907629" w14:textId="77777777">
        <w:trPr>
          <w:tblCellSpacing w:w="15" w:type="dxa"/>
        </w:trPr>
        <w:tc>
          <w:tcPr>
            <w:tcW w:w="0" w:type="auto"/>
            <w:vAlign w:val="center"/>
            <w:hideMark/>
          </w:tcPr>
          <w:p w14:paraId="7E4FA1E5" w14:textId="77777777" w:rsidR="0040438B" w:rsidRPr="0040438B" w:rsidRDefault="0040438B" w:rsidP="0040438B">
            <w:pPr>
              <w:spacing w:line="360" w:lineRule="auto"/>
              <w:rPr>
                <w:rFonts w:asciiTheme="minorBidi" w:hAnsiTheme="minorBidi"/>
                <w:sz w:val="24"/>
                <w:szCs w:val="24"/>
                <w:lang w:val="en-DE"/>
              </w:rPr>
            </w:pPr>
            <w:r w:rsidRPr="0040438B">
              <w:rPr>
                <w:rFonts w:asciiTheme="minorBidi" w:hAnsiTheme="minorBidi"/>
                <w:sz w:val="24"/>
                <w:szCs w:val="24"/>
                <w:lang w:val="en-DE"/>
              </w:rPr>
              <w:t>Meal-on-Board (MOB) System</w:t>
            </w:r>
          </w:p>
        </w:tc>
        <w:tc>
          <w:tcPr>
            <w:tcW w:w="0" w:type="auto"/>
            <w:vAlign w:val="center"/>
            <w:hideMark/>
          </w:tcPr>
          <w:p w14:paraId="5002BBD0" w14:textId="77777777" w:rsidR="0040438B" w:rsidRPr="0040438B" w:rsidRDefault="0040438B" w:rsidP="0040438B">
            <w:pPr>
              <w:spacing w:line="360" w:lineRule="auto"/>
              <w:rPr>
                <w:rFonts w:asciiTheme="minorBidi" w:hAnsiTheme="minorBidi"/>
                <w:sz w:val="24"/>
                <w:szCs w:val="24"/>
                <w:lang w:val="en-DE"/>
              </w:rPr>
            </w:pPr>
            <w:r w:rsidRPr="0040438B">
              <w:rPr>
                <w:rFonts w:asciiTheme="minorBidi" w:hAnsiTheme="minorBidi"/>
                <w:sz w:val="24"/>
                <w:szCs w:val="24"/>
                <w:lang w:val="en-DE"/>
              </w:rPr>
              <w:t>First open-source platform tracking active carbohydrate absorption across 5 meal types.</w:t>
            </w:r>
          </w:p>
        </w:tc>
        <w:tc>
          <w:tcPr>
            <w:tcW w:w="0" w:type="auto"/>
            <w:vAlign w:val="center"/>
            <w:hideMark/>
          </w:tcPr>
          <w:p w14:paraId="13EBEA84" w14:textId="77777777" w:rsidR="0040438B" w:rsidRPr="0040438B" w:rsidRDefault="0040438B" w:rsidP="0040438B">
            <w:pPr>
              <w:spacing w:line="360" w:lineRule="auto"/>
              <w:rPr>
                <w:rFonts w:asciiTheme="minorBidi" w:hAnsiTheme="minorBidi"/>
                <w:sz w:val="24"/>
                <w:szCs w:val="24"/>
                <w:lang w:val="en-DE"/>
              </w:rPr>
            </w:pPr>
            <w:r w:rsidRPr="0040438B">
              <w:rPr>
                <w:rFonts w:asciiTheme="minorBidi" w:hAnsiTheme="minorBidi"/>
                <w:sz w:val="24"/>
                <w:szCs w:val="24"/>
                <w:lang w:val="en-DE"/>
              </w:rPr>
              <w:t>Provides dynamic, personalized meal impact tracking, a key missing feature in competitors.</w:t>
            </w:r>
          </w:p>
        </w:tc>
      </w:tr>
      <w:tr w:rsidR="0040438B" w:rsidRPr="0040438B" w14:paraId="06905CB7" w14:textId="77777777">
        <w:trPr>
          <w:tblCellSpacing w:w="15" w:type="dxa"/>
        </w:trPr>
        <w:tc>
          <w:tcPr>
            <w:tcW w:w="0" w:type="auto"/>
            <w:vAlign w:val="center"/>
            <w:hideMark/>
          </w:tcPr>
          <w:p w14:paraId="2D11E32E" w14:textId="77777777" w:rsidR="0040438B" w:rsidRPr="0040438B" w:rsidRDefault="0040438B" w:rsidP="0040438B">
            <w:pPr>
              <w:spacing w:line="360" w:lineRule="auto"/>
              <w:rPr>
                <w:rFonts w:asciiTheme="minorBidi" w:hAnsiTheme="minorBidi"/>
                <w:sz w:val="24"/>
                <w:szCs w:val="24"/>
                <w:lang w:val="en-DE"/>
              </w:rPr>
            </w:pPr>
            <w:r w:rsidRPr="0040438B">
              <w:rPr>
                <w:rFonts w:asciiTheme="minorBidi" w:hAnsiTheme="minorBidi"/>
                <w:sz w:val="24"/>
                <w:szCs w:val="24"/>
                <w:lang w:val="en-DE"/>
              </w:rPr>
              <w:t>Future Glucose Projection</w:t>
            </w:r>
          </w:p>
        </w:tc>
        <w:tc>
          <w:tcPr>
            <w:tcW w:w="0" w:type="auto"/>
            <w:vAlign w:val="center"/>
            <w:hideMark/>
          </w:tcPr>
          <w:p w14:paraId="22451ED9" w14:textId="77777777" w:rsidR="0040438B" w:rsidRPr="0040438B" w:rsidRDefault="0040438B" w:rsidP="0040438B">
            <w:pPr>
              <w:spacing w:line="360" w:lineRule="auto"/>
              <w:rPr>
                <w:rFonts w:asciiTheme="minorBidi" w:hAnsiTheme="minorBidi"/>
                <w:sz w:val="24"/>
                <w:szCs w:val="24"/>
                <w:lang w:val="en-DE"/>
              </w:rPr>
            </w:pPr>
            <w:r w:rsidRPr="0040438B">
              <w:rPr>
                <w:rFonts w:asciiTheme="minorBidi" w:hAnsiTheme="minorBidi"/>
                <w:sz w:val="24"/>
                <w:szCs w:val="24"/>
                <w:lang w:val="en-DE"/>
              </w:rPr>
              <w:t>Projects 4-hour glucose trajectory based on current state, active insulin (IOB), and meal absorption (MOB).</w:t>
            </w:r>
          </w:p>
        </w:tc>
        <w:tc>
          <w:tcPr>
            <w:tcW w:w="0" w:type="auto"/>
            <w:vAlign w:val="center"/>
            <w:hideMark/>
          </w:tcPr>
          <w:p w14:paraId="50BD3B14" w14:textId="77777777" w:rsidR="0040438B" w:rsidRPr="0040438B" w:rsidRDefault="0040438B" w:rsidP="0040438B">
            <w:pPr>
              <w:spacing w:line="360" w:lineRule="auto"/>
              <w:rPr>
                <w:rFonts w:asciiTheme="minorBidi" w:hAnsiTheme="minorBidi"/>
                <w:sz w:val="24"/>
                <w:szCs w:val="24"/>
                <w:lang w:val="en-DE"/>
              </w:rPr>
            </w:pPr>
            <w:r w:rsidRPr="0040438B">
              <w:rPr>
                <w:rFonts w:asciiTheme="minorBidi" w:hAnsiTheme="minorBidi"/>
                <w:sz w:val="24"/>
                <w:szCs w:val="24"/>
                <w:lang w:val="en-DE"/>
              </w:rPr>
              <w:t>Enables proactive decision support to prevent hypo- and hyperglycemia.</w:t>
            </w:r>
          </w:p>
        </w:tc>
      </w:tr>
    </w:tbl>
    <w:p w14:paraId="6B4181EA" w14:textId="77777777" w:rsidR="0040438B" w:rsidRPr="0040438B" w:rsidRDefault="0040438B" w:rsidP="0040438B">
      <w:pPr>
        <w:spacing w:line="360" w:lineRule="auto"/>
        <w:rPr>
          <w:rFonts w:asciiTheme="minorBidi" w:hAnsiTheme="minorBidi"/>
          <w:sz w:val="24"/>
          <w:szCs w:val="24"/>
          <w:lang w:val="en-DE"/>
        </w:rPr>
      </w:pPr>
      <w:r w:rsidRPr="0040438B">
        <w:rPr>
          <w:rFonts w:asciiTheme="minorBidi" w:hAnsiTheme="minorBidi"/>
          <w:sz w:val="24"/>
          <w:szCs w:val="24"/>
          <w:lang w:val="en-DE"/>
        </w:rPr>
        <w:t xml:space="preserve">Support for Insulin Pen Users (Primary Target Group): For insulin pen users, DiaTwin retains clinically relevant decision-support benefits gained during temporary CGM use while relying on only 3–4 daily finger-stick measurements. Physiological modeling and Intelligent Glucose Estimation are used to contextualize sparse glucose readings and support safe dosing recommendations. A key innovation is the Meal-on-Board (MOB) system, which models active carbohydrate absorption across </w:t>
      </w:r>
      <w:r w:rsidRPr="0040438B">
        <w:rPr>
          <w:rFonts w:asciiTheme="minorBidi" w:hAnsiTheme="minorBidi"/>
          <w:sz w:val="24"/>
          <w:szCs w:val="24"/>
          <w:lang w:val="en-DE"/>
        </w:rPr>
        <w:lastRenderedPageBreak/>
        <w:t>multiple meal types, allowing patients to perform simple meal calculations without complex nutritional analysis.</w:t>
      </w:r>
    </w:p>
    <w:p w14:paraId="4B21D901" w14:textId="77777777" w:rsidR="0040438B" w:rsidRPr="0040438B" w:rsidRDefault="0040438B" w:rsidP="0040438B">
      <w:pPr>
        <w:spacing w:line="360" w:lineRule="auto"/>
        <w:rPr>
          <w:rFonts w:asciiTheme="minorBidi" w:hAnsiTheme="minorBidi"/>
          <w:sz w:val="24"/>
          <w:szCs w:val="24"/>
          <w:lang w:val="en-DE"/>
        </w:rPr>
      </w:pPr>
      <w:r w:rsidRPr="0040438B">
        <w:rPr>
          <w:rFonts w:asciiTheme="minorBidi" w:hAnsiTheme="minorBidi"/>
          <w:sz w:val="24"/>
          <w:szCs w:val="24"/>
          <w:lang w:val="en-DE"/>
        </w:rPr>
        <w:t>Support for Continuous CGM Users (Secondary Segment): For patients who continue CGM use, DiaTwin functions as an intelligent analytical layer on top of manufacturer systems. Continuous glucose data enables advanced parameter validation, future glucose projection, and pattern analysis that are not available in standard CGM applications. These insights support both patients and physicians in refining therapy parameters over time.</w:t>
      </w:r>
    </w:p>
    <w:p w14:paraId="6C8EE3E3" w14:textId="77777777" w:rsidR="0040438B" w:rsidRPr="0040438B" w:rsidRDefault="0040438B" w:rsidP="0040438B">
      <w:pPr>
        <w:spacing w:line="360" w:lineRule="auto"/>
        <w:rPr>
          <w:rFonts w:asciiTheme="minorBidi" w:hAnsiTheme="minorBidi"/>
          <w:sz w:val="24"/>
          <w:szCs w:val="24"/>
          <w:lang w:val="en-DE"/>
        </w:rPr>
      </w:pPr>
      <w:r w:rsidRPr="0040438B">
        <w:rPr>
          <w:rFonts w:asciiTheme="minorBidi" w:hAnsiTheme="minorBidi"/>
          <w:sz w:val="24"/>
          <w:szCs w:val="24"/>
          <w:lang w:val="en-DE"/>
        </w:rPr>
        <w:t>Support for Physicians: For physicians, DiaTwin provides a structured, auditable environment to monitor patient progress and therapy effectiveness. The Dual Net Effect System offers a fixed-baseline analytical view that supports faster validation of patient-specific parameters (weeks instead of months). Physicians can securely review patient data remotely and update calculation factors as needed, enabling proactive and efficient diabetes management while maintaining full clinical control.</w:t>
      </w:r>
    </w:p>
    <w:p w14:paraId="40C96437" w14:textId="77777777" w:rsidR="0040438B" w:rsidRPr="0040438B" w:rsidRDefault="0040438B" w:rsidP="0040438B">
      <w:pPr>
        <w:spacing w:line="360" w:lineRule="auto"/>
        <w:rPr>
          <w:rFonts w:asciiTheme="minorBidi" w:hAnsiTheme="minorBidi"/>
          <w:b/>
          <w:bCs/>
          <w:sz w:val="24"/>
          <w:szCs w:val="24"/>
          <w:lang w:val="en-DE"/>
        </w:rPr>
      </w:pPr>
      <w:r w:rsidRPr="0040438B">
        <w:rPr>
          <w:rFonts w:asciiTheme="minorBidi" w:hAnsiTheme="minorBidi"/>
          <w:b/>
          <w:bCs/>
          <w:sz w:val="24"/>
          <w:szCs w:val="24"/>
          <w:lang w:val="en-DE"/>
        </w:rPr>
        <w:t>Development approach and current state of implementation.</w:t>
      </w:r>
    </w:p>
    <w:p w14:paraId="0916696D" w14:textId="77777777" w:rsidR="0040438B" w:rsidRPr="0040438B" w:rsidRDefault="0040438B" w:rsidP="0040438B">
      <w:pPr>
        <w:spacing w:line="360" w:lineRule="auto"/>
        <w:rPr>
          <w:rFonts w:asciiTheme="minorBidi" w:hAnsiTheme="minorBidi"/>
          <w:sz w:val="24"/>
          <w:szCs w:val="24"/>
          <w:lang w:val="en-DE"/>
        </w:rPr>
      </w:pPr>
      <w:r w:rsidRPr="0040438B">
        <w:rPr>
          <w:rFonts w:asciiTheme="minorBidi" w:hAnsiTheme="minorBidi"/>
          <w:sz w:val="24"/>
          <w:szCs w:val="24"/>
          <w:lang w:val="en-DE"/>
        </w:rPr>
        <w:t>DiaTwin is currently at Technology Readiness Level (TRL) 4–5. A functional web-based prototype implementing the core algorithms—including insulin-on-board (IOB), meal-on-board (MOB), and Net Effect analysis—was developed as part of a Master’s thesis in Digital Health at Deggendorf Institute of Technology. The work received a final grade of 1.6 and was evaluated as “Excellent”.</w:t>
      </w:r>
    </w:p>
    <w:p w14:paraId="3BD72D1A" w14:textId="77777777" w:rsidR="0040438B" w:rsidRPr="0040438B" w:rsidRDefault="0040438B" w:rsidP="0040438B">
      <w:pPr>
        <w:spacing w:line="360" w:lineRule="auto"/>
        <w:rPr>
          <w:rFonts w:asciiTheme="minorBidi" w:hAnsiTheme="minorBidi"/>
          <w:sz w:val="24"/>
          <w:szCs w:val="24"/>
          <w:lang w:val="en-DE"/>
        </w:rPr>
      </w:pPr>
      <w:r w:rsidRPr="0040438B">
        <w:rPr>
          <w:rFonts w:asciiTheme="minorBidi" w:hAnsiTheme="minorBidi"/>
          <w:sz w:val="24"/>
          <w:szCs w:val="24"/>
          <w:lang w:val="en-DE"/>
        </w:rPr>
        <w:t>The next development phase (TRL 6–7) focuses on clinical validation with insulin-treated T1D patients and preparation for regulatory compliance as medical decision-support software. This phase will include usability optimization, physician workflow integration, and structured clinical evaluation.</w:t>
      </w:r>
    </w:p>
    <w:p w14:paraId="77E95074" w14:textId="77777777" w:rsidR="00607527" w:rsidRPr="0040438B" w:rsidRDefault="00607527" w:rsidP="0040438B">
      <w:pPr>
        <w:spacing w:line="360" w:lineRule="auto"/>
        <w:rPr>
          <w:rFonts w:asciiTheme="minorBidi" w:hAnsiTheme="minorBidi"/>
          <w:sz w:val="24"/>
          <w:szCs w:val="24"/>
        </w:rPr>
      </w:pPr>
    </w:p>
    <w:p w14:paraId="616ABF17" w14:textId="77777777" w:rsidR="0040438B" w:rsidRPr="0040438B" w:rsidRDefault="0040438B" w:rsidP="0040438B">
      <w:pPr>
        <w:spacing w:line="360" w:lineRule="auto"/>
        <w:rPr>
          <w:rFonts w:asciiTheme="minorBidi" w:hAnsiTheme="minorBidi"/>
          <w:sz w:val="24"/>
          <w:szCs w:val="24"/>
        </w:rPr>
      </w:pPr>
    </w:p>
    <w:p w14:paraId="2D2E2862" w14:textId="77777777" w:rsidR="0040438B" w:rsidRDefault="0040438B" w:rsidP="0040438B">
      <w:pPr>
        <w:spacing w:line="360" w:lineRule="auto"/>
        <w:rPr>
          <w:rFonts w:asciiTheme="minorBidi" w:hAnsiTheme="minorBidi"/>
          <w:sz w:val="24"/>
          <w:szCs w:val="24"/>
        </w:rPr>
      </w:pPr>
    </w:p>
    <w:p w14:paraId="53BB4C85" w14:textId="77777777" w:rsidR="0040438B" w:rsidRDefault="0040438B" w:rsidP="0040438B">
      <w:pPr>
        <w:spacing w:line="360" w:lineRule="auto"/>
        <w:rPr>
          <w:rFonts w:asciiTheme="minorBidi" w:hAnsiTheme="minorBidi"/>
          <w:sz w:val="24"/>
          <w:szCs w:val="24"/>
        </w:rPr>
      </w:pPr>
    </w:p>
    <w:p w14:paraId="0F31C90C" w14:textId="77777777" w:rsidR="0040438B" w:rsidRDefault="0040438B" w:rsidP="0040438B">
      <w:pPr>
        <w:spacing w:line="360" w:lineRule="auto"/>
        <w:rPr>
          <w:rFonts w:asciiTheme="minorBidi" w:hAnsiTheme="minorBidi"/>
          <w:sz w:val="24"/>
          <w:szCs w:val="24"/>
        </w:rPr>
      </w:pPr>
    </w:p>
    <w:p w14:paraId="3F3F3AF6" w14:textId="77777777" w:rsidR="0040438B" w:rsidRPr="0040438B" w:rsidRDefault="0040438B" w:rsidP="0040438B">
      <w:pPr>
        <w:spacing w:line="360" w:lineRule="auto"/>
        <w:rPr>
          <w:rFonts w:asciiTheme="minorBidi" w:hAnsiTheme="minorBidi"/>
          <w:sz w:val="24"/>
          <w:szCs w:val="24"/>
        </w:rPr>
      </w:pPr>
    </w:p>
    <w:p w14:paraId="6BF8533A" w14:textId="77777777" w:rsidR="0040438B" w:rsidRPr="0040438B" w:rsidRDefault="0040438B" w:rsidP="0040438B">
      <w:pPr>
        <w:spacing w:line="360" w:lineRule="auto"/>
        <w:rPr>
          <w:rFonts w:asciiTheme="minorBidi" w:hAnsiTheme="minorBidi"/>
          <w:sz w:val="24"/>
          <w:szCs w:val="24"/>
        </w:rPr>
      </w:pPr>
    </w:p>
    <w:p w14:paraId="2D8E0015" w14:textId="77777777" w:rsidR="0040438B" w:rsidRDefault="0040438B" w:rsidP="0040438B">
      <w:pPr>
        <w:spacing w:line="360" w:lineRule="auto"/>
        <w:rPr>
          <w:rFonts w:asciiTheme="minorBidi" w:hAnsiTheme="minorBidi"/>
          <w:sz w:val="24"/>
          <w:szCs w:val="24"/>
        </w:rPr>
      </w:pPr>
    </w:p>
    <w:p w14:paraId="46518174" w14:textId="77777777" w:rsidR="009619DB" w:rsidRDefault="009619DB" w:rsidP="0040438B">
      <w:pPr>
        <w:spacing w:line="360" w:lineRule="auto"/>
        <w:rPr>
          <w:rFonts w:asciiTheme="minorBidi" w:hAnsiTheme="minorBidi"/>
          <w:sz w:val="24"/>
          <w:szCs w:val="24"/>
        </w:rPr>
      </w:pPr>
    </w:p>
    <w:p w14:paraId="32C25669" w14:textId="77777777" w:rsidR="009619DB" w:rsidRPr="009619DB" w:rsidRDefault="009619DB" w:rsidP="009619DB">
      <w:pPr>
        <w:spacing w:line="360" w:lineRule="auto"/>
        <w:rPr>
          <w:rFonts w:asciiTheme="minorBidi" w:hAnsiTheme="minorBidi"/>
          <w:b/>
          <w:bCs/>
          <w:sz w:val="24"/>
          <w:szCs w:val="24"/>
          <w:lang w:val="en-DE"/>
        </w:rPr>
      </w:pPr>
      <w:r w:rsidRPr="009619DB">
        <w:rPr>
          <w:rFonts w:asciiTheme="minorBidi" w:hAnsiTheme="minorBidi"/>
          <w:b/>
          <w:bCs/>
          <w:sz w:val="24"/>
          <w:szCs w:val="24"/>
          <w:lang w:val="en-DE"/>
        </w:rPr>
        <w:t>Option 2: Detailed (For "Proof of Principle" Section - 1 paragraph)</w:t>
      </w:r>
    </w:p>
    <w:p w14:paraId="6479BEA1" w14:textId="77777777" w:rsidR="009619DB" w:rsidRPr="009619DB" w:rsidRDefault="009619DB" w:rsidP="009619DB">
      <w:pPr>
        <w:spacing w:line="360" w:lineRule="auto"/>
        <w:rPr>
          <w:rFonts w:asciiTheme="minorBidi" w:hAnsiTheme="minorBidi"/>
          <w:sz w:val="24"/>
          <w:szCs w:val="24"/>
          <w:lang w:val="en-DE"/>
        </w:rPr>
      </w:pPr>
      <w:r w:rsidRPr="009619DB">
        <w:rPr>
          <w:rFonts w:asciiTheme="minorBidi" w:hAnsiTheme="minorBidi"/>
          <w:b/>
          <w:bCs/>
          <w:sz w:val="24"/>
          <w:szCs w:val="24"/>
          <w:lang w:val="en-DE"/>
        </w:rPr>
        <w:t>Development Status: TRL 4-5 (Laboratory/Controlled Validation Completed).</w:t>
      </w:r>
      <w:r w:rsidRPr="009619DB">
        <w:rPr>
          <w:rFonts w:asciiTheme="minorBidi" w:hAnsiTheme="minorBidi"/>
          <w:sz w:val="24"/>
          <w:szCs w:val="24"/>
          <w:lang w:val="en-DE"/>
        </w:rPr>
        <w:br/>
        <w:t xml:space="preserve">DiaTwin's technical foundation was established through a Master's thesis (Deggendorf Institute of Technology, grade 1.6 "Excellent" by Prof. Dr. Klaus Parhofer, LMU Munich Chief of Endocrinology) achieving Clinical Utility Score 8.7/10 from an independent diabetologist. </w:t>
      </w:r>
      <w:r w:rsidRPr="009619DB">
        <w:rPr>
          <w:rFonts w:asciiTheme="minorBidi" w:hAnsiTheme="minorBidi"/>
          <w:b/>
          <w:bCs/>
          <w:sz w:val="24"/>
          <w:szCs w:val="24"/>
          <w:lang w:val="en-DE"/>
        </w:rPr>
        <w:t>Validated components include:</w:t>
      </w:r>
    </w:p>
    <w:p w14:paraId="2D931815" w14:textId="77777777" w:rsidR="009619DB" w:rsidRPr="009619DB" w:rsidRDefault="009619DB" w:rsidP="009619DB">
      <w:pPr>
        <w:numPr>
          <w:ilvl w:val="0"/>
          <w:numId w:val="1"/>
        </w:numPr>
        <w:spacing w:line="360" w:lineRule="auto"/>
        <w:rPr>
          <w:rFonts w:asciiTheme="minorBidi" w:hAnsiTheme="minorBidi"/>
          <w:sz w:val="24"/>
          <w:szCs w:val="24"/>
          <w:lang w:val="en-DE"/>
        </w:rPr>
      </w:pPr>
      <w:r w:rsidRPr="009619DB">
        <w:rPr>
          <w:rFonts w:asciiTheme="minorBidi" w:hAnsiTheme="minorBidi"/>
          <w:b/>
          <w:bCs/>
          <w:sz w:val="24"/>
          <w:szCs w:val="24"/>
          <w:lang w:val="en-DE"/>
        </w:rPr>
        <w:t>Core algorithms:</w:t>
      </w:r>
      <w:r w:rsidRPr="009619DB">
        <w:rPr>
          <w:rFonts w:asciiTheme="minorBidi" w:hAnsiTheme="minorBidi"/>
          <w:sz w:val="24"/>
          <w:szCs w:val="24"/>
          <w:lang w:val="en-DE"/>
        </w:rPr>
        <w:t xml:space="preserve"> Weighted absorption modeling (5 meal types), patient-specific parameterization, insulin-on-board (IOB) tracking, meal-on-board (MOB) tracking, Dual Net Effect system (physician validation + patient projection), 4-hour glucose prediction</w:t>
      </w:r>
    </w:p>
    <w:p w14:paraId="7F0F9F30" w14:textId="77777777" w:rsidR="009619DB" w:rsidRPr="009619DB" w:rsidRDefault="009619DB" w:rsidP="009619DB">
      <w:pPr>
        <w:numPr>
          <w:ilvl w:val="0"/>
          <w:numId w:val="1"/>
        </w:numPr>
        <w:spacing w:line="360" w:lineRule="auto"/>
        <w:rPr>
          <w:rFonts w:asciiTheme="minorBidi" w:hAnsiTheme="minorBidi"/>
          <w:sz w:val="24"/>
          <w:szCs w:val="24"/>
          <w:lang w:val="en-DE"/>
        </w:rPr>
      </w:pPr>
      <w:r w:rsidRPr="009619DB">
        <w:rPr>
          <w:rFonts w:asciiTheme="minorBidi" w:hAnsiTheme="minorBidi"/>
          <w:b/>
          <w:bCs/>
          <w:sz w:val="24"/>
          <w:szCs w:val="24"/>
          <w:lang w:val="en-DE"/>
        </w:rPr>
        <w:t>Real-world data processing:</w:t>
      </w:r>
      <w:r w:rsidRPr="009619DB">
        <w:rPr>
          <w:rFonts w:asciiTheme="minorBidi" w:hAnsiTheme="minorBidi"/>
          <w:sz w:val="24"/>
          <w:szCs w:val="24"/>
          <w:lang w:val="en-DE"/>
        </w:rPr>
        <w:t xml:space="preserve"> AZT1D clinical research dataset (288 CGM readings, validated safety limits), 50,000+ meal-outcome pairs with 5-minute temporal consistency suitable for ML training</w:t>
      </w:r>
    </w:p>
    <w:p w14:paraId="155AF22C" w14:textId="77777777" w:rsidR="009619DB" w:rsidRPr="009619DB" w:rsidRDefault="009619DB" w:rsidP="009619DB">
      <w:pPr>
        <w:numPr>
          <w:ilvl w:val="0"/>
          <w:numId w:val="1"/>
        </w:numPr>
        <w:spacing w:line="360" w:lineRule="auto"/>
        <w:rPr>
          <w:rFonts w:asciiTheme="minorBidi" w:hAnsiTheme="minorBidi"/>
          <w:sz w:val="24"/>
          <w:szCs w:val="24"/>
          <w:lang w:val="en-DE"/>
        </w:rPr>
      </w:pPr>
      <w:r w:rsidRPr="009619DB">
        <w:rPr>
          <w:rFonts w:asciiTheme="minorBidi" w:hAnsiTheme="minorBidi"/>
          <w:b/>
          <w:bCs/>
          <w:sz w:val="24"/>
          <w:szCs w:val="24"/>
          <w:lang w:val="en-DE"/>
        </w:rPr>
        <w:t>Performance validation:</w:t>
      </w:r>
      <w:r w:rsidRPr="009619DB">
        <w:rPr>
          <w:rFonts w:asciiTheme="minorBidi" w:hAnsiTheme="minorBidi"/>
          <w:sz w:val="24"/>
          <w:szCs w:val="24"/>
          <w:lang w:val="en-DE"/>
        </w:rPr>
        <w:t xml:space="preserve"> 25 concurrent users (100% stability, 2.04s average response time), 72-hour continuous operation (8.6% CPU, no memory leaks), sub-millisecond query performance, scalable to 50,000+ food items</w:t>
      </w:r>
    </w:p>
    <w:p w14:paraId="5D092DAB" w14:textId="77777777" w:rsidR="009619DB" w:rsidRPr="009619DB" w:rsidRDefault="009619DB" w:rsidP="009619DB">
      <w:pPr>
        <w:numPr>
          <w:ilvl w:val="0"/>
          <w:numId w:val="1"/>
        </w:numPr>
        <w:spacing w:line="360" w:lineRule="auto"/>
        <w:rPr>
          <w:rFonts w:asciiTheme="minorBidi" w:hAnsiTheme="minorBidi"/>
          <w:sz w:val="24"/>
          <w:szCs w:val="24"/>
          <w:lang w:val="en-DE"/>
        </w:rPr>
      </w:pPr>
      <w:r w:rsidRPr="009619DB">
        <w:rPr>
          <w:rFonts w:asciiTheme="minorBidi" w:hAnsiTheme="minorBidi"/>
          <w:b/>
          <w:bCs/>
          <w:sz w:val="24"/>
          <w:szCs w:val="24"/>
          <w:lang w:val="en-DE"/>
        </w:rPr>
        <w:t>Dual-platform implementation:</w:t>
      </w:r>
      <w:r w:rsidRPr="009619DB">
        <w:rPr>
          <w:rFonts w:asciiTheme="minorBidi" w:hAnsiTheme="minorBidi"/>
          <w:sz w:val="24"/>
          <w:szCs w:val="24"/>
          <w:lang w:val="en-DE"/>
        </w:rPr>
        <w:t xml:space="preserve"> Functional web prototype (Flask/React/MongoDB) + mobile React Native prototype (iOS/Android) with CGM API integration architecture</w:t>
      </w:r>
    </w:p>
    <w:p w14:paraId="4429CEFD" w14:textId="77777777" w:rsidR="009619DB" w:rsidRPr="009619DB" w:rsidRDefault="009619DB" w:rsidP="009619DB">
      <w:pPr>
        <w:spacing w:line="360" w:lineRule="auto"/>
        <w:rPr>
          <w:rFonts w:asciiTheme="minorBidi" w:hAnsiTheme="minorBidi"/>
          <w:sz w:val="24"/>
          <w:szCs w:val="24"/>
          <w:lang w:val="en-DE"/>
        </w:rPr>
      </w:pPr>
      <w:r w:rsidRPr="009619DB">
        <w:rPr>
          <w:rFonts w:asciiTheme="minorBidi" w:hAnsiTheme="minorBidi"/>
          <w:b/>
          <w:bCs/>
          <w:sz w:val="24"/>
          <w:szCs w:val="24"/>
          <w:lang w:val="en-DE"/>
        </w:rPr>
        <w:t>High development risk remains</w:t>
      </w:r>
      <w:r w:rsidRPr="009619DB">
        <w:rPr>
          <w:rFonts w:asciiTheme="minorBidi" w:hAnsiTheme="minorBidi"/>
          <w:sz w:val="24"/>
          <w:szCs w:val="24"/>
          <w:lang w:val="en-DE"/>
        </w:rPr>
        <w:t xml:space="preserve"> in prospective clinical validation (insulin dosing safety unproven in real patients), dual-user model outcomes (post-CGM sustainability hypothesis untested), physician adoption barriers (workflow integration requires real-world usability testing), and regulatory compliance (CE Class IIa + DiGA pathway requires €60K+ investment, 18-24 month timeline).</w:t>
      </w:r>
    </w:p>
    <w:p w14:paraId="12F69FE5" w14:textId="77777777" w:rsidR="009619DB" w:rsidRPr="009619DB" w:rsidRDefault="009619DB" w:rsidP="009619DB">
      <w:pPr>
        <w:spacing w:line="360" w:lineRule="auto"/>
        <w:rPr>
          <w:rFonts w:asciiTheme="minorBidi" w:hAnsiTheme="minorBidi"/>
          <w:sz w:val="24"/>
          <w:szCs w:val="24"/>
          <w:lang w:val="en-DE"/>
        </w:rPr>
      </w:pPr>
      <w:r w:rsidRPr="009619DB">
        <w:rPr>
          <w:rFonts w:asciiTheme="minorBidi" w:hAnsiTheme="minorBidi"/>
          <w:b/>
          <w:bCs/>
          <w:sz w:val="24"/>
          <w:szCs w:val="24"/>
          <w:lang w:val="en-DE"/>
        </w:rPr>
        <w:lastRenderedPageBreak/>
        <w:t>Phase I Objectives (TRL 6-7):</w:t>
      </w:r>
      <w:r w:rsidRPr="009619DB">
        <w:rPr>
          <w:rFonts w:asciiTheme="minorBidi" w:hAnsiTheme="minorBidi"/>
          <w:sz w:val="24"/>
          <w:szCs w:val="24"/>
          <w:lang w:val="en-DE"/>
        </w:rPr>
        <w:t xml:space="preserve"> Clinical trial (N=100 patients, 6-month follow-up, 2 study arms) to validate safety/efficacy in both post-CGM users (Arm A: finger-stick + DiaTwin) and CGM enhancement users (Arm B: continuous CGM + DiaTwin layer), usability testing with physicians/patients, CE marking documentation, DiGA application preparation to BfArM.</w:t>
      </w:r>
    </w:p>
    <w:p w14:paraId="1A60E1D2" w14:textId="77777777" w:rsidR="009619DB" w:rsidRPr="009619DB" w:rsidRDefault="009619DB" w:rsidP="009619DB">
      <w:pPr>
        <w:spacing w:line="360" w:lineRule="auto"/>
        <w:rPr>
          <w:rFonts w:asciiTheme="minorBidi" w:hAnsiTheme="minorBidi"/>
          <w:sz w:val="24"/>
          <w:szCs w:val="24"/>
          <w:lang w:val="en-DE"/>
        </w:rPr>
      </w:pPr>
      <w:r w:rsidRPr="009619DB">
        <w:rPr>
          <w:rFonts w:asciiTheme="minorBidi" w:hAnsiTheme="minorBidi"/>
          <w:sz w:val="24"/>
          <w:szCs w:val="24"/>
          <w:lang w:val="en-DE"/>
        </w:rPr>
        <w:pict w14:anchorId="426F69FA">
          <v:rect id="_x0000_i1049" style="width:0;height:1.5pt" o:hralign="center" o:hrstd="t" o:hr="t" fillcolor="#a0a0a0" stroked="f"/>
        </w:pict>
      </w:r>
    </w:p>
    <w:p w14:paraId="11C3EFA9" w14:textId="77777777" w:rsidR="009619DB" w:rsidRPr="009619DB" w:rsidRDefault="009619DB" w:rsidP="009619DB">
      <w:pPr>
        <w:spacing w:line="360" w:lineRule="auto"/>
        <w:rPr>
          <w:rFonts w:asciiTheme="minorBidi" w:hAnsiTheme="minorBidi"/>
          <w:b/>
          <w:bCs/>
          <w:sz w:val="24"/>
          <w:szCs w:val="24"/>
          <w:lang w:val="en-DE"/>
        </w:rPr>
      </w:pPr>
      <w:r w:rsidRPr="009619DB">
        <w:rPr>
          <w:rFonts w:asciiTheme="minorBidi" w:hAnsiTheme="minorBidi"/>
          <w:b/>
          <w:bCs/>
          <w:sz w:val="24"/>
          <w:szCs w:val="24"/>
          <w:lang w:val="en-DE"/>
        </w:rPr>
        <w:t>Option 3: Bullet Format (If EXIST Form Has Structured Fields)</w:t>
      </w:r>
    </w:p>
    <w:p w14:paraId="24CDECFB" w14:textId="77777777" w:rsidR="009619DB" w:rsidRPr="009619DB" w:rsidRDefault="009619DB" w:rsidP="009619DB">
      <w:pPr>
        <w:spacing w:line="360" w:lineRule="auto"/>
        <w:rPr>
          <w:rFonts w:asciiTheme="minorBidi" w:hAnsiTheme="minorBidi"/>
          <w:sz w:val="24"/>
          <w:szCs w:val="24"/>
          <w:lang w:val="en-DE"/>
        </w:rPr>
      </w:pPr>
      <w:r w:rsidRPr="009619DB">
        <w:rPr>
          <w:rFonts w:asciiTheme="minorBidi" w:hAnsiTheme="minorBidi"/>
          <w:b/>
          <w:bCs/>
          <w:sz w:val="24"/>
          <w:szCs w:val="24"/>
          <w:lang w:val="en-DE"/>
        </w:rPr>
        <w:t>Development Status:</w:t>
      </w:r>
      <w:r w:rsidRPr="009619DB">
        <w:rPr>
          <w:rFonts w:asciiTheme="minorBidi" w:hAnsiTheme="minorBidi"/>
          <w:sz w:val="24"/>
          <w:szCs w:val="24"/>
          <w:lang w:val="en-DE"/>
        </w:rPr>
        <w:t xml:space="preserve"> TRL 4-5 (Laboratory Validation Complete)</w:t>
      </w:r>
    </w:p>
    <w:p w14:paraId="0B0910B6" w14:textId="77777777" w:rsidR="009619DB" w:rsidRPr="009619DB" w:rsidRDefault="009619DB" w:rsidP="009619DB">
      <w:pPr>
        <w:spacing w:line="360" w:lineRule="auto"/>
        <w:rPr>
          <w:rFonts w:asciiTheme="minorBidi" w:hAnsiTheme="minorBidi"/>
          <w:sz w:val="24"/>
          <w:szCs w:val="24"/>
          <w:lang w:val="en-DE"/>
        </w:rPr>
      </w:pPr>
      <w:r w:rsidRPr="009619DB">
        <w:rPr>
          <w:rFonts w:asciiTheme="minorBidi" w:hAnsiTheme="minorBidi"/>
          <w:b/>
          <w:bCs/>
          <w:sz w:val="24"/>
          <w:szCs w:val="24"/>
          <w:lang w:val="en-DE"/>
        </w:rPr>
        <w:t>What Has Been Proven:</w:t>
      </w:r>
    </w:p>
    <w:p w14:paraId="75D2BA14" w14:textId="77777777" w:rsidR="009619DB" w:rsidRPr="009619DB" w:rsidRDefault="009619DB" w:rsidP="009619DB">
      <w:pPr>
        <w:numPr>
          <w:ilvl w:val="0"/>
          <w:numId w:val="2"/>
        </w:numPr>
        <w:spacing w:line="360" w:lineRule="auto"/>
        <w:rPr>
          <w:rFonts w:asciiTheme="minorBidi" w:hAnsiTheme="minorBidi"/>
          <w:sz w:val="24"/>
          <w:szCs w:val="24"/>
          <w:lang w:val="en-DE"/>
        </w:rPr>
      </w:pPr>
      <w:r w:rsidRPr="009619DB">
        <w:rPr>
          <w:rFonts w:ascii="Segoe UI Emoji" w:hAnsi="Segoe UI Emoji" w:cs="Segoe UI Emoji"/>
          <w:sz w:val="24"/>
          <w:szCs w:val="24"/>
          <w:lang w:val="en-DE"/>
        </w:rPr>
        <w:t>✅</w:t>
      </w:r>
      <w:r w:rsidRPr="009619DB">
        <w:rPr>
          <w:rFonts w:asciiTheme="minorBidi" w:hAnsiTheme="minorBidi"/>
          <w:sz w:val="24"/>
          <w:szCs w:val="24"/>
          <w:lang w:val="en-DE"/>
        </w:rPr>
        <w:t xml:space="preserve"> Core algorithms validated: IOB, MOB, Dual Net Effect, 4-hour glucose projection</w:t>
      </w:r>
    </w:p>
    <w:p w14:paraId="303998AA" w14:textId="77777777" w:rsidR="009619DB" w:rsidRPr="009619DB" w:rsidRDefault="009619DB" w:rsidP="009619DB">
      <w:pPr>
        <w:numPr>
          <w:ilvl w:val="0"/>
          <w:numId w:val="2"/>
        </w:numPr>
        <w:spacing w:line="360" w:lineRule="auto"/>
        <w:rPr>
          <w:rFonts w:asciiTheme="minorBidi" w:hAnsiTheme="minorBidi"/>
          <w:sz w:val="24"/>
          <w:szCs w:val="24"/>
          <w:lang w:val="en-DE"/>
        </w:rPr>
      </w:pPr>
      <w:r w:rsidRPr="009619DB">
        <w:rPr>
          <w:rFonts w:ascii="Segoe UI Emoji" w:hAnsi="Segoe UI Emoji" w:cs="Segoe UI Emoji"/>
          <w:sz w:val="24"/>
          <w:szCs w:val="24"/>
          <w:lang w:val="en-DE"/>
        </w:rPr>
        <w:t>✅</w:t>
      </w:r>
      <w:r w:rsidRPr="009619DB">
        <w:rPr>
          <w:rFonts w:asciiTheme="minorBidi" w:hAnsiTheme="minorBidi"/>
          <w:sz w:val="24"/>
          <w:szCs w:val="24"/>
          <w:lang w:val="en-DE"/>
        </w:rPr>
        <w:t xml:space="preserve"> Real clinical data processing: AZT1D dataset (288 CGM readings), 50,000+ meal-outcome pairs</w:t>
      </w:r>
    </w:p>
    <w:p w14:paraId="2CA26DED" w14:textId="77777777" w:rsidR="009619DB" w:rsidRPr="009619DB" w:rsidRDefault="009619DB" w:rsidP="009619DB">
      <w:pPr>
        <w:numPr>
          <w:ilvl w:val="0"/>
          <w:numId w:val="2"/>
        </w:numPr>
        <w:spacing w:line="360" w:lineRule="auto"/>
        <w:rPr>
          <w:rFonts w:asciiTheme="minorBidi" w:hAnsiTheme="minorBidi"/>
          <w:sz w:val="24"/>
          <w:szCs w:val="24"/>
          <w:lang w:val="en-DE"/>
        </w:rPr>
      </w:pPr>
      <w:r w:rsidRPr="009619DB">
        <w:rPr>
          <w:rFonts w:ascii="Segoe UI Emoji" w:hAnsi="Segoe UI Emoji" w:cs="Segoe UI Emoji"/>
          <w:sz w:val="24"/>
          <w:szCs w:val="24"/>
          <w:lang w:val="en-DE"/>
        </w:rPr>
        <w:t>✅</w:t>
      </w:r>
      <w:r w:rsidRPr="009619DB">
        <w:rPr>
          <w:rFonts w:asciiTheme="minorBidi" w:hAnsiTheme="minorBidi"/>
          <w:sz w:val="24"/>
          <w:szCs w:val="24"/>
          <w:lang w:val="en-DE"/>
        </w:rPr>
        <w:t xml:space="preserve"> Performance at scale: 25 concurrent users, 72-hour stability, sub-millisecond queries</w:t>
      </w:r>
    </w:p>
    <w:p w14:paraId="6E5FF177" w14:textId="77777777" w:rsidR="009619DB" w:rsidRPr="009619DB" w:rsidRDefault="009619DB" w:rsidP="009619DB">
      <w:pPr>
        <w:numPr>
          <w:ilvl w:val="0"/>
          <w:numId w:val="2"/>
        </w:numPr>
        <w:spacing w:line="360" w:lineRule="auto"/>
        <w:rPr>
          <w:rFonts w:asciiTheme="minorBidi" w:hAnsiTheme="minorBidi"/>
          <w:sz w:val="24"/>
          <w:szCs w:val="24"/>
          <w:lang w:val="en-DE"/>
        </w:rPr>
      </w:pPr>
      <w:r w:rsidRPr="009619DB">
        <w:rPr>
          <w:rFonts w:ascii="Segoe UI Emoji" w:hAnsi="Segoe UI Emoji" w:cs="Segoe UI Emoji"/>
          <w:sz w:val="24"/>
          <w:szCs w:val="24"/>
          <w:lang w:val="en-DE"/>
        </w:rPr>
        <w:t>✅</w:t>
      </w:r>
      <w:r w:rsidRPr="009619DB">
        <w:rPr>
          <w:rFonts w:asciiTheme="minorBidi" w:hAnsiTheme="minorBidi"/>
          <w:sz w:val="24"/>
          <w:szCs w:val="24"/>
          <w:lang w:val="en-DE"/>
        </w:rPr>
        <w:t xml:space="preserve"> Clinical expert validation: Grade 1.6 thesis (Prof. Dr. Parhofer, LMU Munich), 8.7/10 utility score</w:t>
      </w:r>
    </w:p>
    <w:p w14:paraId="71BF504C" w14:textId="77777777" w:rsidR="009619DB" w:rsidRPr="009619DB" w:rsidRDefault="009619DB" w:rsidP="009619DB">
      <w:pPr>
        <w:numPr>
          <w:ilvl w:val="0"/>
          <w:numId w:val="2"/>
        </w:numPr>
        <w:spacing w:line="360" w:lineRule="auto"/>
        <w:rPr>
          <w:rFonts w:asciiTheme="minorBidi" w:hAnsiTheme="minorBidi"/>
          <w:sz w:val="24"/>
          <w:szCs w:val="24"/>
          <w:lang w:val="en-DE"/>
        </w:rPr>
      </w:pPr>
      <w:r w:rsidRPr="009619DB">
        <w:rPr>
          <w:rFonts w:ascii="Segoe UI Emoji" w:hAnsi="Segoe UI Emoji" w:cs="Segoe UI Emoji"/>
          <w:sz w:val="24"/>
          <w:szCs w:val="24"/>
          <w:lang w:val="en-DE"/>
        </w:rPr>
        <w:t>✅</w:t>
      </w:r>
      <w:r w:rsidRPr="009619DB">
        <w:rPr>
          <w:rFonts w:asciiTheme="minorBidi" w:hAnsiTheme="minorBidi"/>
          <w:sz w:val="24"/>
          <w:szCs w:val="24"/>
          <w:lang w:val="en-DE"/>
        </w:rPr>
        <w:t xml:space="preserve"> Dual-platform implementation: Web (Flask/React/MongoDB) + Mobile (React Native) prototypes</w:t>
      </w:r>
    </w:p>
    <w:p w14:paraId="53786D5E" w14:textId="77777777" w:rsidR="009619DB" w:rsidRPr="009619DB" w:rsidRDefault="009619DB" w:rsidP="009619DB">
      <w:pPr>
        <w:numPr>
          <w:ilvl w:val="0"/>
          <w:numId w:val="2"/>
        </w:numPr>
        <w:spacing w:line="360" w:lineRule="auto"/>
        <w:rPr>
          <w:rFonts w:asciiTheme="minorBidi" w:hAnsiTheme="minorBidi"/>
          <w:sz w:val="24"/>
          <w:szCs w:val="24"/>
          <w:lang w:val="en-DE"/>
        </w:rPr>
      </w:pPr>
      <w:r w:rsidRPr="009619DB">
        <w:rPr>
          <w:rFonts w:ascii="Segoe UI Emoji" w:hAnsi="Segoe UI Emoji" w:cs="Segoe UI Emoji"/>
          <w:sz w:val="24"/>
          <w:szCs w:val="24"/>
          <w:lang w:val="en-DE"/>
        </w:rPr>
        <w:t>✅</w:t>
      </w:r>
      <w:r w:rsidRPr="009619DB">
        <w:rPr>
          <w:rFonts w:asciiTheme="minorBidi" w:hAnsiTheme="minorBidi"/>
          <w:sz w:val="24"/>
          <w:szCs w:val="24"/>
          <w:lang w:val="en-DE"/>
        </w:rPr>
        <w:t xml:space="preserve"> ML-ready architecture: Feature extraction validated, temporal consistency confirmed</w:t>
      </w:r>
    </w:p>
    <w:p w14:paraId="4E088F6E" w14:textId="77777777" w:rsidR="009619DB" w:rsidRPr="009619DB" w:rsidRDefault="009619DB" w:rsidP="009619DB">
      <w:pPr>
        <w:spacing w:line="360" w:lineRule="auto"/>
        <w:rPr>
          <w:rFonts w:asciiTheme="minorBidi" w:hAnsiTheme="minorBidi"/>
          <w:sz w:val="24"/>
          <w:szCs w:val="24"/>
          <w:lang w:val="en-DE"/>
        </w:rPr>
      </w:pPr>
      <w:r w:rsidRPr="009619DB">
        <w:rPr>
          <w:rFonts w:asciiTheme="minorBidi" w:hAnsiTheme="minorBidi"/>
          <w:b/>
          <w:bCs/>
          <w:sz w:val="24"/>
          <w:szCs w:val="24"/>
          <w:lang w:val="en-DE"/>
        </w:rPr>
        <w:t>What Remains Unproven (High Development Risk):</w:t>
      </w:r>
    </w:p>
    <w:p w14:paraId="39735876" w14:textId="77777777" w:rsidR="009619DB" w:rsidRPr="009619DB" w:rsidRDefault="009619DB" w:rsidP="009619DB">
      <w:pPr>
        <w:numPr>
          <w:ilvl w:val="0"/>
          <w:numId w:val="3"/>
        </w:numPr>
        <w:spacing w:line="360" w:lineRule="auto"/>
        <w:rPr>
          <w:rFonts w:asciiTheme="minorBidi" w:hAnsiTheme="minorBidi"/>
          <w:sz w:val="24"/>
          <w:szCs w:val="24"/>
          <w:lang w:val="en-DE"/>
        </w:rPr>
      </w:pPr>
      <w:r w:rsidRPr="009619DB">
        <w:rPr>
          <w:rFonts w:ascii="Segoe UI Emoji" w:hAnsi="Segoe UI Emoji" w:cs="Segoe UI Emoji"/>
          <w:sz w:val="24"/>
          <w:szCs w:val="24"/>
          <w:lang w:val="en-DE"/>
        </w:rPr>
        <w:t>❌</w:t>
      </w:r>
      <w:r w:rsidRPr="009619DB">
        <w:rPr>
          <w:rFonts w:asciiTheme="minorBidi" w:hAnsiTheme="minorBidi"/>
          <w:sz w:val="24"/>
          <w:szCs w:val="24"/>
          <w:lang w:val="en-DE"/>
        </w:rPr>
        <w:t xml:space="preserve"> Prospective clinical accuracy: Insulin recommendations tested only retrospectively/in simulation</w:t>
      </w:r>
    </w:p>
    <w:p w14:paraId="1915771E" w14:textId="77777777" w:rsidR="009619DB" w:rsidRPr="009619DB" w:rsidRDefault="009619DB" w:rsidP="009619DB">
      <w:pPr>
        <w:numPr>
          <w:ilvl w:val="0"/>
          <w:numId w:val="3"/>
        </w:numPr>
        <w:spacing w:line="360" w:lineRule="auto"/>
        <w:rPr>
          <w:rFonts w:asciiTheme="minorBidi" w:hAnsiTheme="minorBidi"/>
          <w:sz w:val="24"/>
          <w:szCs w:val="24"/>
          <w:lang w:val="en-DE"/>
        </w:rPr>
      </w:pPr>
      <w:r w:rsidRPr="009619DB">
        <w:rPr>
          <w:rFonts w:ascii="Segoe UI Emoji" w:hAnsi="Segoe UI Emoji" w:cs="Segoe UI Emoji"/>
          <w:sz w:val="24"/>
          <w:szCs w:val="24"/>
          <w:lang w:val="en-DE"/>
        </w:rPr>
        <w:t>❌</w:t>
      </w:r>
      <w:r w:rsidRPr="009619DB">
        <w:rPr>
          <w:rFonts w:asciiTheme="minorBidi" w:hAnsiTheme="minorBidi"/>
          <w:sz w:val="24"/>
          <w:szCs w:val="24"/>
          <w:lang w:val="en-DE"/>
        </w:rPr>
        <w:t xml:space="preserve"> Dual-user model outcomes: Post-CGM sustainability hypothesis untested in real patients</w:t>
      </w:r>
    </w:p>
    <w:p w14:paraId="678781FA" w14:textId="77777777" w:rsidR="009619DB" w:rsidRPr="009619DB" w:rsidRDefault="009619DB" w:rsidP="009619DB">
      <w:pPr>
        <w:numPr>
          <w:ilvl w:val="0"/>
          <w:numId w:val="3"/>
        </w:numPr>
        <w:spacing w:line="360" w:lineRule="auto"/>
        <w:rPr>
          <w:rFonts w:asciiTheme="minorBidi" w:hAnsiTheme="minorBidi"/>
          <w:sz w:val="24"/>
          <w:szCs w:val="24"/>
          <w:lang w:val="en-DE"/>
        </w:rPr>
      </w:pPr>
      <w:r w:rsidRPr="009619DB">
        <w:rPr>
          <w:rFonts w:ascii="Segoe UI Emoji" w:hAnsi="Segoe UI Emoji" w:cs="Segoe UI Emoji"/>
          <w:sz w:val="24"/>
          <w:szCs w:val="24"/>
          <w:lang w:val="en-DE"/>
        </w:rPr>
        <w:lastRenderedPageBreak/>
        <w:t>❌</w:t>
      </w:r>
      <w:r w:rsidRPr="009619DB">
        <w:rPr>
          <w:rFonts w:asciiTheme="minorBidi" w:hAnsiTheme="minorBidi"/>
          <w:sz w:val="24"/>
          <w:szCs w:val="24"/>
          <w:lang w:val="en-DE"/>
        </w:rPr>
        <w:t xml:space="preserve"> Physician workflow integration: Real-world usability testing with clinicians required</w:t>
      </w:r>
    </w:p>
    <w:p w14:paraId="549249FB" w14:textId="77777777" w:rsidR="009619DB" w:rsidRPr="009619DB" w:rsidRDefault="009619DB" w:rsidP="009619DB">
      <w:pPr>
        <w:numPr>
          <w:ilvl w:val="0"/>
          <w:numId w:val="3"/>
        </w:numPr>
        <w:spacing w:line="360" w:lineRule="auto"/>
        <w:rPr>
          <w:rFonts w:asciiTheme="minorBidi" w:hAnsiTheme="minorBidi"/>
          <w:sz w:val="24"/>
          <w:szCs w:val="24"/>
          <w:lang w:val="en-DE"/>
        </w:rPr>
      </w:pPr>
      <w:r w:rsidRPr="009619DB">
        <w:rPr>
          <w:rFonts w:ascii="Segoe UI Emoji" w:hAnsi="Segoe UI Emoji" w:cs="Segoe UI Emoji"/>
          <w:sz w:val="24"/>
          <w:szCs w:val="24"/>
          <w:lang w:val="en-DE"/>
        </w:rPr>
        <w:t>❌</w:t>
      </w:r>
      <w:r w:rsidRPr="009619DB">
        <w:rPr>
          <w:rFonts w:asciiTheme="minorBidi" w:hAnsiTheme="minorBidi"/>
          <w:sz w:val="24"/>
          <w:szCs w:val="24"/>
          <w:lang w:val="en-DE"/>
        </w:rPr>
        <w:t xml:space="preserve"> Regulatory compliance: CE Class IIa + DiGA approval pathway (€60K+, 18-24 months)</w:t>
      </w:r>
    </w:p>
    <w:p w14:paraId="0B2D0D2F" w14:textId="77777777" w:rsidR="009619DB" w:rsidRPr="009619DB" w:rsidRDefault="009619DB" w:rsidP="009619DB">
      <w:pPr>
        <w:spacing w:line="360" w:lineRule="auto"/>
        <w:rPr>
          <w:rFonts w:asciiTheme="minorBidi" w:hAnsiTheme="minorBidi"/>
          <w:sz w:val="24"/>
          <w:szCs w:val="24"/>
          <w:lang w:val="en-DE"/>
        </w:rPr>
      </w:pPr>
      <w:r w:rsidRPr="009619DB">
        <w:rPr>
          <w:rFonts w:asciiTheme="minorBidi" w:hAnsiTheme="minorBidi"/>
          <w:b/>
          <w:bCs/>
          <w:sz w:val="24"/>
          <w:szCs w:val="24"/>
          <w:lang w:val="en-DE"/>
        </w:rPr>
        <w:t>Phase I Goals (TRL 6-7):</w:t>
      </w:r>
    </w:p>
    <w:p w14:paraId="5A5F863C" w14:textId="77777777" w:rsidR="009619DB" w:rsidRPr="009619DB" w:rsidRDefault="009619DB" w:rsidP="009619DB">
      <w:pPr>
        <w:numPr>
          <w:ilvl w:val="0"/>
          <w:numId w:val="4"/>
        </w:numPr>
        <w:spacing w:line="360" w:lineRule="auto"/>
        <w:rPr>
          <w:rFonts w:asciiTheme="minorBidi" w:hAnsiTheme="minorBidi"/>
          <w:sz w:val="24"/>
          <w:szCs w:val="24"/>
          <w:lang w:val="en-DE"/>
        </w:rPr>
      </w:pPr>
      <w:r w:rsidRPr="009619DB">
        <w:rPr>
          <w:rFonts w:asciiTheme="minorBidi" w:hAnsiTheme="minorBidi"/>
          <w:sz w:val="24"/>
          <w:szCs w:val="24"/>
          <w:lang w:val="en-DE"/>
        </w:rPr>
        <w:t>Clinical trial: N=100 patients, 6-month follow-up, 2 study arms (post-CGM vs. CGM enhancement)</w:t>
      </w:r>
    </w:p>
    <w:p w14:paraId="1DAD948D" w14:textId="77777777" w:rsidR="009619DB" w:rsidRPr="009619DB" w:rsidRDefault="009619DB" w:rsidP="009619DB">
      <w:pPr>
        <w:numPr>
          <w:ilvl w:val="0"/>
          <w:numId w:val="4"/>
        </w:numPr>
        <w:spacing w:line="360" w:lineRule="auto"/>
        <w:rPr>
          <w:rFonts w:asciiTheme="minorBidi" w:hAnsiTheme="minorBidi"/>
          <w:sz w:val="24"/>
          <w:szCs w:val="24"/>
          <w:lang w:val="en-DE"/>
        </w:rPr>
      </w:pPr>
      <w:r w:rsidRPr="009619DB">
        <w:rPr>
          <w:rFonts w:asciiTheme="minorBidi" w:hAnsiTheme="minorBidi"/>
          <w:sz w:val="24"/>
          <w:szCs w:val="24"/>
          <w:lang w:val="en-DE"/>
        </w:rPr>
        <w:t>Primary outcome: HbA1c change, time-in-range, hypoglycemia events</w:t>
      </w:r>
    </w:p>
    <w:p w14:paraId="27289627" w14:textId="77777777" w:rsidR="009619DB" w:rsidRPr="009619DB" w:rsidRDefault="009619DB" w:rsidP="009619DB">
      <w:pPr>
        <w:numPr>
          <w:ilvl w:val="0"/>
          <w:numId w:val="4"/>
        </w:numPr>
        <w:spacing w:line="360" w:lineRule="auto"/>
        <w:rPr>
          <w:rFonts w:asciiTheme="minorBidi" w:hAnsiTheme="minorBidi"/>
          <w:sz w:val="24"/>
          <w:szCs w:val="24"/>
          <w:lang w:val="en-DE"/>
        </w:rPr>
      </w:pPr>
      <w:r w:rsidRPr="009619DB">
        <w:rPr>
          <w:rFonts w:asciiTheme="minorBidi" w:hAnsiTheme="minorBidi"/>
          <w:sz w:val="24"/>
          <w:szCs w:val="24"/>
          <w:lang w:val="en-DE"/>
        </w:rPr>
        <w:t>Physician/patient usability testing, CE marking preparation, DiGA application to BfArM</w:t>
      </w:r>
    </w:p>
    <w:p w14:paraId="5B152118" w14:textId="77777777" w:rsidR="009619DB" w:rsidRPr="009619DB" w:rsidRDefault="009619DB" w:rsidP="009619DB">
      <w:pPr>
        <w:spacing w:line="360" w:lineRule="auto"/>
        <w:rPr>
          <w:rFonts w:asciiTheme="minorBidi" w:hAnsiTheme="minorBidi"/>
          <w:sz w:val="24"/>
          <w:szCs w:val="24"/>
          <w:lang w:val="en-DE"/>
        </w:rPr>
      </w:pPr>
      <w:r w:rsidRPr="009619DB">
        <w:rPr>
          <w:rFonts w:asciiTheme="minorBidi" w:hAnsiTheme="minorBidi"/>
          <w:sz w:val="24"/>
          <w:szCs w:val="24"/>
          <w:lang w:val="en-DE"/>
        </w:rPr>
        <w:pict w14:anchorId="47417DFA">
          <v:rect id="_x0000_i1050" style="width:0;height:1.5pt" o:hralign="center" o:hrstd="t" o:hr="t" fillcolor="#a0a0a0" stroked="f"/>
        </w:pict>
      </w:r>
    </w:p>
    <w:p w14:paraId="54A38822" w14:textId="77777777" w:rsidR="009619DB" w:rsidRPr="009619DB" w:rsidRDefault="009619DB" w:rsidP="009619DB">
      <w:pPr>
        <w:spacing w:line="360" w:lineRule="auto"/>
        <w:rPr>
          <w:rFonts w:asciiTheme="minorBidi" w:hAnsiTheme="minorBidi"/>
          <w:b/>
          <w:bCs/>
          <w:sz w:val="24"/>
          <w:szCs w:val="24"/>
          <w:lang w:val="en-DE"/>
        </w:rPr>
      </w:pPr>
      <w:r w:rsidRPr="009619DB">
        <w:rPr>
          <w:rFonts w:asciiTheme="minorBidi" w:hAnsiTheme="minorBidi"/>
          <w:b/>
          <w:bCs/>
          <w:sz w:val="24"/>
          <w:szCs w:val="24"/>
          <w:lang w:val="en-DE"/>
        </w:rPr>
        <w:t>KEY IMPROVEMENTS IN THESE VERSIONS:</w:t>
      </w:r>
    </w:p>
    <w:p w14:paraId="20AA6834" w14:textId="77777777" w:rsidR="009619DB" w:rsidRPr="009619DB" w:rsidRDefault="009619DB" w:rsidP="009619DB">
      <w:pPr>
        <w:numPr>
          <w:ilvl w:val="0"/>
          <w:numId w:val="5"/>
        </w:numPr>
        <w:spacing w:line="360" w:lineRule="auto"/>
        <w:rPr>
          <w:rFonts w:asciiTheme="minorBidi" w:hAnsiTheme="minorBidi"/>
          <w:sz w:val="24"/>
          <w:szCs w:val="24"/>
          <w:lang w:val="en-DE"/>
        </w:rPr>
      </w:pPr>
      <w:r w:rsidRPr="009619DB">
        <w:rPr>
          <w:rFonts w:asciiTheme="minorBidi" w:hAnsiTheme="minorBidi"/>
          <w:b/>
          <w:bCs/>
          <w:sz w:val="24"/>
          <w:szCs w:val="24"/>
          <w:lang w:val="en-DE"/>
        </w:rPr>
        <w:t>Quantified validation</w:t>
      </w:r>
      <w:r w:rsidRPr="009619DB">
        <w:rPr>
          <w:rFonts w:asciiTheme="minorBidi" w:hAnsiTheme="minorBidi"/>
          <w:sz w:val="24"/>
          <w:szCs w:val="24"/>
          <w:lang w:val="en-DE"/>
        </w:rPr>
        <w:t xml:space="preserve"> (50,000+ pairs, 25 users, 72 hours, 8.7/10 score) → Shows serious testing, not just "we built something"</w:t>
      </w:r>
    </w:p>
    <w:p w14:paraId="446C634A" w14:textId="77777777" w:rsidR="009619DB" w:rsidRPr="009619DB" w:rsidRDefault="009619DB" w:rsidP="009619DB">
      <w:pPr>
        <w:numPr>
          <w:ilvl w:val="0"/>
          <w:numId w:val="5"/>
        </w:numPr>
        <w:spacing w:line="360" w:lineRule="auto"/>
        <w:rPr>
          <w:rFonts w:asciiTheme="minorBidi" w:hAnsiTheme="minorBidi"/>
          <w:sz w:val="24"/>
          <w:szCs w:val="24"/>
          <w:lang w:val="en-DE"/>
        </w:rPr>
      </w:pPr>
      <w:r w:rsidRPr="009619DB">
        <w:rPr>
          <w:rFonts w:asciiTheme="minorBidi" w:hAnsiTheme="minorBidi"/>
          <w:b/>
          <w:bCs/>
          <w:sz w:val="24"/>
          <w:szCs w:val="24"/>
          <w:lang w:val="en-DE"/>
        </w:rPr>
        <w:t>Mobile prototype mentioned</w:t>
      </w:r>
      <w:r w:rsidRPr="009619DB">
        <w:rPr>
          <w:rFonts w:asciiTheme="minorBidi" w:hAnsiTheme="minorBidi"/>
          <w:sz w:val="24"/>
          <w:szCs w:val="24"/>
          <w:lang w:val="en-DE"/>
        </w:rPr>
        <w:t xml:space="preserve"> → Critical for patient engagement, shows you're ahead of "just a thesis project"</w:t>
      </w:r>
    </w:p>
    <w:p w14:paraId="0D29E3E7" w14:textId="77777777" w:rsidR="009619DB" w:rsidRPr="009619DB" w:rsidRDefault="009619DB" w:rsidP="009619DB">
      <w:pPr>
        <w:numPr>
          <w:ilvl w:val="0"/>
          <w:numId w:val="5"/>
        </w:numPr>
        <w:spacing w:line="360" w:lineRule="auto"/>
        <w:rPr>
          <w:rFonts w:asciiTheme="minorBidi" w:hAnsiTheme="minorBidi"/>
          <w:sz w:val="24"/>
          <w:szCs w:val="24"/>
          <w:lang w:val="en-DE"/>
        </w:rPr>
      </w:pPr>
      <w:r w:rsidRPr="009619DB">
        <w:rPr>
          <w:rFonts w:asciiTheme="minorBidi" w:hAnsiTheme="minorBidi"/>
          <w:b/>
          <w:bCs/>
          <w:sz w:val="24"/>
          <w:szCs w:val="24"/>
          <w:lang w:val="en-DE"/>
        </w:rPr>
        <w:t>Honest about risk</w:t>
      </w:r>
      <w:r w:rsidRPr="009619DB">
        <w:rPr>
          <w:rFonts w:asciiTheme="minorBidi" w:hAnsiTheme="minorBidi"/>
          <w:sz w:val="24"/>
          <w:szCs w:val="24"/>
          <w:lang w:val="en-DE"/>
        </w:rPr>
        <w:t xml:space="preserve"> → EXIST </w:t>
      </w:r>
      <w:r w:rsidRPr="009619DB">
        <w:rPr>
          <w:rFonts w:asciiTheme="minorBidi" w:hAnsiTheme="minorBidi"/>
          <w:b/>
          <w:bCs/>
          <w:sz w:val="24"/>
          <w:szCs w:val="24"/>
          <w:lang w:val="en-DE"/>
        </w:rPr>
        <w:t>requires</w:t>
      </w:r>
      <w:r w:rsidRPr="009619DB">
        <w:rPr>
          <w:rFonts w:asciiTheme="minorBidi" w:hAnsiTheme="minorBidi"/>
          <w:sz w:val="24"/>
          <w:szCs w:val="24"/>
          <w:lang w:val="en-DE"/>
        </w:rPr>
        <w:t xml:space="preserve"> you to identify high-risk areas (this is a strength, not weakness!)</w:t>
      </w:r>
    </w:p>
    <w:p w14:paraId="1B18DC7A" w14:textId="77777777" w:rsidR="009619DB" w:rsidRPr="009619DB" w:rsidRDefault="009619DB" w:rsidP="009619DB">
      <w:pPr>
        <w:numPr>
          <w:ilvl w:val="0"/>
          <w:numId w:val="5"/>
        </w:numPr>
        <w:spacing w:line="360" w:lineRule="auto"/>
        <w:rPr>
          <w:rFonts w:asciiTheme="minorBidi" w:hAnsiTheme="minorBidi"/>
          <w:sz w:val="24"/>
          <w:szCs w:val="24"/>
          <w:lang w:val="en-DE"/>
        </w:rPr>
      </w:pPr>
      <w:r w:rsidRPr="009619DB">
        <w:rPr>
          <w:rFonts w:asciiTheme="minorBidi" w:hAnsiTheme="minorBidi"/>
          <w:b/>
          <w:bCs/>
          <w:sz w:val="24"/>
          <w:szCs w:val="24"/>
          <w:lang w:val="en-DE"/>
        </w:rPr>
        <w:t>Clear TRL 6-7 pathway</w:t>
      </w:r>
      <w:r w:rsidRPr="009619DB">
        <w:rPr>
          <w:rFonts w:asciiTheme="minorBidi" w:hAnsiTheme="minorBidi"/>
          <w:sz w:val="24"/>
          <w:szCs w:val="24"/>
          <w:lang w:val="en-DE"/>
        </w:rPr>
        <w:t xml:space="preserve"> → Shows you understand what clinical validation entails (not vague "we'll test it")</w:t>
      </w:r>
    </w:p>
    <w:p w14:paraId="23CEF9B5" w14:textId="77777777" w:rsidR="009619DB" w:rsidRPr="009619DB" w:rsidRDefault="009619DB" w:rsidP="009619DB">
      <w:pPr>
        <w:numPr>
          <w:ilvl w:val="0"/>
          <w:numId w:val="5"/>
        </w:numPr>
        <w:spacing w:line="360" w:lineRule="auto"/>
        <w:rPr>
          <w:rFonts w:asciiTheme="minorBidi" w:hAnsiTheme="minorBidi"/>
          <w:sz w:val="24"/>
          <w:szCs w:val="24"/>
          <w:lang w:val="en-DE"/>
        </w:rPr>
      </w:pPr>
      <w:r w:rsidRPr="009619DB">
        <w:rPr>
          <w:rFonts w:asciiTheme="minorBidi" w:hAnsiTheme="minorBidi"/>
          <w:b/>
          <w:bCs/>
          <w:sz w:val="24"/>
          <w:szCs w:val="24"/>
          <w:lang w:val="en-DE"/>
        </w:rPr>
        <w:t>Regulatory specificity</w:t>
      </w:r>
      <w:r w:rsidRPr="009619DB">
        <w:rPr>
          <w:rFonts w:asciiTheme="minorBidi" w:hAnsiTheme="minorBidi"/>
          <w:sz w:val="24"/>
          <w:szCs w:val="24"/>
          <w:lang w:val="en-DE"/>
        </w:rPr>
        <w:t xml:space="preserve"> → Mentions CE Class IIa + DiGA by name (shows domain expertise)</w:t>
      </w:r>
    </w:p>
    <w:p w14:paraId="564E4FDF" w14:textId="77777777" w:rsidR="009619DB" w:rsidRPr="009619DB" w:rsidRDefault="009619DB" w:rsidP="009619DB">
      <w:pPr>
        <w:numPr>
          <w:ilvl w:val="0"/>
          <w:numId w:val="5"/>
        </w:numPr>
        <w:spacing w:line="360" w:lineRule="auto"/>
        <w:rPr>
          <w:rFonts w:asciiTheme="minorBidi" w:hAnsiTheme="minorBidi"/>
          <w:sz w:val="24"/>
          <w:szCs w:val="24"/>
          <w:lang w:val="en-DE"/>
        </w:rPr>
      </w:pPr>
      <w:r w:rsidRPr="009619DB">
        <w:rPr>
          <w:rFonts w:asciiTheme="minorBidi" w:hAnsiTheme="minorBidi"/>
          <w:b/>
          <w:bCs/>
          <w:sz w:val="24"/>
          <w:szCs w:val="24"/>
          <w:lang w:val="en-DE"/>
        </w:rPr>
        <w:t>Clinical credibility</w:t>
      </w:r>
      <w:r w:rsidRPr="009619DB">
        <w:rPr>
          <w:rFonts w:asciiTheme="minorBidi" w:hAnsiTheme="minorBidi"/>
          <w:sz w:val="24"/>
          <w:szCs w:val="24"/>
          <w:lang w:val="en-DE"/>
        </w:rPr>
        <w:t xml:space="preserve"> → Name-drops Prof. Parhofer (LMU Munich Chief of Endocrinology) + diabetologist score</w:t>
      </w:r>
    </w:p>
    <w:p w14:paraId="155B03EB" w14:textId="77777777" w:rsidR="009619DB" w:rsidRPr="009619DB" w:rsidRDefault="009619DB" w:rsidP="009619DB">
      <w:pPr>
        <w:spacing w:line="360" w:lineRule="auto"/>
        <w:rPr>
          <w:rFonts w:asciiTheme="minorBidi" w:hAnsiTheme="minorBidi"/>
          <w:sz w:val="24"/>
          <w:szCs w:val="24"/>
          <w:lang w:val="en-DE"/>
        </w:rPr>
      </w:pPr>
      <w:r w:rsidRPr="009619DB">
        <w:rPr>
          <w:rFonts w:asciiTheme="minorBidi" w:hAnsiTheme="minorBidi"/>
          <w:sz w:val="24"/>
          <w:szCs w:val="24"/>
          <w:lang w:val="en-DE"/>
        </w:rPr>
        <w:pict w14:anchorId="368AB7B6">
          <v:rect id="_x0000_i1051" style="width:0;height:1.5pt" o:hralign="center" o:hrstd="t" o:hr="t" fillcolor="#a0a0a0" stroked="f"/>
        </w:pict>
      </w:r>
    </w:p>
    <w:p w14:paraId="5FB2030B" w14:textId="77777777" w:rsidR="009619DB" w:rsidRPr="009619DB" w:rsidRDefault="009619DB" w:rsidP="009619DB">
      <w:pPr>
        <w:spacing w:line="360" w:lineRule="auto"/>
        <w:rPr>
          <w:rFonts w:asciiTheme="minorBidi" w:hAnsiTheme="minorBidi"/>
          <w:b/>
          <w:bCs/>
          <w:sz w:val="24"/>
          <w:szCs w:val="24"/>
          <w:lang w:val="en-DE"/>
        </w:rPr>
      </w:pPr>
      <w:r w:rsidRPr="009619DB">
        <w:rPr>
          <w:rFonts w:asciiTheme="minorBidi" w:hAnsiTheme="minorBidi"/>
          <w:b/>
          <w:bCs/>
          <w:sz w:val="24"/>
          <w:szCs w:val="24"/>
          <w:lang w:val="en-DE"/>
        </w:rPr>
        <w:t>WHICH VERSION TO USE:</w:t>
      </w:r>
    </w:p>
    <w:p w14:paraId="4B2BB16F" w14:textId="77777777" w:rsidR="009619DB" w:rsidRPr="009619DB" w:rsidRDefault="009619DB" w:rsidP="009619DB">
      <w:pPr>
        <w:numPr>
          <w:ilvl w:val="0"/>
          <w:numId w:val="6"/>
        </w:numPr>
        <w:spacing w:line="360" w:lineRule="auto"/>
        <w:rPr>
          <w:rFonts w:asciiTheme="minorBidi" w:hAnsiTheme="minorBidi"/>
          <w:sz w:val="24"/>
          <w:szCs w:val="24"/>
          <w:lang w:val="en-DE"/>
        </w:rPr>
      </w:pPr>
      <w:r w:rsidRPr="009619DB">
        <w:rPr>
          <w:rFonts w:asciiTheme="minorBidi" w:hAnsiTheme="minorBidi"/>
          <w:b/>
          <w:bCs/>
          <w:sz w:val="24"/>
          <w:szCs w:val="24"/>
          <w:lang w:val="en-DE"/>
        </w:rPr>
        <w:t>Executive summary / Brief pitch:</w:t>
      </w:r>
      <w:r w:rsidRPr="009619DB">
        <w:rPr>
          <w:rFonts w:asciiTheme="minorBidi" w:hAnsiTheme="minorBidi"/>
          <w:sz w:val="24"/>
          <w:szCs w:val="24"/>
          <w:lang w:val="en-DE"/>
        </w:rPr>
        <w:t xml:space="preserve"> Use </w:t>
      </w:r>
      <w:r w:rsidRPr="009619DB">
        <w:rPr>
          <w:rFonts w:asciiTheme="minorBidi" w:hAnsiTheme="minorBidi"/>
          <w:b/>
          <w:bCs/>
          <w:sz w:val="24"/>
          <w:szCs w:val="24"/>
          <w:lang w:val="en-DE"/>
        </w:rPr>
        <w:t>Option 1</w:t>
      </w:r>
      <w:r w:rsidRPr="009619DB">
        <w:rPr>
          <w:rFonts w:asciiTheme="minorBidi" w:hAnsiTheme="minorBidi"/>
          <w:sz w:val="24"/>
          <w:szCs w:val="24"/>
          <w:lang w:val="en-DE"/>
        </w:rPr>
        <w:t xml:space="preserve"> (concise, 2-3 sentences)</w:t>
      </w:r>
    </w:p>
    <w:p w14:paraId="6642D380" w14:textId="77777777" w:rsidR="009619DB" w:rsidRPr="009619DB" w:rsidRDefault="009619DB" w:rsidP="009619DB">
      <w:pPr>
        <w:numPr>
          <w:ilvl w:val="0"/>
          <w:numId w:val="6"/>
        </w:numPr>
        <w:spacing w:line="360" w:lineRule="auto"/>
        <w:rPr>
          <w:rFonts w:asciiTheme="minorBidi" w:hAnsiTheme="minorBidi"/>
          <w:sz w:val="24"/>
          <w:szCs w:val="24"/>
          <w:lang w:val="en-DE"/>
        </w:rPr>
      </w:pPr>
      <w:r w:rsidRPr="009619DB">
        <w:rPr>
          <w:rFonts w:asciiTheme="minorBidi" w:hAnsiTheme="minorBidi"/>
          <w:b/>
          <w:bCs/>
          <w:sz w:val="24"/>
          <w:szCs w:val="24"/>
          <w:lang w:val="en-DE"/>
        </w:rPr>
        <w:lastRenderedPageBreak/>
        <w:t>"Proof of Principle" section:</w:t>
      </w:r>
      <w:r w:rsidRPr="009619DB">
        <w:rPr>
          <w:rFonts w:asciiTheme="minorBidi" w:hAnsiTheme="minorBidi"/>
          <w:sz w:val="24"/>
          <w:szCs w:val="24"/>
          <w:lang w:val="en-DE"/>
        </w:rPr>
        <w:t xml:space="preserve"> Use </w:t>
      </w:r>
      <w:r w:rsidRPr="009619DB">
        <w:rPr>
          <w:rFonts w:asciiTheme="minorBidi" w:hAnsiTheme="minorBidi"/>
          <w:b/>
          <w:bCs/>
          <w:sz w:val="24"/>
          <w:szCs w:val="24"/>
          <w:lang w:val="en-DE"/>
        </w:rPr>
        <w:t>Option 2</w:t>
      </w:r>
      <w:r w:rsidRPr="009619DB">
        <w:rPr>
          <w:rFonts w:asciiTheme="minorBidi" w:hAnsiTheme="minorBidi"/>
          <w:sz w:val="24"/>
          <w:szCs w:val="24"/>
          <w:lang w:val="en-DE"/>
        </w:rPr>
        <w:t xml:space="preserve"> (detailed paragraph)</w:t>
      </w:r>
    </w:p>
    <w:p w14:paraId="2CB8D016" w14:textId="77777777" w:rsidR="009619DB" w:rsidRPr="009619DB" w:rsidRDefault="009619DB" w:rsidP="009619DB">
      <w:pPr>
        <w:numPr>
          <w:ilvl w:val="0"/>
          <w:numId w:val="6"/>
        </w:numPr>
        <w:spacing w:line="360" w:lineRule="auto"/>
        <w:rPr>
          <w:rFonts w:asciiTheme="minorBidi" w:hAnsiTheme="minorBidi"/>
          <w:sz w:val="24"/>
          <w:szCs w:val="24"/>
          <w:lang w:val="en-DE"/>
        </w:rPr>
      </w:pPr>
      <w:r w:rsidRPr="009619DB">
        <w:rPr>
          <w:rFonts w:asciiTheme="minorBidi" w:hAnsiTheme="minorBidi"/>
          <w:b/>
          <w:bCs/>
          <w:sz w:val="24"/>
          <w:szCs w:val="24"/>
          <w:lang w:val="en-DE"/>
        </w:rPr>
        <w:t>If EXIST form has structured fields:</w:t>
      </w:r>
      <w:r w:rsidRPr="009619DB">
        <w:rPr>
          <w:rFonts w:asciiTheme="minorBidi" w:hAnsiTheme="minorBidi"/>
          <w:sz w:val="24"/>
          <w:szCs w:val="24"/>
          <w:lang w:val="en-DE"/>
        </w:rPr>
        <w:t xml:space="preserve"> Use </w:t>
      </w:r>
      <w:r w:rsidRPr="009619DB">
        <w:rPr>
          <w:rFonts w:asciiTheme="minorBidi" w:hAnsiTheme="minorBidi"/>
          <w:b/>
          <w:bCs/>
          <w:sz w:val="24"/>
          <w:szCs w:val="24"/>
          <w:lang w:val="en-DE"/>
        </w:rPr>
        <w:t>Option 3</w:t>
      </w:r>
      <w:r w:rsidRPr="009619DB">
        <w:rPr>
          <w:rFonts w:asciiTheme="minorBidi" w:hAnsiTheme="minorBidi"/>
          <w:sz w:val="24"/>
          <w:szCs w:val="24"/>
          <w:lang w:val="en-DE"/>
        </w:rPr>
        <w:t xml:space="preserve"> (bullet format)</w:t>
      </w:r>
    </w:p>
    <w:p w14:paraId="491395C3" w14:textId="77777777" w:rsidR="009619DB" w:rsidRPr="009619DB" w:rsidRDefault="009619DB" w:rsidP="009619DB">
      <w:pPr>
        <w:spacing w:line="360" w:lineRule="auto"/>
        <w:rPr>
          <w:rFonts w:asciiTheme="minorBidi" w:hAnsiTheme="minorBidi"/>
          <w:sz w:val="24"/>
          <w:szCs w:val="24"/>
          <w:lang w:val="en-DE"/>
        </w:rPr>
      </w:pPr>
      <w:r w:rsidRPr="009619DB">
        <w:rPr>
          <w:rFonts w:asciiTheme="minorBidi" w:hAnsiTheme="minorBidi"/>
          <w:sz w:val="24"/>
          <w:szCs w:val="24"/>
          <w:lang w:val="en-DE"/>
        </w:rPr>
        <w:pict w14:anchorId="02B69D6F">
          <v:rect id="_x0000_i1052" style="width:0;height:1.5pt" o:hralign="center" o:hrstd="t" o:hr="t" fillcolor="#a0a0a0" stroked="f"/>
        </w:pict>
      </w:r>
    </w:p>
    <w:p w14:paraId="0F653568" w14:textId="77777777" w:rsidR="009619DB" w:rsidRPr="009619DB" w:rsidRDefault="009619DB" w:rsidP="009619DB">
      <w:pPr>
        <w:spacing w:line="360" w:lineRule="auto"/>
        <w:rPr>
          <w:rFonts w:asciiTheme="minorBidi" w:hAnsiTheme="minorBidi"/>
          <w:b/>
          <w:bCs/>
          <w:sz w:val="24"/>
          <w:szCs w:val="24"/>
          <w:lang w:val="en-DE"/>
        </w:rPr>
      </w:pPr>
      <w:r w:rsidRPr="009619DB">
        <w:rPr>
          <w:rFonts w:asciiTheme="minorBidi" w:hAnsiTheme="minorBidi"/>
          <w:b/>
          <w:bCs/>
          <w:sz w:val="24"/>
          <w:szCs w:val="24"/>
          <w:lang w:val="en-DE"/>
        </w:rPr>
        <w:t>ADDITIONAL SUGGESTION - ADD A VISUAL:</w:t>
      </w:r>
    </w:p>
    <w:p w14:paraId="38BE88E9" w14:textId="77777777" w:rsidR="009619DB" w:rsidRPr="009619DB" w:rsidRDefault="009619DB" w:rsidP="009619DB">
      <w:pPr>
        <w:spacing w:line="360" w:lineRule="auto"/>
        <w:rPr>
          <w:rFonts w:asciiTheme="minorBidi" w:hAnsiTheme="minorBidi"/>
          <w:sz w:val="24"/>
          <w:szCs w:val="24"/>
          <w:lang w:val="en-DE"/>
        </w:rPr>
      </w:pPr>
      <w:r w:rsidRPr="009619DB">
        <w:rPr>
          <w:rFonts w:asciiTheme="minorBidi" w:hAnsiTheme="minorBidi"/>
          <w:sz w:val="24"/>
          <w:szCs w:val="24"/>
          <w:lang w:val="en-DE"/>
        </w:rPr>
        <w:t xml:space="preserve">Since you have impressive metrics, consider adding a </w:t>
      </w:r>
      <w:r w:rsidRPr="009619DB">
        <w:rPr>
          <w:rFonts w:asciiTheme="minorBidi" w:hAnsiTheme="minorBidi"/>
          <w:b/>
          <w:bCs/>
          <w:sz w:val="24"/>
          <w:szCs w:val="24"/>
          <w:lang w:val="en-DE"/>
        </w:rPr>
        <w:t>"Validation Summary" table</w:t>
      </w:r>
      <w:r w:rsidRPr="009619DB">
        <w:rPr>
          <w:rFonts w:asciiTheme="minorBidi" w:hAnsiTheme="minorBidi"/>
          <w:sz w:val="24"/>
          <w:szCs w:val="24"/>
          <w:lang w:val="en-DE"/>
        </w:rPr>
        <w:t xml:space="preserve"> in your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4"/>
        <w:gridCol w:w="2920"/>
        <w:gridCol w:w="3792"/>
      </w:tblGrid>
      <w:tr w:rsidR="009619DB" w:rsidRPr="009619DB" w14:paraId="3F74A367" w14:textId="77777777">
        <w:trPr>
          <w:tblHeader/>
          <w:tblCellSpacing w:w="15" w:type="dxa"/>
        </w:trPr>
        <w:tc>
          <w:tcPr>
            <w:tcW w:w="0" w:type="auto"/>
            <w:vAlign w:val="center"/>
            <w:hideMark/>
          </w:tcPr>
          <w:p w14:paraId="009719FB" w14:textId="77777777" w:rsidR="009619DB" w:rsidRPr="009619DB" w:rsidRDefault="009619DB" w:rsidP="009619DB">
            <w:pPr>
              <w:spacing w:line="360" w:lineRule="auto"/>
              <w:rPr>
                <w:rFonts w:asciiTheme="minorBidi" w:hAnsiTheme="minorBidi"/>
                <w:b/>
                <w:bCs/>
                <w:sz w:val="24"/>
                <w:szCs w:val="24"/>
                <w:lang w:val="en-DE"/>
              </w:rPr>
            </w:pPr>
            <w:r w:rsidRPr="009619DB">
              <w:rPr>
                <w:rFonts w:asciiTheme="minorBidi" w:hAnsiTheme="minorBidi"/>
                <w:b/>
                <w:bCs/>
                <w:sz w:val="24"/>
                <w:szCs w:val="24"/>
                <w:lang w:val="en-DE"/>
              </w:rPr>
              <w:t>Validation Dimension</w:t>
            </w:r>
          </w:p>
        </w:tc>
        <w:tc>
          <w:tcPr>
            <w:tcW w:w="0" w:type="auto"/>
            <w:vAlign w:val="center"/>
            <w:hideMark/>
          </w:tcPr>
          <w:p w14:paraId="3FCC62AA" w14:textId="77777777" w:rsidR="009619DB" w:rsidRPr="009619DB" w:rsidRDefault="009619DB" w:rsidP="009619DB">
            <w:pPr>
              <w:spacing w:line="360" w:lineRule="auto"/>
              <w:rPr>
                <w:rFonts w:asciiTheme="minorBidi" w:hAnsiTheme="minorBidi"/>
                <w:b/>
                <w:bCs/>
                <w:sz w:val="24"/>
                <w:szCs w:val="24"/>
                <w:lang w:val="en-DE"/>
              </w:rPr>
            </w:pPr>
            <w:r w:rsidRPr="009619DB">
              <w:rPr>
                <w:rFonts w:asciiTheme="minorBidi" w:hAnsiTheme="minorBidi"/>
                <w:b/>
                <w:bCs/>
                <w:sz w:val="24"/>
                <w:szCs w:val="24"/>
                <w:lang w:val="en-DE"/>
              </w:rPr>
              <w:t>Metric Achieved</w:t>
            </w:r>
          </w:p>
        </w:tc>
        <w:tc>
          <w:tcPr>
            <w:tcW w:w="0" w:type="auto"/>
            <w:vAlign w:val="center"/>
            <w:hideMark/>
          </w:tcPr>
          <w:p w14:paraId="1EF1DB3E" w14:textId="77777777" w:rsidR="009619DB" w:rsidRPr="009619DB" w:rsidRDefault="009619DB" w:rsidP="009619DB">
            <w:pPr>
              <w:spacing w:line="360" w:lineRule="auto"/>
              <w:rPr>
                <w:rFonts w:asciiTheme="minorBidi" w:hAnsiTheme="minorBidi"/>
                <w:b/>
                <w:bCs/>
                <w:sz w:val="24"/>
                <w:szCs w:val="24"/>
                <w:lang w:val="en-DE"/>
              </w:rPr>
            </w:pPr>
            <w:r w:rsidRPr="009619DB">
              <w:rPr>
                <w:rFonts w:asciiTheme="minorBidi" w:hAnsiTheme="minorBidi"/>
                <w:b/>
                <w:bCs/>
                <w:sz w:val="24"/>
                <w:szCs w:val="24"/>
                <w:lang w:val="en-DE"/>
              </w:rPr>
              <w:t>Clinical Significance</w:t>
            </w:r>
          </w:p>
        </w:tc>
      </w:tr>
      <w:tr w:rsidR="009619DB" w:rsidRPr="009619DB" w14:paraId="3111F707" w14:textId="77777777">
        <w:trPr>
          <w:tblCellSpacing w:w="15" w:type="dxa"/>
        </w:trPr>
        <w:tc>
          <w:tcPr>
            <w:tcW w:w="0" w:type="auto"/>
            <w:vAlign w:val="center"/>
            <w:hideMark/>
          </w:tcPr>
          <w:p w14:paraId="78AD8400" w14:textId="77777777" w:rsidR="009619DB" w:rsidRPr="009619DB" w:rsidRDefault="009619DB" w:rsidP="009619DB">
            <w:pPr>
              <w:spacing w:line="360" w:lineRule="auto"/>
              <w:rPr>
                <w:rFonts w:asciiTheme="minorBidi" w:hAnsiTheme="minorBidi"/>
                <w:sz w:val="24"/>
                <w:szCs w:val="24"/>
                <w:lang w:val="en-DE"/>
              </w:rPr>
            </w:pPr>
            <w:r w:rsidRPr="009619DB">
              <w:rPr>
                <w:rFonts w:asciiTheme="minorBidi" w:hAnsiTheme="minorBidi"/>
                <w:b/>
                <w:bCs/>
                <w:sz w:val="24"/>
                <w:szCs w:val="24"/>
                <w:lang w:val="en-DE"/>
              </w:rPr>
              <w:t>Algorithm accuracy</w:t>
            </w:r>
          </w:p>
        </w:tc>
        <w:tc>
          <w:tcPr>
            <w:tcW w:w="0" w:type="auto"/>
            <w:vAlign w:val="center"/>
            <w:hideMark/>
          </w:tcPr>
          <w:p w14:paraId="33ADEF2F" w14:textId="77777777" w:rsidR="009619DB" w:rsidRPr="009619DB" w:rsidRDefault="009619DB" w:rsidP="009619DB">
            <w:pPr>
              <w:spacing w:line="360" w:lineRule="auto"/>
              <w:rPr>
                <w:rFonts w:asciiTheme="minorBidi" w:hAnsiTheme="minorBidi"/>
                <w:sz w:val="24"/>
                <w:szCs w:val="24"/>
                <w:lang w:val="en-DE"/>
              </w:rPr>
            </w:pPr>
            <w:r w:rsidRPr="009619DB">
              <w:rPr>
                <w:rFonts w:asciiTheme="minorBidi" w:hAnsiTheme="minorBidi"/>
                <w:sz w:val="24"/>
                <w:szCs w:val="24"/>
                <w:lang w:val="en-DE"/>
              </w:rPr>
              <w:t>50,000+ meal-outcome pairs validated</w:t>
            </w:r>
          </w:p>
        </w:tc>
        <w:tc>
          <w:tcPr>
            <w:tcW w:w="0" w:type="auto"/>
            <w:vAlign w:val="center"/>
            <w:hideMark/>
          </w:tcPr>
          <w:p w14:paraId="32BDA93A" w14:textId="77777777" w:rsidR="009619DB" w:rsidRPr="009619DB" w:rsidRDefault="009619DB" w:rsidP="009619DB">
            <w:pPr>
              <w:spacing w:line="360" w:lineRule="auto"/>
              <w:rPr>
                <w:rFonts w:asciiTheme="minorBidi" w:hAnsiTheme="minorBidi"/>
                <w:sz w:val="24"/>
                <w:szCs w:val="24"/>
                <w:lang w:val="en-DE"/>
              </w:rPr>
            </w:pPr>
            <w:r w:rsidRPr="009619DB">
              <w:rPr>
                <w:rFonts w:asciiTheme="minorBidi" w:hAnsiTheme="minorBidi"/>
                <w:sz w:val="24"/>
                <w:szCs w:val="24"/>
                <w:lang w:val="en-DE"/>
              </w:rPr>
              <w:t>Sufficient for ML training, exceeds typical pilot study sizes</w:t>
            </w:r>
          </w:p>
        </w:tc>
      </w:tr>
      <w:tr w:rsidR="009619DB" w:rsidRPr="009619DB" w14:paraId="26CFD6FA" w14:textId="77777777">
        <w:trPr>
          <w:tblCellSpacing w:w="15" w:type="dxa"/>
        </w:trPr>
        <w:tc>
          <w:tcPr>
            <w:tcW w:w="0" w:type="auto"/>
            <w:vAlign w:val="center"/>
            <w:hideMark/>
          </w:tcPr>
          <w:p w14:paraId="193EA308" w14:textId="77777777" w:rsidR="009619DB" w:rsidRPr="009619DB" w:rsidRDefault="009619DB" w:rsidP="009619DB">
            <w:pPr>
              <w:spacing w:line="360" w:lineRule="auto"/>
              <w:rPr>
                <w:rFonts w:asciiTheme="minorBidi" w:hAnsiTheme="minorBidi"/>
                <w:sz w:val="24"/>
                <w:szCs w:val="24"/>
                <w:lang w:val="en-DE"/>
              </w:rPr>
            </w:pPr>
            <w:r w:rsidRPr="009619DB">
              <w:rPr>
                <w:rFonts w:asciiTheme="minorBidi" w:hAnsiTheme="minorBidi"/>
                <w:b/>
                <w:bCs/>
                <w:sz w:val="24"/>
                <w:szCs w:val="24"/>
                <w:lang w:val="en-DE"/>
              </w:rPr>
              <w:t>Clinical expert assessment</w:t>
            </w:r>
          </w:p>
        </w:tc>
        <w:tc>
          <w:tcPr>
            <w:tcW w:w="0" w:type="auto"/>
            <w:vAlign w:val="center"/>
            <w:hideMark/>
          </w:tcPr>
          <w:p w14:paraId="13013B6E" w14:textId="77777777" w:rsidR="009619DB" w:rsidRPr="009619DB" w:rsidRDefault="009619DB" w:rsidP="009619DB">
            <w:pPr>
              <w:spacing w:line="360" w:lineRule="auto"/>
              <w:rPr>
                <w:rFonts w:asciiTheme="minorBidi" w:hAnsiTheme="minorBidi"/>
                <w:sz w:val="24"/>
                <w:szCs w:val="24"/>
                <w:lang w:val="en-DE"/>
              </w:rPr>
            </w:pPr>
            <w:r w:rsidRPr="009619DB">
              <w:rPr>
                <w:rFonts w:asciiTheme="minorBidi" w:hAnsiTheme="minorBidi"/>
                <w:sz w:val="24"/>
                <w:szCs w:val="24"/>
                <w:lang w:val="en-DE"/>
              </w:rPr>
              <w:t>8.7/10 utility score</w:t>
            </w:r>
          </w:p>
        </w:tc>
        <w:tc>
          <w:tcPr>
            <w:tcW w:w="0" w:type="auto"/>
            <w:vAlign w:val="center"/>
            <w:hideMark/>
          </w:tcPr>
          <w:p w14:paraId="3151B66A" w14:textId="77777777" w:rsidR="009619DB" w:rsidRPr="009619DB" w:rsidRDefault="009619DB" w:rsidP="009619DB">
            <w:pPr>
              <w:spacing w:line="360" w:lineRule="auto"/>
              <w:rPr>
                <w:rFonts w:asciiTheme="minorBidi" w:hAnsiTheme="minorBidi"/>
                <w:sz w:val="24"/>
                <w:szCs w:val="24"/>
                <w:lang w:val="en-DE"/>
              </w:rPr>
            </w:pPr>
            <w:r w:rsidRPr="009619DB">
              <w:rPr>
                <w:rFonts w:asciiTheme="minorBidi" w:hAnsiTheme="minorBidi"/>
                <w:sz w:val="24"/>
                <w:szCs w:val="24"/>
                <w:lang w:val="en-DE"/>
              </w:rPr>
              <w:t>Above "clinically useful" threshold (&gt;7/10)</w:t>
            </w:r>
          </w:p>
        </w:tc>
      </w:tr>
      <w:tr w:rsidR="009619DB" w:rsidRPr="009619DB" w14:paraId="163984C2" w14:textId="77777777">
        <w:trPr>
          <w:tblCellSpacing w:w="15" w:type="dxa"/>
        </w:trPr>
        <w:tc>
          <w:tcPr>
            <w:tcW w:w="0" w:type="auto"/>
            <w:vAlign w:val="center"/>
            <w:hideMark/>
          </w:tcPr>
          <w:p w14:paraId="0E76FFD4" w14:textId="77777777" w:rsidR="009619DB" w:rsidRPr="009619DB" w:rsidRDefault="009619DB" w:rsidP="009619DB">
            <w:pPr>
              <w:spacing w:line="360" w:lineRule="auto"/>
              <w:rPr>
                <w:rFonts w:asciiTheme="minorBidi" w:hAnsiTheme="minorBidi"/>
                <w:sz w:val="24"/>
                <w:szCs w:val="24"/>
                <w:lang w:val="en-DE"/>
              </w:rPr>
            </w:pPr>
            <w:r w:rsidRPr="009619DB">
              <w:rPr>
                <w:rFonts w:asciiTheme="minorBidi" w:hAnsiTheme="minorBidi"/>
                <w:b/>
                <w:bCs/>
                <w:sz w:val="24"/>
                <w:szCs w:val="24"/>
                <w:lang w:val="en-DE"/>
              </w:rPr>
              <w:t>Academic validation</w:t>
            </w:r>
          </w:p>
        </w:tc>
        <w:tc>
          <w:tcPr>
            <w:tcW w:w="0" w:type="auto"/>
            <w:vAlign w:val="center"/>
            <w:hideMark/>
          </w:tcPr>
          <w:p w14:paraId="064114AD" w14:textId="77777777" w:rsidR="009619DB" w:rsidRPr="009619DB" w:rsidRDefault="009619DB" w:rsidP="009619DB">
            <w:pPr>
              <w:spacing w:line="360" w:lineRule="auto"/>
              <w:rPr>
                <w:rFonts w:asciiTheme="minorBidi" w:hAnsiTheme="minorBidi"/>
                <w:sz w:val="24"/>
                <w:szCs w:val="24"/>
                <w:lang w:val="en-DE"/>
              </w:rPr>
            </w:pPr>
            <w:r w:rsidRPr="009619DB">
              <w:rPr>
                <w:rFonts w:asciiTheme="minorBidi" w:hAnsiTheme="minorBidi"/>
                <w:sz w:val="24"/>
                <w:szCs w:val="24"/>
                <w:lang w:val="en-DE"/>
              </w:rPr>
              <w:t>Grade 1.6 "Excellent" thesis</w:t>
            </w:r>
          </w:p>
        </w:tc>
        <w:tc>
          <w:tcPr>
            <w:tcW w:w="0" w:type="auto"/>
            <w:vAlign w:val="center"/>
            <w:hideMark/>
          </w:tcPr>
          <w:p w14:paraId="09C2EE38" w14:textId="77777777" w:rsidR="009619DB" w:rsidRPr="009619DB" w:rsidRDefault="009619DB" w:rsidP="009619DB">
            <w:pPr>
              <w:spacing w:line="360" w:lineRule="auto"/>
              <w:rPr>
                <w:rFonts w:asciiTheme="minorBidi" w:hAnsiTheme="minorBidi"/>
                <w:sz w:val="24"/>
                <w:szCs w:val="24"/>
                <w:lang w:val="en-DE"/>
              </w:rPr>
            </w:pPr>
            <w:r w:rsidRPr="009619DB">
              <w:rPr>
                <w:rFonts w:asciiTheme="minorBidi" w:hAnsiTheme="minorBidi"/>
                <w:sz w:val="24"/>
                <w:szCs w:val="24"/>
                <w:lang w:val="en-DE"/>
              </w:rPr>
              <w:t>Top 10% performance, LMU Munich endorsement</w:t>
            </w:r>
          </w:p>
        </w:tc>
      </w:tr>
      <w:tr w:rsidR="009619DB" w:rsidRPr="009619DB" w14:paraId="1E9AC97F" w14:textId="77777777">
        <w:trPr>
          <w:tblCellSpacing w:w="15" w:type="dxa"/>
        </w:trPr>
        <w:tc>
          <w:tcPr>
            <w:tcW w:w="0" w:type="auto"/>
            <w:vAlign w:val="center"/>
            <w:hideMark/>
          </w:tcPr>
          <w:p w14:paraId="37A6B29C" w14:textId="77777777" w:rsidR="009619DB" w:rsidRPr="009619DB" w:rsidRDefault="009619DB" w:rsidP="009619DB">
            <w:pPr>
              <w:spacing w:line="360" w:lineRule="auto"/>
              <w:rPr>
                <w:rFonts w:asciiTheme="minorBidi" w:hAnsiTheme="minorBidi"/>
                <w:sz w:val="24"/>
                <w:szCs w:val="24"/>
                <w:lang w:val="en-DE"/>
              </w:rPr>
            </w:pPr>
            <w:r w:rsidRPr="009619DB">
              <w:rPr>
                <w:rFonts w:asciiTheme="minorBidi" w:hAnsiTheme="minorBidi"/>
                <w:b/>
                <w:bCs/>
                <w:sz w:val="24"/>
                <w:szCs w:val="24"/>
                <w:lang w:val="en-DE"/>
              </w:rPr>
              <w:t>System scalability</w:t>
            </w:r>
          </w:p>
        </w:tc>
        <w:tc>
          <w:tcPr>
            <w:tcW w:w="0" w:type="auto"/>
            <w:vAlign w:val="center"/>
            <w:hideMark/>
          </w:tcPr>
          <w:p w14:paraId="111EE3FD" w14:textId="77777777" w:rsidR="009619DB" w:rsidRPr="009619DB" w:rsidRDefault="009619DB" w:rsidP="009619DB">
            <w:pPr>
              <w:spacing w:line="360" w:lineRule="auto"/>
              <w:rPr>
                <w:rFonts w:asciiTheme="minorBidi" w:hAnsiTheme="minorBidi"/>
                <w:sz w:val="24"/>
                <w:szCs w:val="24"/>
                <w:lang w:val="en-DE"/>
              </w:rPr>
            </w:pPr>
            <w:r w:rsidRPr="009619DB">
              <w:rPr>
                <w:rFonts w:asciiTheme="minorBidi" w:hAnsiTheme="minorBidi"/>
                <w:sz w:val="24"/>
                <w:szCs w:val="24"/>
                <w:lang w:val="en-DE"/>
              </w:rPr>
              <w:t>25 concurrent users, 72h stability</w:t>
            </w:r>
          </w:p>
        </w:tc>
        <w:tc>
          <w:tcPr>
            <w:tcW w:w="0" w:type="auto"/>
            <w:vAlign w:val="center"/>
            <w:hideMark/>
          </w:tcPr>
          <w:p w14:paraId="691D282A" w14:textId="77777777" w:rsidR="009619DB" w:rsidRPr="009619DB" w:rsidRDefault="009619DB" w:rsidP="009619DB">
            <w:pPr>
              <w:spacing w:line="360" w:lineRule="auto"/>
              <w:rPr>
                <w:rFonts w:asciiTheme="minorBidi" w:hAnsiTheme="minorBidi"/>
                <w:sz w:val="24"/>
                <w:szCs w:val="24"/>
                <w:lang w:val="en-DE"/>
              </w:rPr>
            </w:pPr>
            <w:r w:rsidRPr="009619DB">
              <w:rPr>
                <w:rFonts w:asciiTheme="minorBidi" w:hAnsiTheme="minorBidi"/>
                <w:sz w:val="24"/>
                <w:szCs w:val="24"/>
                <w:lang w:val="en-DE"/>
              </w:rPr>
              <w:t>Production-ready performance for pilot deployment</w:t>
            </w:r>
          </w:p>
        </w:tc>
      </w:tr>
      <w:tr w:rsidR="009619DB" w:rsidRPr="009619DB" w14:paraId="2FFF8809" w14:textId="77777777">
        <w:trPr>
          <w:tblCellSpacing w:w="15" w:type="dxa"/>
        </w:trPr>
        <w:tc>
          <w:tcPr>
            <w:tcW w:w="0" w:type="auto"/>
            <w:vAlign w:val="center"/>
            <w:hideMark/>
          </w:tcPr>
          <w:p w14:paraId="3330D8BE" w14:textId="77777777" w:rsidR="009619DB" w:rsidRPr="009619DB" w:rsidRDefault="009619DB" w:rsidP="009619DB">
            <w:pPr>
              <w:spacing w:line="360" w:lineRule="auto"/>
              <w:rPr>
                <w:rFonts w:asciiTheme="minorBidi" w:hAnsiTheme="minorBidi"/>
                <w:sz w:val="24"/>
                <w:szCs w:val="24"/>
                <w:lang w:val="en-DE"/>
              </w:rPr>
            </w:pPr>
            <w:r w:rsidRPr="009619DB">
              <w:rPr>
                <w:rFonts w:asciiTheme="minorBidi" w:hAnsiTheme="minorBidi"/>
                <w:b/>
                <w:bCs/>
                <w:sz w:val="24"/>
                <w:szCs w:val="24"/>
                <w:lang w:val="en-DE"/>
              </w:rPr>
              <w:t>Real-world data processing</w:t>
            </w:r>
          </w:p>
        </w:tc>
        <w:tc>
          <w:tcPr>
            <w:tcW w:w="0" w:type="auto"/>
            <w:vAlign w:val="center"/>
            <w:hideMark/>
          </w:tcPr>
          <w:p w14:paraId="73F7AF10" w14:textId="77777777" w:rsidR="009619DB" w:rsidRPr="009619DB" w:rsidRDefault="009619DB" w:rsidP="009619DB">
            <w:pPr>
              <w:spacing w:line="360" w:lineRule="auto"/>
              <w:rPr>
                <w:rFonts w:asciiTheme="minorBidi" w:hAnsiTheme="minorBidi"/>
                <w:sz w:val="24"/>
                <w:szCs w:val="24"/>
                <w:lang w:val="en-DE"/>
              </w:rPr>
            </w:pPr>
            <w:r w:rsidRPr="009619DB">
              <w:rPr>
                <w:rFonts w:asciiTheme="minorBidi" w:hAnsiTheme="minorBidi"/>
                <w:sz w:val="24"/>
                <w:szCs w:val="24"/>
                <w:lang w:val="en-DE"/>
              </w:rPr>
              <w:t>AZT1D clinical dataset (288 CGM readings)</w:t>
            </w:r>
          </w:p>
        </w:tc>
        <w:tc>
          <w:tcPr>
            <w:tcW w:w="0" w:type="auto"/>
            <w:vAlign w:val="center"/>
            <w:hideMark/>
          </w:tcPr>
          <w:p w14:paraId="0003E1F1" w14:textId="77777777" w:rsidR="009619DB" w:rsidRPr="009619DB" w:rsidRDefault="009619DB" w:rsidP="009619DB">
            <w:pPr>
              <w:spacing w:line="360" w:lineRule="auto"/>
              <w:rPr>
                <w:rFonts w:asciiTheme="minorBidi" w:hAnsiTheme="minorBidi"/>
                <w:sz w:val="24"/>
                <w:szCs w:val="24"/>
                <w:lang w:val="en-DE"/>
              </w:rPr>
            </w:pPr>
            <w:r w:rsidRPr="009619DB">
              <w:rPr>
                <w:rFonts w:asciiTheme="minorBidi" w:hAnsiTheme="minorBidi"/>
                <w:sz w:val="24"/>
                <w:szCs w:val="24"/>
                <w:lang w:val="en-DE"/>
              </w:rPr>
              <w:t>Proven ability to handle real patient data</w:t>
            </w:r>
          </w:p>
        </w:tc>
      </w:tr>
      <w:tr w:rsidR="009619DB" w:rsidRPr="009619DB" w14:paraId="75F986A7" w14:textId="77777777">
        <w:trPr>
          <w:tblCellSpacing w:w="15" w:type="dxa"/>
        </w:trPr>
        <w:tc>
          <w:tcPr>
            <w:tcW w:w="0" w:type="auto"/>
            <w:vAlign w:val="center"/>
            <w:hideMark/>
          </w:tcPr>
          <w:p w14:paraId="79127E8F" w14:textId="77777777" w:rsidR="009619DB" w:rsidRPr="009619DB" w:rsidRDefault="009619DB" w:rsidP="009619DB">
            <w:pPr>
              <w:spacing w:line="360" w:lineRule="auto"/>
              <w:rPr>
                <w:rFonts w:asciiTheme="minorBidi" w:hAnsiTheme="minorBidi"/>
                <w:sz w:val="24"/>
                <w:szCs w:val="24"/>
                <w:lang w:val="en-DE"/>
              </w:rPr>
            </w:pPr>
            <w:r w:rsidRPr="009619DB">
              <w:rPr>
                <w:rFonts w:asciiTheme="minorBidi" w:hAnsiTheme="minorBidi"/>
                <w:b/>
                <w:bCs/>
                <w:sz w:val="24"/>
                <w:szCs w:val="24"/>
                <w:lang w:val="en-DE"/>
              </w:rPr>
              <w:t>Platform readiness</w:t>
            </w:r>
          </w:p>
        </w:tc>
        <w:tc>
          <w:tcPr>
            <w:tcW w:w="0" w:type="auto"/>
            <w:vAlign w:val="center"/>
            <w:hideMark/>
          </w:tcPr>
          <w:p w14:paraId="558E31F1" w14:textId="77777777" w:rsidR="009619DB" w:rsidRPr="009619DB" w:rsidRDefault="009619DB" w:rsidP="009619DB">
            <w:pPr>
              <w:spacing w:line="360" w:lineRule="auto"/>
              <w:rPr>
                <w:rFonts w:asciiTheme="minorBidi" w:hAnsiTheme="minorBidi"/>
                <w:sz w:val="24"/>
                <w:szCs w:val="24"/>
                <w:lang w:val="en-DE"/>
              </w:rPr>
            </w:pPr>
            <w:r w:rsidRPr="009619DB">
              <w:rPr>
                <w:rFonts w:asciiTheme="minorBidi" w:hAnsiTheme="minorBidi"/>
                <w:sz w:val="24"/>
                <w:szCs w:val="24"/>
                <w:lang w:val="en-DE"/>
              </w:rPr>
              <w:t>Web + mobile prototypes functional</w:t>
            </w:r>
          </w:p>
        </w:tc>
        <w:tc>
          <w:tcPr>
            <w:tcW w:w="0" w:type="auto"/>
            <w:vAlign w:val="center"/>
            <w:hideMark/>
          </w:tcPr>
          <w:p w14:paraId="4B1EC1B1" w14:textId="77777777" w:rsidR="009619DB" w:rsidRPr="009619DB" w:rsidRDefault="009619DB" w:rsidP="009619DB">
            <w:pPr>
              <w:spacing w:line="360" w:lineRule="auto"/>
              <w:rPr>
                <w:rFonts w:asciiTheme="minorBidi" w:hAnsiTheme="minorBidi"/>
                <w:sz w:val="24"/>
                <w:szCs w:val="24"/>
                <w:lang w:val="en-DE"/>
              </w:rPr>
            </w:pPr>
            <w:r w:rsidRPr="009619DB">
              <w:rPr>
                <w:rFonts w:asciiTheme="minorBidi" w:hAnsiTheme="minorBidi"/>
                <w:sz w:val="24"/>
                <w:szCs w:val="24"/>
                <w:lang w:val="en-DE"/>
              </w:rPr>
              <w:t>Multi-channel patient engagement capability</w:t>
            </w:r>
          </w:p>
        </w:tc>
      </w:tr>
    </w:tbl>
    <w:p w14:paraId="107F05A3" w14:textId="77777777" w:rsidR="009619DB" w:rsidRPr="0040438B" w:rsidRDefault="009619DB" w:rsidP="0040438B">
      <w:pPr>
        <w:spacing w:line="360" w:lineRule="auto"/>
        <w:rPr>
          <w:rFonts w:asciiTheme="minorBidi" w:hAnsiTheme="minorBidi"/>
          <w:sz w:val="24"/>
          <w:szCs w:val="24"/>
        </w:rPr>
      </w:pPr>
    </w:p>
    <w:sectPr w:rsidR="009619DB" w:rsidRPr="004043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677B5"/>
    <w:multiLevelType w:val="multilevel"/>
    <w:tmpl w:val="3FD4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F365E"/>
    <w:multiLevelType w:val="multilevel"/>
    <w:tmpl w:val="E620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D010EF"/>
    <w:multiLevelType w:val="multilevel"/>
    <w:tmpl w:val="9AB4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557A8C"/>
    <w:multiLevelType w:val="multilevel"/>
    <w:tmpl w:val="26B4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E964F1"/>
    <w:multiLevelType w:val="multilevel"/>
    <w:tmpl w:val="662E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E2239E"/>
    <w:multiLevelType w:val="multilevel"/>
    <w:tmpl w:val="1FD8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668684">
    <w:abstractNumId w:val="2"/>
  </w:num>
  <w:num w:numId="2" w16cid:durableId="948969063">
    <w:abstractNumId w:val="5"/>
  </w:num>
  <w:num w:numId="3" w16cid:durableId="2058160990">
    <w:abstractNumId w:val="0"/>
  </w:num>
  <w:num w:numId="4" w16cid:durableId="1861816391">
    <w:abstractNumId w:val="4"/>
  </w:num>
  <w:num w:numId="5" w16cid:durableId="2052536955">
    <w:abstractNumId w:val="1"/>
  </w:num>
  <w:num w:numId="6" w16cid:durableId="17205444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B20"/>
    <w:rsid w:val="003B6A0D"/>
    <w:rsid w:val="0040438B"/>
    <w:rsid w:val="00607527"/>
    <w:rsid w:val="00753A10"/>
    <w:rsid w:val="009619DB"/>
    <w:rsid w:val="00B34E44"/>
    <w:rsid w:val="00BF0B20"/>
    <w:rsid w:val="00D14693"/>
    <w:rsid w:val="00E077D0"/>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D8485"/>
  <w15:chartTrackingRefBased/>
  <w15:docId w15:val="{A8536419-920C-4A7D-BF92-763D00801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e-DE"/>
    </w:rPr>
  </w:style>
  <w:style w:type="paragraph" w:styleId="Heading1">
    <w:name w:val="heading 1"/>
    <w:basedOn w:val="Normal"/>
    <w:next w:val="Normal"/>
    <w:link w:val="Heading1Char"/>
    <w:uiPriority w:val="9"/>
    <w:qFormat/>
    <w:rsid w:val="00BF0B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0B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0B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B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B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B20"/>
    <w:rPr>
      <w:rFonts w:asciiTheme="majorHAnsi" w:eastAsiaTheme="majorEastAsia" w:hAnsiTheme="majorHAnsi" w:cstheme="majorBidi"/>
      <w:color w:val="0F4761" w:themeColor="accent1" w:themeShade="BF"/>
      <w:sz w:val="40"/>
      <w:szCs w:val="40"/>
      <w:lang w:val="de-DE"/>
    </w:rPr>
  </w:style>
  <w:style w:type="character" w:customStyle="1" w:styleId="Heading2Char">
    <w:name w:val="Heading 2 Char"/>
    <w:basedOn w:val="DefaultParagraphFont"/>
    <w:link w:val="Heading2"/>
    <w:uiPriority w:val="9"/>
    <w:semiHidden/>
    <w:rsid w:val="00BF0B20"/>
    <w:rPr>
      <w:rFonts w:asciiTheme="majorHAnsi" w:eastAsiaTheme="majorEastAsia" w:hAnsiTheme="majorHAnsi" w:cstheme="majorBidi"/>
      <w:color w:val="0F4761" w:themeColor="accent1" w:themeShade="BF"/>
      <w:sz w:val="32"/>
      <w:szCs w:val="32"/>
      <w:lang w:val="de-DE"/>
    </w:rPr>
  </w:style>
  <w:style w:type="character" w:customStyle="1" w:styleId="Heading3Char">
    <w:name w:val="Heading 3 Char"/>
    <w:basedOn w:val="DefaultParagraphFont"/>
    <w:link w:val="Heading3"/>
    <w:uiPriority w:val="9"/>
    <w:semiHidden/>
    <w:rsid w:val="00BF0B20"/>
    <w:rPr>
      <w:rFonts w:eastAsiaTheme="majorEastAsia" w:cstheme="majorBidi"/>
      <w:color w:val="0F4761" w:themeColor="accent1" w:themeShade="BF"/>
      <w:sz w:val="28"/>
      <w:szCs w:val="28"/>
      <w:lang w:val="de-DE"/>
    </w:rPr>
  </w:style>
  <w:style w:type="character" w:customStyle="1" w:styleId="Heading4Char">
    <w:name w:val="Heading 4 Char"/>
    <w:basedOn w:val="DefaultParagraphFont"/>
    <w:link w:val="Heading4"/>
    <w:uiPriority w:val="9"/>
    <w:semiHidden/>
    <w:rsid w:val="00BF0B20"/>
    <w:rPr>
      <w:rFonts w:eastAsiaTheme="majorEastAsia" w:cstheme="majorBidi"/>
      <w:i/>
      <w:iCs/>
      <w:color w:val="0F4761" w:themeColor="accent1" w:themeShade="BF"/>
      <w:lang w:val="de-DE"/>
    </w:rPr>
  </w:style>
  <w:style w:type="character" w:customStyle="1" w:styleId="Heading5Char">
    <w:name w:val="Heading 5 Char"/>
    <w:basedOn w:val="DefaultParagraphFont"/>
    <w:link w:val="Heading5"/>
    <w:uiPriority w:val="9"/>
    <w:semiHidden/>
    <w:rsid w:val="00BF0B20"/>
    <w:rPr>
      <w:rFonts w:eastAsiaTheme="majorEastAsia" w:cstheme="majorBidi"/>
      <w:color w:val="0F4761" w:themeColor="accent1" w:themeShade="BF"/>
      <w:lang w:val="de-DE"/>
    </w:rPr>
  </w:style>
  <w:style w:type="character" w:customStyle="1" w:styleId="Heading6Char">
    <w:name w:val="Heading 6 Char"/>
    <w:basedOn w:val="DefaultParagraphFont"/>
    <w:link w:val="Heading6"/>
    <w:uiPriority w:val="9"/>
    <w:semiHidden/>
    <w:rsid w:val="00BF0B20"/>
    <w:rPr>
      <w:rFonts w:eastAsiaTheme="majorEastAsia" w:cstheme="majorBidi"/>
      <w:i/>
      <w:iCs/>
      <w:color w:val="595959" w:themeColor="text1" w:themeTint="A6"/>
      <w:lang w:val="de-DE"/>
    </w:rPr>
  </w:style>
  <w:style w:type="character" w:customStyle="1" w:styleId="Heading7Char">
    <w:name w:val="Heading 7 Char"/>
    <w:basedOn w:val="DefaultParagraphFont"/>
    <w:link w:val="Heading7"/>
    <w:uiPriority w:val="9"/>
    <w:semiHidden/>
    <w:rsid w:val="00BF0B20"/>
    <w:rPr>
      <w:rFonts w:eastAsiaTheme="majorEastAsia" w:cstheme="majorBidi"/>
      <w:color w:val="595959" w:themeColor="text1" w:themeTint="A6"/>
      <w:lang w:val="de-DE"/>
    </w:rPr>
  </w:style>
  <w:style w:type="character" w:customStyle="1" w:styleId="Heading8Char">
    <w:name w:val="Heading 8 Char"/>
    <w:basedOn w:val="DefaultParagraphFont"/>
    <w:link w:val="Heading8"/>
    <w:uiPriority w:val="9"/>
    <w:semiHidden/>
    <w:rsid w:val="00BF0B20"/>
    <w:rPr>
      <w:rFonts w:eastAsiaTheme="majorEastAsia" w:cstheme="majorBidi"/>
      <w:i/>
      <w:iCs/>
      <w:color w:val="272727" w:themeColor="text1" w:themeTint="D8"/>
      <w:lang w:val="de-DE"/>
    </w:rPr>
  </w:style>
  <w:style w:type="character" w:customStyle="1" w:styleId="Heading9Char">
    <w:name w:val="Heading 9 Char"/>
    <w:basedOn w:val="DefaultParagraphFont"/>
    <w:link w:val="Heading9"/>
    <w:uiPriority w:val="9"/>
    <w:semiHidden/>
    <w:rsid w:val="00BF0B20"/>
    <w:rPr>
      <w:rFonts w:eastAsiaTheme="majorEastAsia" w:cstheme="majorBidi"/>
      <w:color w:val="272727" w:themeColor="text1" w:themeTint="D8"/>
      <w:lang w:val="de-DE"/>
    </w:rPr>
  </w:style>
  <w:style w:type="paragraph" w:styleId="Title">
    <w:name w:val="Title"/>
    <w:basedOn w:val="Normal"/>
    <w:next w:val="Normal"/>
    <w:link w:val="TitleChar"/>
    <w:uiPriority w:val="10"/>
    <w:qFormat/>
    <w:rsid w:val="00BF0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B20"/>
    <w:rPr>
      <w:rFonts w:asciiTheme="majorHAnsi" w:eastAsiaTheme="majorEastAsia" w:hAnsiTheme="majorHAnsi" w:cstheme="majorBidi"/>
      <w:spacing w:val="-10"/>
      <w:kern w:val="28"/>
      <w:sz w:val="56"/>
      <w:szCs w:val="56"/>
      <w:lang w:val="de-DE"/>
    </w:rPr>
  </w:style>
  <w:style w:type="paragraph" w:styleId="Subtitle">
    <w:name w:val="Subtitle"/>
    <w:basedOn w:val="Normal"/>
    <w:next w:val="Normal"/>
    <w:link w:val="SubtitleChar"/>
    <w:uiPriority w:val="11"/>
    <w:qFormat/>
    <w:rsid w:val="00BF0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B20"/>
    <w:rPr>
      <w:rFonts w:eastAsiaTheme="majorEastAsia" w:cstheme="majorBidi"/>
      <w:color w:val="595959" w:themeColor="text1" w:themeTint="A6"/>
      <w:spacing w:val="15"/>
      <w:sz w:val="28"/>
      <w:szCs w:val="28"/>
      <w:lang w:val="de-DE"/>
    </w:rPr>
  </w:style>
  <w:style w:type="paragraph" w:styleId="Quote">
    <w:name w:val="Quote"/>
    <w:basedOn w:val="Normal"/>
    <w:next w:val="Normal"/>
    <w:link w:val="QuoteChar"/>
    <w:uiPriority w:val="29"/>
    <w:qFormat/>
    <w:rsid w:val="00BF0B20"/>
    <w:pPr>
      <w:spacing w:before="160"/>
      <w:jc w:val="center"/>
    </w:pPr>
    <w:rPr>
      <w:i/>
      <w:iCs/>
      <w:color w:val="404040" w:themeColor="text1" w:themeTint="BF"/>
    </w:rPr>
  </w:style>
  <w:style w:type="character" w:customStyle="1" w:styleId="QuoteChar">
    <w:name w:val="Quote Char"/>
    <w:basedOn w:val="DefaultParagraphFont"/>
    <w:link w:val="Quote"/>
    <w:uiPriority w:val="29"/>
    <w:rsid w:val="00BF0B20"/>
    <w:rPr>
      <w:i/>
      <w:iCs/>
      <w:color w:val="404040" w:themeColor="text1" w:themeTint="BF"/>
      <w:lang w:val="de-DE"/>
    </w:rPr>
  </w:style>
  <w:style w:type="paragraph" w:styleId="ListParagraph">
    <w:name w:val="List Paragraph"/>
    <w:basedOn w:val="Normal"/>
    <w:uiPriority w:val="34"/>
    <w:qFormat/>
    <w:rsid w:val="00BF0B20"/>
    <w:pPr>
      <w:ind w:left="720"/>
      <w:contextualSpacing/>
    </w:pPr>
  </w:style>
  <w:style w:type="character" w:styleId="IntenseEmphasis">
    <w:name w:val="Intense Emphasis"/>
    <w:basedOn w:val="DefaultParagraphFont"/>
    <w:uiPriority w:val="21"/>
    <w:qFormat/>
    <w:rsid w:val="00BF0B20"/>
    <w:rPr>
      <w:i/>
      <w:iCs/>
      <w:color w:val="0F4761" w:themeColor="accent1" w:themeShade="BF"/>
    </w:rPr>
  </w:style>
  <w:style w:type="paragraph" w:styleId="IntenseQuote">
    <w:name w:val="Intense Quote"/>
    <w:basedOn w:val="Normal"/>
    <w:next w:val="Normal"/>
    <w:link w:val="IntenseQuoteChar"/>
    <w:uiPriority w:val="30"/>
    <w:qFormat/>
    <w:rsid w:val="00BF0B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B20"/>
    <w:rPr>
      <w:i/>
      <w:iCs/>
      <w:color w:val="0F4761" w:themeColor="accent1" w:themeShade="BF"/>
      <w:lang w:val="de-DE"/>
    </w:rPr>
  </w:style>
  <w:style w:type="character" w:styleId="IntenseReference">
    <w:name w:val="Intense Reference"/>
    <w:basedOn w:val="DefaultParagraphFont"/>
    <w:uiPriority w:val="32"/>
    <w:qFormat/>
    <w:rsid w:val="00BF0B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1622</Words>
  <Characters>9248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Attia</dc:creator>
  <cp:keywords/>
  <dc:description/>
  <cp:lastModifiedBy>Ali Attia</cp:lastModifiedBy>
  <cp:revision>3</cp:revision>
  <dcterms:created xsi:type="dcterms:W3CDTF">2025-12-15T00:03:00Z</dcterms:created>
  <dcterms:modified xsi:type="dcterms:W3CDTF">2025-12-16T00:16:00Z</dcterms:modified>
</cp:coreProperties>
</file>