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2. Market situation</w:t>
      </w:r>
    </w:p>
    <w:p>
      <w:pPr>
        <w:pStyle w:val="Heading3"/>
        <w:pStyle w:val="MdHeading3"/>
      </w:pPr>
      <w:r>
        <w:t xml:space="preserve">Data on market volume, market segments, forecast market growth and market potential.</w:t>
      </w:r>
    </w:p>
    <w:p>
      <w:pPr>
        <w:pStyle w:val="MdParagraph"/>
      </w:pPr>
      <w:r>
        <w:rPr>
          <w:rStyle w:val="MdStrong"/>
          <w:b/>
          <w:bCs/>
        </w:rPr>
        <w:t xml:space="preserve">Primary Market: Germany</w:t>
      </w:r>
      <w:r>
        <w:t xml:space="preserve">
The primary market for DiaTwin is Germany, which has a total of </w:t>
      </w:r>
      <w:r>
        <w:rPr>
          <w:rStyle w:val="MdStrong"/>
          <w:b/>
          <w:bCs/>
        </w:rPr>
        <w:t xml:space="preserve">8.5 million</w:t>
      </w:r>
      <w:r>
        <w:t xml:space="preserve"> diabetes patients. Of these, </w:t>
      </w:r>
      <w:r>
        <w:rPr>
          <w:rStyle w:val="MdStrong"/>
          <w:b/>
          <w:bCs/>
        </w:rPr>
        <w:t xml:space="preserve">2.1 million</w:t>
      </w:r>
      <w:r>
        <w:t xml:space="preserve"> are Type 1 Diabetes (T1D) patients who require insulin dosing precision. Current Continuous Glucose Monitoring (CGM) adoption for continuous use is low, at </w:t>
      </w:r>
      <w:r>
        <w:rPr>
          <w:rStyle w:val="MdStrong"/>
          <w:b/>
          <w:bCs/>
        </w:rPr>
        <w:t xml:space="preserve">10-15%</w:t>
      </w:r>
      <w:r>
        <w:t xml:space="preserve"> (210,000-315,000 patients).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DiaTwin targets two distinct, high-potential segments within the T1D population: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Target Segment 1 (Primary):</w:t>
      </w:r>
      <w:r>
        <w:t xml:space="preserve"> </w:t>
      </w:r>
      <w:r>
        <w:rPr>
          <w:rStyle w:val="MdStrong"/>
          <w:b/>
          <w:bCs/>
        </w:rPr>
        <w:t xml:space="preserve">1.8 million post-CGM patients</w:t>
      </w:r>
      <w:r>
        <w:t xml:space="preserve"> (85% of the T1D market) who have discontinued continuous sensor use but retain clinically validated parameters.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Target Segment 2 (Premium):</w:t>
      </w:r>
      <w:r>
        <w:t xml:space="preserve"> </w:t>
      </w:r>
      <w:r>
        <w:rPr>
          <w:rStyle w:val="MdStrong"/>
          <w:b/>
          <w:bCs/>
        </w:rPr>
        <w:t xml:space="preserve">210,000 continuous CGM users</w:t>
      </w:r>
      <w:r>
        <w:t xml:space="preserve"> seeking an intelligent analytical layer to enhance their existing sensor data.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Market Segments &amp; Revenue Potential (Table 2)</w:t>
      </w:r>
      <w:r>
        <w:t xml:space="preserve">
The projected 3-year revenue potential, based on conservative penetration rates, demonstrates a clear path to scale, particularly through the DiGA reimbursement pathway.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Segment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Addressable Users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Revenue/User/Year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3-Year Potential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Post-CGM Premium (1% penetration)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18,000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€120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€2.16M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CGM Enhancement (5% penetration)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10,500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€150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€1.58M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DiGA Reimbursement (Year 3+)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5,000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€1,800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€9.0M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Total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33,500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-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€12.74M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Market Growth Drivers</w:t>
      </w:r>
      <w:r>
        <w:t xml:space="preserve">
The market is supported by powerful structural trends: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Digital Health Adoption:</w:t>
      </w:r>
      <w:r>
        <w:t xml:space="preserve"> The diabetes technology sector is experiencing a significant </w:t>
      </w:r>
      <w:r>
        <w:rPr>
          <w:rStyle w:val="MdStrong"/>
          <w:b/>
          <w:bCs/>
        </w:rPr>
        <w:t xml:space="preserve">22% CAGR</w:t>
      </w:r>
      <w:r>
        <w:t xml:space="preserve"> (2024-2030).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DiGA Market Expansion:</w:t>
      </w:r>
      <w:r>
        <w:t xml:space="preserve"> The German Digital Health Application (DiGA) framework provides a clear, reimbursable pathway, covering digital health apps for </w:t>
      </w:r>
      <w:r>
        <w:rPr>
          <w:rStyle w:val="MdStrong"/>
          <w:b/>
          <w:bCs/>
        </w:rPr>
        <w:t xml:space="preserve">73 million</w:t>
      </w:r>
      <w:r>
        <w:t xml:space="preserve"> Germans with statutory health insurance.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Policy Shift:</w:t>
      </w:r>
      <w:r>
        <w:t xml:space="preserve"> Value-based care models favor outcome-driven digital solutions over hardware-dependent systems.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Cost Pressure:</w:t>
      </w:r>
      <w:r>
        <w:t xml:space="preserve"> Healthcare systems are actively seeking alternatives to the high recurring costs of continuous CGM (€3,000-5,000/year).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International Expansion</w:t>
      </w:r>
      <w:r>
        <w:t xml:space="preserve">
DiaTwin's model is highly scalable globally, particularly the post-CGM solution: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EU Market:</w:t>
      </w:r>
      <w:r>
        <w:t xml:space="preserve"> The 60 million diabetes patients across the EU share similar CGM adoption patterns and cost-sensitivity.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MENA/Asia:</w:t>
      </w:r>
      <w:r>
        <w:t xml:space="preserve"> This region represents a massive underserved market of </w:t>
      </w:r>
      <w:r>
        <w:rPr>
          <w:rStyle w:val="MdStrong"/>
          <w:b/>
          <w:bCs/>
        </w:rPr>
        <w:t xml:space="preserve">250 million</w:t>
      </w:r>
      <w:r>
        <w:t xml:space="preserve"> patients with less than 1% CGM access, making DiaTwin's cost-effective, precision-bridging model highly relevant.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Global Market Growth:</w:t>
      </w:r>
      <w:r>
        <w:t xml:space="preserve"> The global diabetes market is projected to grow from </w:t>
      </w:r>
      <w:r>
        <w:rPr>
          <w:rStyle w:val="MdStrong"/>
          <w:b/>
          <w:bCs/>
        </w:rPr>
        <w:t xml:space="preserve">€12.4B (2024) to €23.5B (2030)</w:t>
      </w:r>
      <w:r>
        <w:t xml:space="preserve">, an 11% CAGR.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Em"/>
          <w:i/>
          <w:iCs/>
        </w:rPr>
        <w:t xml:space="preserve">This section is prepared for later consolidation into the final two-page document.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2025-12-15T00:16:55.456Z</dcterms:created>
  <dcterms:modified xsi:type="dcterms:W3CDTF">2025-12-15T00:16:55.456Z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