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3. Unique selling proposition and customer benefits</w:t>
      </w:r>
    </w:p>
    <w:p>
      <w:pPr>
        <w:pStyle w:val="Heading3"/>
        <w:pStyle w:val="MdHeading3"/>
      </w:pPr>
      <w:r>
        <w:t xml:space="preserve">Unique selling proposition of the product or service vis-à-vis competitors with a comparable portfolio.</w:t>
      </w:r>
    </w:p>
    <w:p>
      <w:pPr>
        <w:pStyle w:val="MdParagraph"/>
      </w:pPr>
      <w:r>
        <w:t xml:space="preserve">DiaTwin's unique selling proposition (USP) is its ability to deliver </w:t>
      </w:r>
      <w:r>
        <w:rPr>
          <w:rStyle w:val="MdStrong"/>
          <w:b/>
          <w:bCs/>
        </w:rPr>
        <w:t xml:space="preserve">CGM-level precision and intelligent dosing guidance without the continuous hardware cost</w:t>
      </w:r>
      <w:r>
        <w:t xml:space="preserve">, positioning it as a </w:t>
      </w:r>
      <w:r>
        <w:rPr>
          <w:rStyle w:val="MdStrong"/>
          <w:b/>
          <w:bCs/>
        </w:rPr>
        <w:t xml:space="preserve">CGM Companion &amp; Sustainability Tool</w:t>
      </w:r>
      <w:r>
        <w:t xml:space="preserve">. This directly addresses the 80-85% market gap created by CGM discontinuation.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Competitive Advantages (Table 3)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DiaTwin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CGM-Only (Libre/Dexcom)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Basic Apps (MySugr/Glooko)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Insulin Pumps (Omnipod/Tandem)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Intelligent Dosing Guidance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YES</w:t>
            </w:r>
            <w:r>
              <w:t xml:space="preserve"> (IOB, MOB, Projection)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(Data only)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(Logging only)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 (Closed-loop)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Meal-on-Board (MOB)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YES</w:t>
            </w:r>
            <w:r>
              <w:t xml:space="preserve"> (5-tier absorption)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Cost Reduction (Post-CGM)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95%</w:t>
            </w:r>
            <w:r>
              <w:t xml:space="preserve"> (€50/year)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(€3,000-5,000/year)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(€10,000-16,000/year)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Works with Insulin Pens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YES</w:t>
            </w:r>
            <w:r>
              <w:t xml:space="preserve"> (80% of T1D prefer pens)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(Requires pump)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Future Glucose Projection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YES</w:t>
            </w:r>
            <w:r>
              <w:t xml:space="preserve"> (4-hour trajectory)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(Historical/Current only)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 (Closed-loop)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Key Differentiators: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vs. CGM-Only Solutions:</w:t>
      </w:r>
      <w:r>
        <w:t xml:space="preserve"> DiaTwin maintains precision after CGM discontinuation, offers a </w:t>
      </w:r>
      <w:r>
        <w:rPr>
          <w:rStyle w:val="MdStrong"/>
          <w:b/>
          <w:bCs/>
        </w:rPr>
        <w:t xml:space="preserve">95% cost reduction</w:t>
      </w:r>
      <w:r>
        <w:t xml:space="preserve"> for post-CGM users, and eliminates issues like sensor skin irritation and device fatigue.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vs. Basic Diabetes Apps:</w:t>
      </w:r>
      <w:r>
        <w:t xml:space="preserve"> Provides </w:t>
      </w:r>
      <w:r>
        <w:rPr>
          <w:rStyle w:val="MdStrong"/>
          <w:b/>
          <w:bCs/>
        </w:rPr>
        <w:t xml:space="preserve">intelligent insulin dosing calculations</w:t>
      </w:r>
      <w:r>
        <w:t xml:space="preserve"> (IOB, MOB, Future Projection) that are completely absent in logging-only competitors.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vs. Insulin Pump Systems:</w:t>
      </w:r>
      <w:r>
        <w:t xml:space="preserve"> Works with </w:t>
      </w:r>
      <w:r>
        <w:rPr>
          <w:rStyle w:val="MdStrong"/>
          <w:b/>
          <w:bCs/>
        </w:rPr>
        <w:t xml:space="preserve">insulin pens</w:t>
      </w:r>
      <w:r>
        <w:t xml:space="preserve"> (preferred by 80% of German T1D patients), offering </w:t>
      </w:r>
      <w:r>
        <w:rPr>
          <w:rStyle w:val="MdStrong"/>
          <w:b/>
          <w:bCs/>
        </w:rPr>
        <w:t xml:space="preserve">€10,000-16,000/year cost savings</w:t>
      </w:r>
      <w:r>
        <w:t xml:space="preserve"> and eliminating the need for constant device attachment.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 Continuous CGM Users:</w:t>
      </w:r>
      <w:r>
        <w:t xml:space="preserve"> Provides an </w:t>
      </w:r>
      <w:r>
        <w:rPr>
          <w:rStyle w:val="MdStrong"/>
          <w:b/>
          <w:bCs/>
        </w:rPr>
        <w:t xml:space="preserve">enhancement layer</w:t>
      </w:r>
      <w:r>
        <w:t xml:space="preserve"> with Net Effect analysis and parameter auto-optimization, offering deeper insights than manufacturer apps.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Customer benefit of the product or service.</w:t>
      </w:r>
    </w:p>
    <w:p>
      <w:pPr>
        <w:pStyle w:val="MdParagraph"/>
      </w:pPr>
      <w:r>
        <w:t xml:space="preserve">DiaTwin delivers significant benefits across all key stakeholders: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Stakeholder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Primary Benefit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Secondary Benefit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Post-CGM 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Economic:</w:t>
            </w:r>
            <w:r>
              <w:t xml:space="preserve"> Save €3,000-5,000/year while maintaining clinical precision.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Lifestyle:</w:t>
            </w:r>
            <w:r>
              <w:t xml:space="preserve"> Reduced device burden, sustained HbA1c improvements.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Continuous CGM 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Analytical:</w:t>
            </w:r>
            <w:r>
              <w:t xml:space="preserve"> Deeper insights (Net Effect, MOB) and parameter auto-optimization.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Clinical:</w:t>
            </w:r>
            <w:r>
              <w:t xml:space="preserve"> Hypothesized 10-15% additional Time-in-Range improvement.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Physicians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Efficiency:</w:t>
            </w:r>
            <w:r>
              <w:t xml:space="preserve"> Parameter validation in 2 weeks vs. 2-6 months.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Transparency:</w:t>
            </w:r>
            <w:r>
              <w:t xml:space="preserve"> Medicolegally defensible, clear calculations; remote monitoring.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Healthcare Systems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Cost Savings:</w:t>
            </w:r>
            <w:r>
              <w:t xml:space="preserve"> €10,500-27,000 per patient/year (avoided ER visits, reduced subsidies).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Health Equity:</w:t>
            </w:r>
            <w:r>
              <w:t xml:space="preserve"> Works in resource-limited settings without hardware requirements.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This section is prepared for later consolidation into the final two-page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2025-12-15T00:17:06.714Z</dcterms:created>
  <dcterms:modified xsi:type="dcterms:W3CDTF">2025-12-15T00:17:06.714Z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