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4. Know-how support</w:t>
      </w:r>
    </w:p>
    <w:p>
      <w:pPr>
        <w:pStyle w:val="Heading3"/>
        <w:pStyle w:val="MdHeading3"/>
      </w:pPr>
      <w:r>
        <w:t xml:space="preserve">Brief presentation of the planned start-up team and the distribution of tasks among the persons involved.</w:t>
      </w:r>
    </w:p>
    <w:p>
      <w:pPr>
        <w:pStyle w:val="MdParagraph"/>
      </w:pPr>
      <w:r>
        <w:t xml:space="preserve">The project is led by </w:t>
      </w:r>
      <w:r>
        <w:rPr>
          <w:rStyle w:val="MdStrong"/>
          <w:b/>
          <w:bCs/>
        </w:rPr>
        <w:t xml:space="preserve">Ali Attia</w:t>
      </w:r>
      <w:r>
        <w:t xml:space="preserve"> (Technical Lead, Clinical Expert). His profile ensures a strong foundation in both clinical rigor and technical implementation: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Education:</w:t>
      </w:r>
      <w:r>
        <w:t xml:space="preserve"> M.Sc. Digital Health, Deggendorf Institute of Technology (Grade 1.6).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Clinical Background:</w:t>
      </w:r>
      <w:r>
        <w:t xml:space="preserve"> Pharmacist with deep domain expertise in insulin dosing and medication safety.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Entrepreneurial/IT:</w:t>
      </w:r>
      <w:r>
        <w:t xml:space="preserve"> 5+ years as Digital Transformation Officer, leading national EHR interoperability projects and managing cross-stakeholder regulatory projects.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Personal Motivation:</w:t>
      </w:r>
      <w:r>
        <w:t xml:space="preserve"> Lived experience with Type 1 Diabetes in family members drives user-centered design.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Planned Team Expansion (EXIST Phase I):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Clinical Research Coordinator (50%):</w:t>
      </w:r>
      <w:r>
        <w:t xml:space="preserve"> Responsible for ethics approvals, patient recruitment, data quality, and regulatory compliance for the clinical trial.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Full-Stack Software Developer (50%):</w:t>
      </w:r>
      <w:r>
        <w:t xml:space="preserve"> Focus on native mobile app development, CGM API integrations, machine learning pipeline, and medical device software validation (IEC 62304).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Co-Founder (Business/Commercial Lead):</w:t>
      </w:r>
      <w:r>
        <w:t xml:space="preserve"> Actively recruiting a profile (Healthcare MBA or medical device commercialization experience) to lead go-to-market strategy, investor relations, and DiGA reimbursement negotiations.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Significance of the know-how acquired at the university or research institution for the start-up project or the scientific preparatory work</w:t>
      </w: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DiaTwin core platform</w:t>
      </w:r>
      <w:r>
        <w:t xml:space="preserve"> was developed during the founder's Master's thesis at DIT, supervised by </w:t>
      </w:r>
      <w:r>
        <w:rPr>
          <w:rStyle w:val="MdStrong"/>
          <w:b/>
          <w:bCs/>
        </w:rPr>
        <w:t xml:space="preserve">Prof. Dr. Klaus Parhofer (LMU Munich)</w:t>
      </w:r>
      <w:r>
        <w:t xml:space="preserve">. This academic foundation is the source of the project's scientific rigor:</w:t>
      </w:r>
    </w:p>
    <w:p>
      <w:pPr>
        <w:pStyle w:val="MdListItem"/>
        <w:numPr>
          <w:ilvl w:val="0"/>
          <w:numId w:val="2"/>
        </w:numPr>
      </w:pPr>
      <w:r>
        <w:t xml:space="preserve">Implementation of pharmacokinetic modeling based on </w:t>
      </w:r>
      <w:r>
        <w:rPr>
          <w:rStyle w:val="MdStrong"/>
          <w:b/>
          <w:bCs/>
        </w:rPr>
        <w:t xml:space="preserve">German S3 Diabetes Guidelines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Creation of the proprietary </w:t>
      </w:r>
      <w:r>
        <w:rPr>
          <w:rStyle w:val="MdStrong"/>
          <w:b/>
          <w:bCs/>
        </w:rPr>
        <w:t xml:space="preserve">dual Net Effect</w:t>
      </w:r>
      <w:r>
        <w:t xml:space="preserve"> and </w:t>
      </w:r>
      <w:r>
        <w:rPr>
          <w:rStyle w:val="MdStrong"/>
          <w:b/>
          <w:bCs/>
        </w:rPr>
        <w:t xml:space="preserve">Meal-on-Board</w:t>
      </w:r>
      <w:r>
        <w:t xml:space="preserve"> algorithms.</w:t>
      </w:r>
    </w:p>
    <w:p>
      <w:pPr>
        <w:pStyle w:val="MdListItem"/>
        <w:numPr>
          <w:ilvl w:val="0"/>
          <w:numId w:val="2"/>
        </w:numPr>
      </w:pPr>
      <w:r>
        <w:t xml:space="preserve">The thesis was evaluated as </w:t>
      </w:r>
      <w:r>
        <w:rPr>
          <w:rStyle w:val="MdStrong"/>
          <w:b/>
          <w:bCs/>
        </w:rPr>
        <w:t xml:space="preserve">"Excellent"</w:t>
      </w:r>
      <w:r>
        <w:t xml:space="preserve"> by a leading endocrinology expert, validating the core scientific approach.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Existing business management, entrepreneurial experience or training or industry-specific contacts</w:t>
      </w:r>
    </w:p>
    <w:p>
      <w:pPr>
        <w:pStyle w:val="MdParagraph"/>
      </w:pPr>
      <w:r>
        <w:t xml:space="preserve">The founder's experience as a Digital Transformation Officer involved managing complex, multi-stakeholder projects, demonstrating proficiency in regulatory compliance, clinical workflow integration, and commercial negotiation. This experience has instilled the understanding that </w:t>
      </w:r>
      <w:r>
        <w:rPr>
          <w:rStyle w:val="MdStrong"/>
          <w:b/>
          <w:bCs/>
        </w:rPr>
        <w:t xml:space="preserve">80% of success is change management and reimbursement strategy</w:t>
      </w:r>
      <w:r>
        <w:t xml:space="preserve">. The founder has already conducted preparatory work on the </w:t>
      </w:r>
      <w:r>
        <w:rPr>
          <w:rStyle w:val="MdStrong"/>
          <w:b/>
          <w:bCs/>
        </w:rPr>
        <w:t xml:space="preserve">DiGA pathway</w:t>
      </w:r>
      <w:r>
        <w:t xml:space="preserve"> and identified the </w:t>
      </w:r>
      <w:r>
        <w:rPr>
          <w:rStyle w:val="MdStrong"/>
          <w:b/>
          <w:bCs/>
        </w:rPr>
        <w:t xml:space="preserve">ForTra funding opportunity</w:t>
      </w:r>
      <w:r>
        <w:t xml:space="preserve"> (€100K) for regulatory consulting.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Involvement of other persons, such as scientific advisors, partners, mentors, etc.</w:t>
      </w:r>
    </w:p>
    <w:p>
      <w:pPr>
        <w:pStyle w:val="MdParagraph"/>
      </w:pPr>
      <w:r>
        <w:t xml:space="preserve">The project is supported by a high-caliber Scientific Advisory Board and strong external partnerships: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Scientific Advisory Board (Table 4)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Advisor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Affiliation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Role/Commitment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Prof. Dr. Katarina Braune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Charité - Universitätsmedizin Berlin / HPI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Clinical validation study co-PI; committed to leading Charité as primary trial site (40-50 patients).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Prof. Dr. Klaus Parhofer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LMU Munich, Klinikum Großhadern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Master's thesis supervisor; Scientific advisor for clinical trial protocol design; potential second trial site.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External Partnerships: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Clinical Trial Sites:</w:t>
      </w:r>
      <w:r>
        <w:t xml:space="preserve"> Charité Berlin (40 patients), LMU Munich network (30 patients), and a regional clinic (30 patients).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Regulatory Consultants:</w:t>
      </w:r>
      <w:r>
        <w:t xml:space="preserve"> Plan to secure a German regulatory firm specializing in DiGA via ForTra funding.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Technology Partners:</w:t>
      </w:r>
      <w:r>
        <w:t xml:space="preserve"> Initiated API discussions with </w:t>
      </w:r>
      <w:r>
        <w:rPr>
          <w:rStyle w:val="MdStrong"/>
          <w:b/>
          <w:bCs/>
        </w:rPr>
        <w:t xml:space="preserve">Abbott Diabetes Care</w:t>
      </w:r>
      <w:r>
        <w:t xml:space="preserve"> (FreeStyle Libre API) and </w:t>
      </w:r>
      <w:r>
        <w:rPr>
          <w:rStyle w:val="MdStrong"/>
          <w:b/>
          <w:bCs/>
        </w:rPr>
        <w:t xml:space="preserve">Dexcom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Patient Organizations:</w:t>
      </w:r>
      <w:r>
        <w:t xml:space="preserve"> Partnerships with </w:t>
      </w:r>
      <w:r>
        <w:rPr>
          <w:rStyle w:val="MdStrong"/>
          <w:b/>
          <w:bCs/>
        </w:rPr>
        <w:t xml:space="preserve">DiabetesDE</w:t>
      </w:r>
      <w:r>
        <w:t xml:space="preserve"> and the </w:t>
      </w:r>
      <w:r>
        <w:rPr>
          <w:rStyle w:val="MdStrong"/>
          <w:b/>
          <w:bCs/>
        </w:rPr>
        <w:t xml:space="preserve">#dedoc° community</w:t>
      </w:r>
      <w:r>
        <w:t xml:space="preserve"> for recruitment, usability testing, and advocacy.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This section is prepared for later consolidation into the final two-page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2025-12-15T00:17:15.532Z</dcterms:created>
  <dcterms:modified xsi:type="dcterms:W3CDTF">2025-12-15T00:17:15.532Z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