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B9A4" w14:textId="77777777" w:rsidR="00A67410" w:rsidRPr="007B6001" w:rsidRDefault="00A67410" w:rsidP="00E6171D">
      <w:pPr>
        <w:spacing w:before="100" w:beforeAutospacing="1" w:after="100" w:line="240" w:lineRule="auto"/>
        <w:outlineLvl w:val="1"/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</w:pPr>
      <w:r w:rsidRPr="007B6001"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  <w:t>1. Innovation</w:t>
      </w:r>
    </w:p>
    <w:p w14:paraId="657793A8" w14:textId="3F38EE80" w:rsidR="00AD193F" w:rsidRPr="001F1D55" w:rsidRDefault="00E6171D" w:rsidP="00A31645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Problem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Type 1 Diabetes (T1D) patients take multiple daily insulin doses but lack tools to translate data into safe, personalized guidance. Poor management causes dangerous </w:t>
      </w:r>
      <w:proofErr w:type="spellStart"/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hypoglycemia</w:t>
      </w:r>
      <w:proofErr w:type="spellEnd"/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and long-term complications</w:t>
      </w:r>
      <w:r w:rsidR="00A31645" w:rsidRPr="00A31645">
        <w:t xml:space="preserve"> </w:t>
      </w:r>
      <w:hyperlink r:id="rId8" w:history="1">
        <w:r w:rsidR="00A31645" w:rsidRPr="00A31645">
          <w:rPr>
            <w:rStyle w:val="Hyperlink"/>
            <w:rFonts w:asciiTheme="minorBidi" w:eastAsia="Times New Roman" w:hAnsiTheme="minorBidi"/>
            <w:kern w:val="0"/>
            <w:sz w:val="24"/>
            <w:szCs w:val="24"/>
            <w:lang w:eastAsia="en-DE"/>
            <w14:ligatures w14:val="none"/>
          </w:rPr>
          <w:t>[1]</w:t>
        </w:r>
      </w:hyperlink>
      <w:r w:rsidR="00A31645">
        <w:rPr>
          <w:rFonts w:asciiTheme="minorBidi" w:eastAsia="Times New Roman" w:hAnsiTheme="minorBidi"/>
          <w:kern w:val="0"/>
          <w:sz w:val="24"/>
          <w:szCs w:val="24"/>
          <w:lang w:eastAsia="en-DE"/>
          <w14:ligatures w14:val="none"/>
        </w:rPr>
        <w:t>.</w:t>
      </w:r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A "precision gap" </w:t>
      </w:r>
      <w:proofErr w:type="gramStart"/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exists:</w:t>
      </w:r>
      <w:proofErr w:type="gramEnd"/>
      <w:r w:rsidR="001B7C44" w:rsidRPr="001B7C44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doctor-set therapy plans are difficult to apply correctly daily. Most people with Type 1 Diabetes use CGM or finger-prick tests that show glucose levels but do not help decide insulin doses, leading to guesswork, frequent corrections, and high mental stress</w:t>
      </w:r>
      <w:r w:rsidR="002F64CB"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.</w:t>
      </w:r>
      <w:r w:rsidR="00A3164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hyperlink r:id="rId9" w:history="1">
        <w:r w:rsidR="00A31645" w:rsidRPr="00A31645">
          <w:rPr>
            <w:rStyle w:val="Hyperlink"/>
            <w:rFonts w:asciiTheme="minorBidi" w:eastAsia="Times New Roman" w:hAnsiTheme="minorBidi"/>
            <w:kern w:val="0"/>
            <w:sz w:val="24"/>
            <w:szCs w:val="24"/>
            <w:lang w:val="en-DE" w:eastAsia="en-DE"/>
            <w14:ligatures w14:val="none"/>
          </w:rPr>
          <w:t>[2]</w:t>
        </w:r>
      </w:hyperlink>
    </w:p>
    <w:p w14:paraId="231CC585" w14:textId="082B6998" w:rsidR="00E6171D" w:rsidRPr="00E6171D" w:rsidRDefault="00A67410" w:rsidP="00E6171D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1F1D55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Technology</w:t>
      </w:r>
      <w:r w:rsidR="00492438" w:rsidRPr="001F1D55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 xml:space="preserve">  </w:t>
      </w:r>
      <w:r w:rsidRPr="001F1D55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 xml:space="preserve"> </w:t>
      </w:r>
      <w:proofErr w:type="spellStart"/>
      <w:r w:rsidR="00E6171D"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DiaTwin</w:t>
      </w:r>
      <w:proofErr w:type="spellEnd"/>
      <w:r w:rsidR="00E6171D"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is a clinically supervised decision-support platform delivering pump-like precision for standard insulin pens. Physicians preset all parameters (insulin-to-carb ratios, correction factors, basal rates, safety limits), which are validated and remotely monitored. The platform combines pharmacokinetic modelling with machine learning to provide safe, personalized dosing recommendations.</w:t>
      </w:r>
    </w:p>
    <w:p w14:paraId="21D240BB" w14:textId="77777777" w:rsidR="00E6171D" w:rsidRPr="00E6171D" w:rsidRDefault="00E6171D" w:rsidP="00E6171D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Dual-Target Approach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</w:t>
      </w:r>
    </w:p>
    <w:p w14:paraId="1A0A0F5E" w14:textId="77777777" w:rsidR="00E6171D" w:rsidRPr="00E6171D" w:rsidRDefault="00E6171D" w:rsidP="00E6171D">
      <w:pPr>
        <w:numPr>
          <w:ilvl w:val="0"/>
          <w:numId w:val="5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CGM users (Germany/EU)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 Translates glucose trends into actionable advice via Net Effect analysis, 4-hour projection, and insulin-on-board (IOB) tracking</w:t>
      </w:r>
    </w:p>
    <w:p w14:paraId="0EFC3CED" w14:textId="0ECC48B8" w:rsidR="00E6171D" w:rsidRPr="00E6171D" w:rsidRDefault="00E6171D" w:rsidP="00E6171D">
      <w:pPr>
        <w:numPr>
          <w:ilvl w:val="0"/>
          <w:numId w:val="5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Pen users (global)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 Uses 3-4 daily finger-sticks with Intelligent Glucose Estimation and Meal-on-Board (MOB) modelling</w:t>
      </w:r>
    </w:p>
    <w:p w14:paraId="74044866" w14:textId="7DBA1747" w:rsidR="00A67410" w:rsidRPr="001F1D55" w:rsidRDefault="00A67410" w:rsidP="00E6171D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1F1D55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Core features:</w:t>
      </w:r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Dual Net Effect System (physician validation + patient projection); Intelligent Glucose Estimation (physiology-based interpolation); MOB (5 meal types, easy portion inputs); Future Glucose Projection (IOB + MOB).</w:t>
      </w:r>
    </w:p>
    <w:p w14:paraId="66C3BC98" w14:textId="77777777" w:rsidR="00E6171D" w:rsidRPr="00E6171D" w:rsidRDefault="00E6171D" w:rsidP="00E6171D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 xml:space="preserve">Current Readiness (TRL 4-5): 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Core algorithms validated through </w:t>
      </w:r>
      <w:proofErr w:type="gramStart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Master's</w:t>
      </w:r>
      <w:proofErr w:type="gramEnd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thesis (grade 1.6 "Excellent") with 50,000+ meal-outcome pairs from real clinical data. Clinical Utility Score: 8.7/10 from certified diabetologist. Web + mobile prototypes operational.</w:t>
      </w:r>
    </w:p>
    <w:p w14:paraId="1C499289" w14:textId="5212ED9B" w:rsidR="00A67410" w:rsidRPr="001F1D55" w:rsidRDefault="00E6171D" w:rsidP="00E6171D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Next Phase (TRL 6-7):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Prospective clinical trial (N=100 patients, 6 months) for safety/efficacy validation, physician workflow integration, and regulatory compliance (CE Class </w:t>
      </w:r>
      <w:proofErr w:type="spellStart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IIa</w:t>
      </w:r>
      <w:proofErr w:type="spellEnd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+ </w:t>
      </w:r>
      <w:proofErr w:type="spellStart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DiGA</w:t>
      </w:r>
      <w:proofErr w:type="spellEnd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pathway).</w:t>
      </w:r>
    </w:p>
    <w:p w14:paraId="4D87416C" w14:textId="77777777" w:rsidR="00A67410" w:rsidRPr="007B6001" w:rsidRDefault="00A67410" w:rsidP="00E6171D">
      <w:pPr>
        <w:spacing w:before="80" w:after="100" w:line="240" w:lineRule="auto"/>
        <w:outlineLvl w:val="1"/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</w:pPr>
      <w:r w:rsidRPr="007B6001"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  <w:t>2. Market situation</w:t>
      </w:r>
    </w:p>
    <w:p w14:paraId="0F258740" w14:textId="537E8F1F" w:rsidR="00E6171D" w:rsidRPr="00E6171D" w:rsidRDefault="00E6171D" w:rsidP="00E6171D">
      <w:pPr>
        <w:spacing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Market Volume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 Germany has ~1.3 million insulin-pen users with CGM/finger-prick testing who lack structured dosing guidance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, </w:t>
      </w:r>
      <w:proofErr w:type="spellStart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DiaTwin's</w:t>
      </w:r>
      <w:proofErr w:type="spellEnd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primary target. Globally, insulin-pen therapy dominates due to pump/CGM costs and limited availability.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br/>
      </w: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Market Growth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: Global diabetes device and digital management markets growing at </w:t>
      </w:r>
      <w:r w:rsidR="004E49E2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8.7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% CAGR</w:t>
      </w:r>
      <w:r w:rsidR="00A3164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hyperlink r:id="rId10" w:history="1">
        <w:r w:rsidR="00A31645" w:rsidRPr="00A31645">
          <w:rPr>
            <w:rStyle w:val="Hyperlink"/>
            <w:rFonts w:asciiTheme="minorBidi" w:eastAsia="Times New Roman" w:hAnsiTheme="minorBidi"/>
            <w:kern w:val="0"/>
            <w:sz w:val="24"/>
            <w:szCs w:val="24"/>
            <w:lang w:val="en-DE" w:eastAsia="en-DE"/>
            <w14:ligatures w14:val="none"/>
          </w:rPr>
          <w:t>[3]</w:t>
        </w:r>
      </w:hyperlink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. Software-based decision support represents one of the fastest-growing segments.</w:t>
      </w:r>
    </w:p>
    <w:p w14:paraId="01C83587" w14:textId="10170DAF" w:rsidR="00ED4478" w:rsidRPr="00ED4478" w:rsidRDefault="00E6171D" w:rsidP="00E6171D">
      <w:pPr>
        <w:spacing w:before="100" w:beforeAutospacing="1" w:after="6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E6171D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lastRenderedPageBreak/>
        <w:t>Market Potential</w:t>
      </w:r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: Conservative 2% penetration = ~26,000 German users within 3 years. </w:t>
      </w:r>
      <w:proofErr w:type="spellStart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DiGA</w:t>
      </w:r>
      <w:proofErr w:type="spellEnd"/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reimbursement pathway creates sustainable revenue model with strong international expansion potential where hardware access is limited</w:t>
      </w:r>
      <w:r w:rsidR="004E49E2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hyperlink r:id="rId11" w:history="1">
        <w:r w:rsidR="004E49E2" w:rsidRPr="004E49E2">
          <w:rPr>
            <w:rStyle w:val="Hyperlink"/>
            <w:rFonts w:asciiTheme="minorBidi" w:eastAsia="Times New Roman" w:hAnsiTheme="minorBidi"/>
            <w:kern w:val="0"/>
            <w:sz w:val="24"/>
            <w:szCs w:val="24"/>
            <w:lang w:val="en-DE" w:eastAsia="en-DE"/>
            <w14:ligatures w14:val="none"/>
          </w:rPr>
          <w:t>[4]</w:t>
        </w:r>
      </w:hyperlink>
      <w:r w:rsidRPr="00E6171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.</w:t>
      </w:r>
    </w:p>
    <w:p w14:paraId="3BBD8A4C" w14:textId="77777777" w:rsidR="00A67410" w:rsidRPr="007B6001" w:rsidRDefault="00A67410" w:rsidP="00E6171D">
      <w:pPr>
        <w:spacing w:before="80" w:after="100" w:line="240" w:lineRule="auto"/>
        <w:outlineLvl w:val="1"/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</w:pPr>
      <w:r w:rsidRPr="007B6001"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  <w:t>3. Unique selling proposition and customer benefits</w:t>
      </w:r>
    </w:p>
    <w:p w14:paraId="07FCEE82" w14:textId="7B49C69E" w:rsidR="00A67410" w:rsidRPr="001F1D55" w:rsidRDefault="00767C1D" w:rsidP="00A67410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proofErr w:type="spellStart"/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DiaTwin</w:t>
      </w:r>
      <w:proofErr w:type="spellEnd"/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delivers CGM-level precision and intelligent insulin dosing guidance without continuous sensor costs, acting as a CGM Companion &amp; Sustainability Tool. For CGM users, it adds structured dosing guidance to trend awareness, reducing unnecessary corrective doses and cognitive burden. For insulin-pen users, it provides trend insight and automated meal-based dosing recommendations</w:t>
      </w:r>
      <w:r w:rsidRPr="001F1D55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 xml:space="preserve">.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27"/>
        <w:gridCol w:w="1984"/>
        <w:gridCol w:w="1985"/>
        <w:gridCol w:w="1417"/>
        <w:gridCol w:w="1820"/>
      </w:tblGrid>
      <w:tr w:rsidR="00D52648" w:rsidRPr="001F1D55" w14:paraId="3D54506A" w14:textId="77777777" w:rsidTr="00D52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0D56B81D" w14:textId="77777777" w:rsidR="00A67410" w:rsidRPr="001F1D55" w:rsidRDefault="00A67410" w:rsidP="00767C1D">
            <w:pPr>
              <w:spacing w:line="360" w:lineRule="auto"/>
              <w:jc w:val="center"/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  <w:t>Feature</w:t>
            </w:r>
          </w:p>
        </w:tc>
        <w:tc>
          <w:tcPr>
            <w:tcW w:w="1984" w:type="dxa"/>
            <w:vAlign w:val="center"/>
            <w:hideMark/>
          </w:tcPr>
          <w:p w14:paraId="52E1DD91" w14:textId="77777777" w:rsidR="00A67410" w:rsidRPr="001F1D55" w:rsidRDefault="00A67410" w:rsidP="00767C1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</w:pPr>
            <w:proofErr w:type="spellStart"/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  <w:t>DiaTwin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14:paraId="3DFDE3E2" w14:textId="77777777" w:rsidR="00A67410" w:rsidRPr="001F1D55" w:rsidRDefault="00A67410" w:rsidP="00767C1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  <w:t>CGM-Only</w:t>
            </w:r>
          </w:p>
        </w:tc>
        <w:tc>
          <w:tcPr>
            <w:tcW w:w="1417" w:type="dxa"/>
            <w:vAlign w:val="center"/>
            <w:hideMark/>
          </w:tcPr>
          <w:p w14:paraId="501C37A2" w14:textId="77777777" w:rsidR="00A67410" w:rsidRPr="001F1D55" w:rsidRDefault="00A67410" w:rsidP="00767C1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  <w:t>Basic Apps</w:t>
            </w:r>
          </w:p>
        </w:tc>
        <w:tc>
          <w:tcPr>
            <w:tcW w:w="1820" w:type="dxa"/>
            <w:vAlign w:val="center"/>
            <w:hideMark/>
          </w:tcPr>
          <w:p w14:paraId="658F1638" w14:textId="77777777" w:rsidR="00A67410" w:rsidRPr="001F1D55" w:rsidRDefault="00A67410" w:rsidP="00767C1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sz w:val="24"/>
                <w:szCs w:val="24"/>
                <w:lang w:val="en-DE" w:eastAsia="en-DE"/>
                <w14:ligatures w14:val="none"/>
              </w:rPr>
              <w:t>Insulin Pumps</w:t>
            </w:r>
          </w:p>
        </w:tc>
      </w:tr>
      <w:tr w:rsidR="00D52648" w:rsidRPr="001F1D55" w14:paraId="2240C28A" w14:textId="77777777" w:rsidTr="00D52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69DC5D3" w14:textId="77777777" w:rsidR="00A67410" w:rsidRPr="001F1D55" w:rsidRDefault="00A67410" w:rsidP="00A67410">
            <w:pPr>
              <w:spacing w:line="360" w:lineRule="auto"/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  <w:t>Intelligent Dosing Guidance</w:t>
            </w:r>
          </w:p>
        </w:tc>
        <w:tc>
          <w:tcPr>
            <w:tcW w:w="1984" w:type="dxa"/>
            <w:hideMark/>
          </w:tcPr>
          <w:p w14:paraId="4DBB2F41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YES (IOB, MOB, Projection)</w:t>
            </w:r>
          </w:p>
        </w:tc>
        <w:tc>
          <w:tcPr>
            <w:tcW w:w="1985" w:type="dxa"/>
            <w:hideMark/>
          </w:tcPr>
          <w:p w14:paraId="2110B744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NO</w:t>
            </w:r>
          </w:p>
        </w:tc>
        <w:tc>
          <w:tcPr>
            <w:tcW w:w="1417" w:type="dxa"/>
            <w:hideMark/>
          </w:tcPr>
          <w:p w14:paraId="19537FB3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NO</w:t>
            </w:r>
          </w:p>
        </w:tc>
        <w:tc>
          <w:tcPr>
            <w:tcW w:w="1820" w:type="dxa"/>
            <w:hideMark/>
          </w:tcPr>
          <w:p w14:paraId="3356C142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YES (</w:t>
            </w:r>
            <w:proofErr w:type="gramStart"/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Closed-loop</w:t>
            </w:r>
            <w:proofErr w:type="gramEnd"/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)</w:t>
            </w:r>
          </w:p>
        </w:tc>
      </w:tr>
      <w:tr w:rsidR="00D52648" w:rsidRPr="001F1D55" w14:paraId="2A44049D" w14:textId="77777777" w:rsidTr="00D52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973FF80" w14:textId="716544F5" w:rsidR="00A67410" w:rsidRPr="001F1D55" w:rsidRDefault="00A67410" w:rsidP="00A67410">
            <w:pPr>
              <w:spacing w:line="360" w:lineRule="auto"/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  <w:t xml:space="preserve">Cost Reduction </w:t>
            </w:r>
          </w:p>
        </w:tc>
        <w:tc>
          <w:tcPr>
            <w:tcW w:w="1984" w:type="dxa"/>
            <w:hideMark/>
          </w:tcPr>
          <w:p w14:paraId="621DA365" w14:textId="22DD66FA" w:rsidR="00A67410" w:rsidRPr="001F1D55" w:rsidRDefault="00A67410" w:rsidP="00A674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95% (€</w:t>
            </w:r>
            <w:r w:rsidR="00FC280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100</w:t>
            </w: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/year)</w:t>
            </w:r>
          </w:p>
        </w:tc>
        <w:tc>
          <w:tcPr>
            <w:tcW w:w="1985" w:type="dxa"/>
            <w:hideMark/>
          </w:tcPr>
          <w:p w14:paraId="261247FD" w14:textId="13FD5188" w:rsidR="00A67410" w:rsidRPr="001F1D55" w:rsidRDefault="00A67410" w:rsidP="00A674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NO (€3</w:t>
            </w:r>
            <w:r w:rsidR="00D5264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k</w:t>
            </w: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-5</w:t>
            </w:r>
            <w:r w:rsidR="00D5264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k</w:t>
            </w: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/</w:t>
            </w:r>
            <w:r w:rsidR="00D5264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year)</w:t>
            </w:r>
          </w:p>
        </w:tc>
        <w:tc>
          <w:tcPr>
            <w:tcW w:w="1417" w:type="dxa"/>
            <w:hideMark/>
          </w:tcPr>
          <w:p w14:paraId="266076C6" w14:textId="77777777" w:rsidR="00A67410" w:rsidRPr="001F1D55" w:rsidRDefault="00A67410" w:rsidP="00A674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N/A</w:t>
            </w:r>
          </w:p>
        </w:tc>
        <w:tc>
          <w:tcPr>
            <w:tcW w:w="1820" w:type="dxa"/>
            <w:hideMark/>
          </w:tcPr>
          <w:p w14:paraId="5DB956CE" w14:textId="68DE3F57" w:rsidR="00A67410" w:rsidRPr="001F1D55" w:rsidRDefault="00A67410" w:rsidP="00A674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NO (€10</w:t>
            </w:r>
            <w:r w:rsidR="00D5264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K</w:t>
            </w: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-16</w:t>
            </w:r>
            <w:r w:rsidR="00D52648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K</w:t>
            </w: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)</w:t>
            </w:r>
          </w:p>
        </w:tc>
      </w:tr>
      <w:tr w:rsidR="00D52648" w:rsidRPr="001F1D55" w14:paraId="75D74BDE" w14:textId="77777777" w:rsidTr="00D52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E71C478" w14:textId="1C45A1DF" w:rsidR="00A67410" w:rsidRPr="001F1D55" w:rsidRDefault="00F238A2" w:rsidP="00A67410">
            <w:pPr>
              <w:spacing w:line="360" w:lineRule="auto"/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  <w:t>W</w:t>
            </w:r>
            <w:r w:rsidR="00A67410" w:rsidRPr="001F1D55">
              <w:rPr>
                <w:rFonts w:asciiTheme="minorBidi" w:eastAsia="Times New Roman" w:hAnsiTheme="minorBidi"/>
                <w:b w:val="0"/>
                <w:bCs w:val="0"/>
                <w:kern w:val="0"/>
                <w:lang w:val="en-DE" w:eastAsia="en-DE"/>
                <w14:ligatures w14:val="none"/>
              </w:rPr>
              <w:t>ith Insulin Pens</w:t>
            </w:r>
          </w:p>
        </w:tc>
        <w:tc>
          <w:tcPr>
            <w:tcW w:w="1984" w:type="dxa"/>
            <w:hideMark/>
          </w:tcPr>
          <w:p w14:paraId="3D8AE35F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YES</w:t>
            </w:r>
          </w:p>
        </w:tc>
        <w:tc>
          <w:tcPr>
            <w:tcW w:w="1985" w:type="dxa"/>
            <w:hideMark/>
          </w:tcPr>
          <w:p w14:paraId="14417AB2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YES</w:t>
            </w:r>
          </w:p>
        </w:tc>
        <w:tc>
          <w:tcPr>
            <w:tcW w:w="1417" w:type="dxa"/>
            <w:hideMark/>
          </w:tcPr>
          <w:p w14:paraId="2F0CC792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YES</w:t>
            </w:r>
          </w:p>
        </w:tc>
        <w:tc>
          <w:tcPr>
            <w:tcW w:w="1820" w:type="dxa"/>
            <w:hideMark/>
          </w:tcPr>
          <w:p w14:paraId="1850FBC4" w14:textId="77777777" w:rsidR="00A67410" w:rsidRPr="001F1D55" w:rsidRDefault="00A67410" w:rsidP="00A674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</w:pPr>
            <w:r w:rsidRPr="001F1D55">
              <w:rPr>
                <w:rFonts w:asciiTheme="minorBidi" w:eastAsia="Times New Roman" w:hAnsiTheme="minorBidi"/>
                <w:kern w:val="0"/>
                <w:lang w:val="en-DE" w:eastAsia="en-DE"/>
                <w14:ligatures w14:val="none"/>
              </w:rPr>
              <w:t>NO</w:t>
            </w:r>
          </w:p>
        </w:tc>
      </w:tr>
    </w:tbl>
    <w:p w14:paraId="438ED5C5" w14:textId="59CAC5FB" w:rsidR="00A67410" w:rsidRPr="001F1D55" w:rsidRDefault="00A67410" w:rsidP="00D52648">
      <w:pPr>
        <w:spacing w:before="100" w:beforeAutospacing="1" w:after="80" w:line="360" w:lineRule="auto"/>
        <w:outlineLvl w:val="2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proofErr w:type="spellStart"/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DiaTwin</w:t>
      </w:r>
      <w:proofErr w:type="spellEnd"/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delivers significant benefits: </w:t>
      </w:r>
      <w:r w:rsidR="00D52648"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Post</w:t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-CGM Users</w:t>
      </w:r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save €3,000-5,000/year while maintaining clinical precision. </w:t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Continuous CGM Users</w:t>
      </w:r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gain analytical enhancement and parameter auto-optimization. </w:t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Physicians</w:t>
      </w:r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increase efficiency by reducing parameter validation time from months to weeks and gain transparency via remote monitoring</w:t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. Healthcare Systems</w:t>
      </w:r>
      <w:r w:rsidRPr="001F1D55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realize substantial cost savings (€10,500-27,000 per patient/year in avoided ER visits) and promote health equity.</w:t>
      </w:r>
    </w:p>
    <w:p w14:paraId="59ABCF51" w14:textId="77777777" w:rsidR="00A67410" w:rsidRPr="007B6001" w:rsidRDefault="00A67410" w:rsidP="00E6171D">
      <w:pPr>
        <w:spacing w:before="80" w:after="100" w:line="240" w:lineRule="auto"/>
        <w:outlineLvl w:val="1"/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</w:pPr>
      <w:r w:rsidRPr="007B6001">
        <w:rPr>
          <w:rFonts w:asciiTheme="minorBidi" w:eastAsia="Times New Roman" w:hAnsiTheme="minorBidi"/>
          <w:b/>
          <w:bCs/>
          <w:color w:val="45B0E1" w:themeColor="accent1" w:themeTint="99"/>
          <w:kern w:val="0"/>
          <w:sz w:val="32"/>
          <w:szCs w:val="32"/>
          <w:lang w:val="en-DE" w:eastAsia="en-DE"/>
          <w14:ligatures w14:val="none"/>
        </w:rPr>
        <w:t>4. Know-how support</w:t>
      </w:r>
    </w:p>
    <w:p w14:paraId="0BA463BD" w14:textId="1D2CE9EE" w:rsidR="00D52648" w:rsidRPr="00D52648" w:rsidRDefault="00D52648" w:rsidP="000C3B4D">
      <w:pPr>
        <w:spacing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Team Lead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 Ali Attia – Pharmacist, M.Sc. Digital Health (DIT); 5+ years Digital Transformation Officer in healthcare.</w:t>
      </w:r>
      <w:r w:rsidR="000C3B4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br/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Academic Foundation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: Master's thesis at DIT (grade 1.6 "Excellent"), Core algorithms (pharmacokinetic </w:t>
      </w:r>
      <w:proofErr w:type="spellStart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modeling</w:t>
      </w:r>
      <w:proofErr w:type="spellEnd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per S3 Guidelines, dual Net Effect, MOB) validated by certified diabetologist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Prof. Dr. Klaus </w:t>
      </w:r>
      <w:proofErr w:type="spellStart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Parhofer</w:t>
      </w:r>
      <w:proofErr w:type="spellEnd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(LMU Munich). (Clinical Utility: 8.7/10).</w:t>
      </w:r>
    </w:p>
    <w:p w14:paraId="0E8B26EB" w14:textId="5C06295B" w:rsidR="00607527" w:rsidRPr="000C3B4D" w:rsidRDefault="00D52648" w:rsidP="000C3B4D">
      <w:pPr>
        <w:spacing w:line="360" w:lineRule="auto"/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</w:pP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EXIST Phase I Team Expansion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Clinical Research Coordinator (50%)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, 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Full-Stack Software Developer (50%)</w:t>
      </w:r>
      <w:r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and 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Co-Founder for Business/</w:t>
      </w:r>
      <w:proofErr w:type="spellStart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DiGA</w:t>
      </w:r>
      <w:proofErr w:type="spellEnd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Strategy (recruiting)</w:t>
      </w:r>
      <w:r w:rsidR="000C3B4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br/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Advisory Board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: Prof. Dr. Katarina Braune (Charité/HPI) – clinical trial co-PI; Prof. Dr. Klaus </w:t>
      </w:r>
      <w:proofErr w:type="spellStart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Parhofer</w:t>
      </w:r>
      <w:proofErr w:type="spellEnd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 xml:space="preserve"> (LMU) – protocol advisor.</w:t>
      </w:r>
      <w:r w:rsidR="000C3B4D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br/>
      </w:r>
      <w:r w:rsidRPr="00D52648">
        <w:rPr>
          <w:rFonts w:asciiTheme="minorBidi" w:eastAsia="Times New Roman" w:hAnsiTheme="minorBidi"/>
          <w:b/>
          <w:bCs/>
          <w:kern w:val="0"/>
          <w:sz w:val="24"/>
          <w:szCs w:val="24"/>
          <w:lang w:val="en-DE" w:eastAsia="en-DE"/>
          <w14:ligatures w14:val="none"/>
        </w:rPr>
        <w:t>Partnerships</w:t>
      </w:r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: 3 clinical trial sites (Charité, LMU network); regulatory consultants (</w:t>
      </w:r>
      <w:proofErr w:type="spellStart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ForTra</w:t>
      </w:r>
      <w:proofErr w:type="spellEnd"/>
      <w:r w:rsidRPr="00D52648">
        <w:rPr>
          <w:rFonts w:asciiTheme="minorBidi" w:eastAsia="Times New Roman" w:hAnsiTheme="minorBidi"/>
          <w:kern w:val="0"/>
          <w:sz w:val="24"/>
          <w:szCs w:val="24"/>
          <w:lang w:val="en-DE" w:eastAsia="en-DE"/>
          <w14:ligatures w14:val="none"/>
        </w:rPr>
        <w:t>); API discussions with Abbott/Dexcom.</w:t>
      </w:r>
    </w:p>
    <w:sectPr w:rsidR="00607527" w:rsidRPr="000C3B4D" w:rsidSect="001F1D55">
      <w:headerReference w:type="default" r:id="rId12"/>
      <w:footerReference w:type="default" r:id="rId13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AD71" w14:textId="77777777" w:rsidR="00A53564" w:rsidRDefault="00A53564" w:rsidP="004E49E2">
      <w:pPr>
        <w:spacing w:after="0" w:line="240" w:lineRule="auto"/>
      </w:pPr>
      <w:r>
        <w:separator/>
      </w:r>
    </w:p>
  </w:endnote>
  <w:endnote w:type="continuationSeparator" w:id="0">
    <w:p w14:paraId="01383B5F" w14:textId="77777777" w:rsidR="00A53564" w:rsidRDefault="00A53564" w:rsidP="004E4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440E" w14:textId="6400F037" w:rsidR="00F7238B" w:rsidRPr="00F7238B" w:rsidRDefault="00F7238B" w:rsidP="00F7238B">
    <w:pPr>
      <w:jc w:val="right"/>
      <w:rPr>
        <w:color w:val="A6A6A6" w:themeColor="background1" w:themeShade="A6"/>
        <w:sz w:val="16"/>
        <w:szCs w:val="16"/>
      </w:rPr>
    </w:pPr>
    <w:r w:rsidRPr="00F7238B">
      <w:rPr>
        <w:color w:val="A6A6A6" w:themeColor="background1" w:themeShade="A6"/>
        <w:sz w:val="16"/>
        <w:szCs w:val="16"/>
      </w:rPr>
      <w:t>CONFIDENTIAL &amp; PROPRIETARY | © 202</w:t>
    </w:r>
    <w:r w:rsidRPr="00F7238B">
      <w:rPr>
        <w:color w:val="A6A6A6" w:themeColor="background1" w:themeShade="A6"/>
        <w:sz w:val="16"/>
        <w:szCs w:val="16"/>
      </w:rPr>
      <w:t>5</w:t>
    </w:r>
    <w:r w:rsidRPr="00F7238B">
      <w:rPr>
        <w:color w:val="A6A6A6" w:themeColor="background1" w:themeShade="A6"/>
        <w:sz w:val="16"/>
        <w:szCs w:val="16"/>
      </w:rPr>
      <w:t xml:space="preserve"> Ali Attia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474E" w14:textId="77777777" w:rsidR="00A53564" w:rsidRDefault="00A53564" w:rsidP="004E49E2">
      <w:pPr>
        <w:spacing w:after="0" w:line="240" w:lineRule="auto"/>
      </w:pPr>
      <w:r>
        <w:separator/>
      </w:r>
    </w:p>
  </w:footnote>
  <w:footnote w:type="continuationSeparator" w:id="0">
    <w:p w14:paraId="79AC86CD" w14:textId="77777777" w:rsidR="00A53564" w:rsidRDefault="00A53564" w:rsidP="004E4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1D9C" w14:textId="0FFF833B" w:rsidR="004E49E2" w:rsidRDefault="009A648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8188FC" wp14:editId="48C553BC">
          <wp:simplePos x="0" y="0"/>
          <wp:positionH relativeFrom="margin">
            <wp:align>left</wp:align>
          </wp:positionH>
          <wp:positionV relativeFrom="paragraph">
            <wp:posOffset>-396240</wp:posOffset>
          </wp:positionV>
          <wp:extent cx="1082040" cy="784860"/>
          <wp:effectExtent l="0" t="0" r="3810" b="0"/>
          <wp:wrapTight wrapText="bothSides">
            <wp:wrapPolygon edited="0">
              <wp:start x="0" y="0"/>
              <wp:lineTo x="0" y="20971"/>
              <wp:lineTo x="21296" y="20971"/>
              <wp:lineTo x="21296" y="0"/>
              <wp:lineTo x="0" y="0"/>
            </wp:wrapPolygon>
          </wp:wrapTight>
          <wp:docPr id="7508584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9E2" w:rsidRPr="004E49E2">
      <w:rPr>
        <w:noProof/>
      </w:rPr>
      <w:drawing>
        <wp:anchor distT="0" distB="0" distL="114300" distR="114300" simplePos="0" relativeHeight="251658240" behindDoc="1" locked="0" layoutInCell="1" allowOverlap="1" wp14:anchorId="40CEC2BF" wp14:editId="11894278">
          <wp:simplePos x="0" y="0"/>
          <wp:positionH relativeFrom="column">
            <wp:posOffset>3131820</wp:posOffset>
          </wp:positionH>
          <wp:positionV relativeFrom="paragraph">
            <wp:posOffset>-297180</wp:posOffset>
          </wp:positionV>
          <wp:extent cx="3238499" cy="480060"/>
          <wp:effectExtent l="0" t="0" r="635" b="0"/>
          <wp:wrapTight wrapText="bothSides">
            <wp:wrapPolygon edited="0">
              <wp:start x="0" y="0"/>
              <wp:lineTo x="0" y="20571"/>
              <wp:lineTo x="21477" y="20571"/>
              <wp:lineTo x="21477" y="0"/>
              <wp:lineTo x="0" y="0"/>
            </wp:wrapPolygon>
          </wp:wrapTight>
          <wp:docPr id="1891147813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147813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499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3BB"/>
    <w:multiLevelType w:val="multilevel"/>
    <w:tmpl w:val="88E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938"/>
    <w:multiLevelType w:val="multilevel"/>
    <w:tmpl w:val="3AD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7066"/>
    <w:multiLevelType w:val="multilevel"/>
    <w:tmpl w:val="ABC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857FB"/>
    <w:multiLevelType w:val="multilevel"/>
    <w:tmpl w:val="169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957B0"/>
    <w:multiLevelType w:val="multilevel"/>
    <w:tmpl w:val="A87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F3075"/>
    <w:multiLevelType w:val="multilevel"/>
    <w:tmpl w:val="8F0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332460">
    <w:abstractNumId w:val="0"/>
  </w:num>
  <w:num w:numId="2" w16cid:durableId="1853639437">
    <w:abstractNumId w:val="2"/>
  </w:num>
  <w:num w:numId="3" w16cid:durableId="794714011">
    <w:abstractNumId w:val="1"/>
  </w:num>
  <w:num w:numId="4" w16cid:durableId="119298811">
    <w:abstractNumId w:val="4"/>
  </w:num>
  <w:num w:numId="5" w16cid:durableId="819928080">
    <w:abstractNumId w:val="3"/>
  </w:num>
  <w:num w:numId="6" w16cid:durableId="2012368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32"/>
    <w:rsid w:val="00065EDF"/>
    <w:rsid w:val="000C3B4D"/>
    <w:rsid w:val="001B7C44"/>
    <w:rsid w:val="001F1D55"/>
    <w:rsid w:val="002F64CB"/>
    <w:rsid w:val="0034120E"/>
    <w:rsid w:val="0036036F"/>
    <w:rsid w:val="00492438"/>
    <w:rsid w:val="004E49E2"/>
    <w:rsid w:val="004F3422"/>
    <w:rsid w:val="00601A32"/>
    <w:rsid w:val="00607527"/>
    <w:rsid w:val="00753A10"/>
    <w:rsid w:val="0076517B"/>
    <w:rsid w:val="00767C1D"/>
    <w:rsid w:val="007B6001"/>
    <w:rsid w:val="009A648B"/>
    <w:rsid w:val="00A31645"/>
    <w:rsid w:val="00A53564"/>
    <w:rsid w:val="00A54AEC"/>
    <w:rsid w:val="00A67410"/>
    <w:rsid w:val="00AD193F"/>
    <w:rsid w:val="00B34E44"/>
    <w:rsid w:val="00C92963"/>
    <w:rsid w:val="00D14693"/>
    <w:rsid w:val="00D52648"/>
    <w:rsid w:val="00E077D0"/>
    <w:rsid w:val="00E426DA"/>
    <w:rsid w:val="00E6171D"/>
    <w:rsid w:val="00ED4478"/>
    <w:rsid w:val="00F238A2"/>
    <w:rsid w:val="00F7238B"/>
    <w:rsid w:val="00FC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552C98"/>
  <w15:chartTrackingRefBased/>
  <w15:docId w15:val="{8217D59D-7125-4F21-A77B-C871BFD3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32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32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32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32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32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32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32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60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32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32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60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32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60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32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601A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8A2"/>
    <w:rPr>
      <w:rFonts w:ascii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44"/>
    <w:rsid w:val="00767C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316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6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9E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4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9E2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4E4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9E2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8272591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med.ncbi.nlm.nih.gov/36059268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arketsandmarkets.com/Market-Reports/digital-diabetes-management-market-14472589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med.ncbi.nlm.nih.gov/39699995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32268-77DB-4568-85E7-515305F7B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Attia</dc:creator>
  <cp:keywords/>
  <dc:description/>
  <cp:lastModifiedBy>Ali Attia</cp:lastModifiedBy>
  <cp:revision>6</cp:revision>
  <cp:lastPrinted>2026-01-29T23:16:00Z</cp:lastPrinted>
  <dcterms:created xsi:type="dcterms:W3CDTF">2025-12-15T00:24:00Z</dcterms:created>
  <dcterms:modified xsi:type="dcterms:W3CDTF">2026-01-29T23:16:00Z</dcterms:modified>
</cp:coreProperties>
</file>