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333D" w14:textId="77777777" w:rsidR="006E28AB" w:rsidRDefault="00000000">
      <w:pPr>
        <w:pStyle w:val="MdHeading1"/>
      </w:pPr>
      <w:r>
        <w:t>Team XXX</w:t>
      </w:r>
    </w:p>
    <w:p w14:paraId="76F28E36" w14:textId="77777777" w:rsidR="006E28AB" w:rsidRDefault="00000000">
      <w:pPr>
        <w:pStyle w:val="MdHeading2"/>
      </w:pPr>
      <w:r>
        <w:t>1. Innovation</w:t>
      </w:r>
    </w:p>
    <w:p w14:paraId="5246B2EA" w14:textId="77777777" w:rsidR="006E28AB" w:rsidRDefault="00000000">
      <w:pPr>
        <w:pStyle w:val="MdHeading3"/>
      </w:pPr>
      <w:r>
        <w:t>Description of the problem you want to solve with your idea.</w:t>
      </w:r>
    </w:p>
    <w:p w14:paraId="7D4A9A3D" w14:textId="77777777" w:rsidR="006E28AB" w:rsidRDefault="00000000" w:rsidP="00EF2231">
      <w:pPr>
        <w:pStyle w:val="MdParagraph"/>
        <w:spacing w:line="360" w:lineRule="auto"/>
      </w:pPr>
      <w:r>
        <w:t xml:space="preserve">The central challenge in modern diabetes care is the </w:t>
      </w:r>
      <w:r>
        <w:rPr>
          <w:rStyle w:val="MdStrong"/>
        </w:rPr>
        <w:t>"precision gap"</w:t>
      </w:r>
      <w:r>
        <w:t xml:space="preserve">. While Continuous Glucose Monitors (CGM) are crucial for initial parameter calibration, approximately </w:t>
      </w:r>
      <w:r>
        <w:rPr>
          <w:rStyle w:val="MdStrong"/>
        </w:rPr>
        <w:t>85% of patients discontinue continuous use</w:t>
      </w:r>
      <w:r>
        <w:t xml:space="preserve"> due to the high annual cost (€3,000-5,000), skin irritation, or device fatigue. These patients, who still face complex insulin dosing challenges, are left with basic data-logging applications that provide no intelligent, personalized guidance. This results in a critical loss of precision and sustained suboptimal </w:t>
      </w:r>
      <w:proofErr w:type="spellStart"/>
      <w:r>
        <w:t>glycemic</w:t>
      </w:r>
      <w:proofErr w:type="spellEnd"/>
      <w:r>
        <w:t xml:space="preserve"> control for </w:t>
      </w:r>
      <w:proofErr w:type="gramStart"/>
      <w:r>
        <w:t>the majority of</w:t>
      </w:r>
      <w:proofErr w:type="gramEnd"/>
      <w:r>
        <w:t xml:space="preserve"> the Type 1 Diabetes population.</w:t>
      </w:r>
    </w:p>
    <w:p w14:paraId="320C1132" w14:textId="77777777" w:rsidR="006E28AB" w:rsidRDefault="006E28AB">
      <w:pPr>
        <w:pStyle w:val="MdSpace"/>
        <w:spacing w:after="60"/>
      </w:pPr>
    </w:p>
    <w:p w14:paraId="13FC6889" w14:textId="77777777" w:rsidR="006E28AB" w:rsidRDefault="00000000">
      <w:pPr>
        <w:pStyle w:val="MdHeading3"/>
      </w:pPr>
      <w:r>
        <w:t>Description of the technology or product innovation or the knowledge-based innovative service.</w:t>
      </w:r>
    </w:p>
    <w:p w14:paraId="5542FA2E" w14:textId="77777777" w:rsidR="006E28AB" w:rsidRDefault="00000000" w:rsidP="00EF2231">
      <w:pPr>
        <w:pStyle w:val="MdParagraph"/>
        <w:spacing w:line="360" w:lineRule="auto"/>
      </w:pPr>
      <w:proofErr w:type="spellStart"/>
      <w:r>
        <w:rPr>
          <w:rStyle w:val="MdStrong"/>
        </w:rPr>
        <w:t>DiaTwin</w:t>
      </w:r>
      <w:proofErr w:type="spellEnd"/>
      <w:r>
        <w:t xml:space="preserve"> is an open-source Digital Twin Platform that aims to maintain CGM-level </w:t>
      </w:r>
      <w:proofErr w:type="spellStart"/>
      <w:r>
        <w:t>glycemic</w:t>
      </w:r>
      <w:proofErr w:type="spellEnd"/>
      <w:r>
        <w:t xml:space="preserve"> outcomes using only 3-4 daily finger-stick readings. The platform moves beyond passive tracking by actively simulating the patient's unique glucose-insulin-meal dynamics. This is achieved through a dual-user architecture: supporting </w:t>
      </w:r>
      <w:r>
        <w:rPr>
          <w:rStyle w:val="MdStrong"/>
        </w:rPr>
        <w:t>post-CGM patients (85% market)</w:t>
      </w:r>
      <w:r>
        <w:t xml:space="preserve"> with finger-stick data and </w:t>
      </w:r>
      <w:r>
        <w:rPr>
          <w:rStyle w:val="MdStrong"/>
        </w:rPr>
        <w:t>continuous CGM users (15% market)</w:t>
      </w:r>
      <w:r>
        <w:t xml:space="preserve"> with an intelligent analysis layer for enhanced outcomes.</w:t>
      </w:r>
    </w:p>
    <w:p w14:paraId="05848936" w14:textId="77777777" w:rsidR="006E28AB" w:rsidRDefault="006E28AB">
      <w:pPr>
        <w:pStyle w:val="MdSpace"/>
        <w:spacing w:after="60"/>
      </w:pPr>
    </w:p>
    <w:p w14:paraId="48908F91" w14:textId="77777777" w:rsidR="006E28AB" w:rsidRDefault="00000000">
      <w:pPr>
        <w:pStyle w:val="MdParagraph"/>
      </w:pPr>
      <w:r>
        <w:t>The core technological innovation is summarized in Table 1:</w:t>
      </w:r>
    </w:p>
    <w:p w14:paraId="6CE09B4B" w14:textId="77777777" w:rsidR="006E28AB" w:rsidRDefault="006E28A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3935"/>
        <w:gridCol w:w="3386"/>
      </w:tblGrid>
      <w:tr w:rsidR="006E28AB" w14:paraId="1F16DA9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827B" w14:textId="77777777" w:rsidR="006E28AB" w:rsidRDefault="00000000">
            <w:pPr>
              <w:pStyle w:val="MdTableHeader"/>
            </w:pPr>
            <w: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49ACC" w14:textId="77777777" w:rsidR="006E28AB" w:rsidRDefault="00000000">
            <w:pPr>
              <w:pStyle w:val="MdTableHeader"/>
            </w:pPr>
            <w: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37687" w14:textId="77777777" w:rsidR="006E28AB" w:rsidRDefault="00000000">
            <w:pPr>
              <w:pStyle w:val="MdTableHeader"/>
            </w:pPr>
            <w:r>
              <w:t>Benefit</w:t>
            </w:r>
          </w:p>
        </w:tc>
      </w:tr>
      <w:tr w:rsidR="006E28AB" w14:paraId="5778F3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43AD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Dual Net Effect System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15BF" w14:textId="77777777" w:rsidR="006E28AB" w:rsidRDefault="00000000">
            <w:pPr>
              <w:pStyle w:val="MdTableCell"/>
            </w:pPr>
            <w:r>
              <w:t>Fixed-baseline analysis for doctors (validation); dynamic-baseline projection for patients (real-time decision support).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0851" w14:textId="77777777" w:rsidR="006E28AB" w:rsidRDefault="00000000">
            <w:pPr>
              <w:pStyle w:val="MdTableCell"/>
            </w:pPr>
            <w:r>
              <w:t>Aligns clinical rigor with patient usability and empowerment.</w:t>
            </w:r>
          </w:p>
        </w:tc>
      </w:tr>
      <w:tr w:rsidR="006E28AB" w14:paraId="54B3AE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1A9E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Intelligent Glucose Estimation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0E24" w14:textId="77777777" w:rsidR="006E28AB" w:rsidRDefault="00000000">
            <w:pPr>
              <w:pStyle w:val="MdTableCell"/>
            </w:pPr>
            <w:r>
              <w:t xml:space="preserve">Physiological </w:t>
            </w:r>
            <w:proofErr w:type="spellStart"/>
            <w:r>
              <w:t>modeling</w:t>
            </w:r>
            <w:proofErr w:type="spellEnd"/>
            <w:r>
              <w:t xml:space="preserve"> fills data gaps between finger-stick readings with confidence-weighted estimates.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66C1" w14:textId="77777777" w:rsidR="006E28AB" w:rsidRDefault="00000000">
            <w:pPr>
              <w:pStyle w:val="MdTableCell"/>
            </w:pPr>
            <w:r>
              <w:t>Maintains CGM-level precision without the need for continuous sensor hardware.</w:t>
            </w:r>
          </w:p>
        </w:tc>
      </w:tr>
      <w:tr w:rsidR="006E28AB" w14:paraId="73E45A4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2A5E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Meal-on-Board (MOB) System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0C73" w14:textId="77777777" w:rsidR="006E28AB" w:rsidRDefault="00000000">
            <w:pPr>
              <w:pStyle w:val="MdTableCell"/>
            </w:pPr>
            <w:r>
              <w:t>First open-source platform tracking active carbohydrate absorption across 5 meal types.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6960" w14:textId="77777777" w:rsidR="006E28AB" w:rsidRDefault="00000000">
            <w:pPr>
              <w:pStyle w:val="MdTableCell"/>
            </w:pPr>
            <w:r>
              <w:t>Provides dynamic, personalized meal impact tracking, a key missing feature in competitors.</w:t>
            </w:r>
          </w:p>
        </w:tc>
      </w:tr>
      <w:tr w:rsidR="006E28AB" w14:paraId="398BD6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E7F5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Future Glucose Projection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D75" w14:textId="77777777" w:rsidR="006E28AB" w:rsidRDefault="00000000">
            <w:pPr>
              <w:pStyle w:val="MdTableCell"/>
            </w:pPr>
            <w:r>
              <w:t>Projects 4-hour glucose trajectory based on current state, active insulin (IOB), and meal absorption (MOB).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F7F8" w14:textId="77777777" w:rsidR="006E28AB" w:rsidRDefault="00000000">
            <w:pPr>
              <w:pStyle w:val="MdTableCell"/>
            </w:pPr>
            <w:r>
              <w:t xml:space="preserve">Enables proactive decision support to prevent hypo- and </w:t>
            </w:r>
            <w:proofErr w:type="spellStart"/>
            <w:r>
              <w:t>hyperglycemia</w:t>
            </w:r>
            <w:proofErr w:type="spellEnd"/>
            <w:r>
              <w:t>.</w:t>
            </w:r>
          </w:p>
        </w:tc>
      </w:tr>
    </w:tbl>
    <w:p w14:paraId="44AF3FE3" w14:textId="77777777" w:rsidR="006E28AB" w:rsidRDefault="00000000">
      <w:pPr>
        <w:pStyle w:val="MdHeading3"/>
      </w:pPr>
      <w:r>
        <w:t>Development approach and current state of implementation.</w:t>
      </w:r>
    </w:p>
    <w:p w14:paraId="1232CB33" w14:textId="77777777" w:rsidR="006E28AB" w:rsidRDefault="00000000">
      <w:pPr>
        <w:pStyle w:val="MdParagraph"/>
      </w:pPr>
      <w:r>
        <w:t xml:space="preserve">The project is currently at </w:t>
      </w:r>
      <w:r>
        <w:rPr>
          <w:rStyle w:val="MdStrong"/>
        </w:rPr>
        <w:t>TRL 4-5</w:t>
      </w:r>
      <w:r>
        <w:t xml:space="preserve">. A functional web-based prototype, including the core algorithms (IOB, MOB, Net Effect system), was developed and successfully completed as a </w:t>
      </w:r>
      <w:proofErr w:type="gramStart"/>
      <w:r>
        <w:t>Master's</w:t>
      </w:r>
      <w:proofErr w:type="gramEnd"/>
      <w:r>
        <w:t xml:space="preserve"> thesis (DIT, grade 1.6). The work was evaluated as "Excellent" by Prof. Dr. Klaus </w:t>
      </w:r>
      <w:proofErr w:type="spellStart"/>
      <w:r>
        <w:t>Parhofer</w:t>
      </w:r>
      <w:proofErr w:type="spellEnd"/>
      <w:r>
        <w:t xml:space="preserve"> (LMU Munich, Chief of Endocrinology), validating the scientific foundation. The next phase (TRL 6-7) requires </w:t>
      </w:r>
      <w:r>
        <w:rPr>
          <w:rStyle w:val="MdStrong"/>
        </w:rPr>
        <w:t>clinical validation</w:t>
      </w:r>
      <w:r>
        <w:t xml:space="preserve"> with 100 Type 1 Diabetes patients over six months to prove non-inferiority for post-CGM users and enhancement for continuous CGM users. This will be followed by </w:t>
      </w:r>
      <w:r>
        <w:rPr>
          <w:rStyle w:val="MdStrong"/>
        </w:rPr>
        <w:t>CE marking</w:t>
      </w:r>
      <w:r>
        <w:t xml:space="preserve"> (Medical Device Class </w:t>
      </w:r>
      <w:proofErr w:type="spellStart"/>
      <w:r>
        <w:t>IIa</w:t>
      </w:r>
      <w:proofErr w:type="spellEnd"/>
      <w:r>
        <w:t xml:space="preserve">) and </w:t>
      </w:r>
      <w:proofErr w:type="spellStart"/>
      <w:r>
        <w:rPr>
          <w:rStyle w:val="MdStrong"/>
        </w:rPr>
        <w:t>DiGA</w:t>
      </w:r>
      <w:proofErr w:type="spellEnd"/>
      <w:r>
        <w:rPr>
          <w:rStyle w:val="MdStrong"/>
        </w:rPr>
        <w:t xml:space="preserve"> certification</w:t>
      </w:r>
      <w:r>
        <w:t xml:space="preserve"> through the </w:t>
      </w:r>
      <w:proofErr w:type="spellStart"/>
      <w:r>
        <w:t>BfArM</w:t>
      </w:r>
      <w:proofErr w:type="spellEnd"/>
      <w:r>
        <w:t>.</w:t>
      </w:r>
    </w:p>
    <w:p w14:paraId="41AA0DF0" w14:textId="77777777" w:rsidR="006E28AB" w:rsidRDefault="006E28AB">
      <w:pPr>
        <w:pStyle w:val="MdSpace"/>
        <w:spacing w:after="60"/>
      </w:pPr>
    </w:p>
    <w:p w14:paraId="33E582AF" w14:textId="77777777" w:rsidR="006E28AB" w:rsidRDefault="006E28AB">
      <w:pPr>
        <w:pStyle w:val="MdHr"/>
        <w:pBdr>
          <w:bottom w:val="single" w:sz="6" w:space="1" w:color="auto"/>
        </w:pBdr>
      </w:pPr>
    </w:p>
    <w:p w14:paraId="06D34CE4" w14:textId="77777777" w:rsidR="006E28AB" w:rsidRDefault="006E28AB">
      <w:pPr>
        <w:pStyle w:val="MdSpace"/>
        <w:spacing w:after="60"/>
      </w:pPr>
    </w:p>
    <w:p w14:paraId="73398E15" w14:textId="77777777" w:rsidR="006E28AB" w:rsidRDefault="00000000">
      <w:pPr>
        <w:pStyle w:val="MdHeading2"/>
      </w:pPr>
      <w:r>
        <w:t>2. Market situation</w:t>
      </w:r>
    </w:p>
    <w:p w14:paraId="020CB1DF" w14:textId="77777777" w:rsidR="006E28AB" w:rsidRDefault="00000000">
      <w:pPr>
        <w:pStyle w:val="MdHeading3"/>
      </w:pPr>
      <w:r>
        <w:t>Data on market volume, market segments, forecast market growth and market potential.</w:t>
      </w:r>
    </w:p>
    <w:p w14:paraId="3C105D67" w14:textId="77777777" w:rsidR="006E28AB" w:rsidRDefault="00000000">
      <w:pPr>
        <w:pStyle w:val="MdParagraph"/>
      </w:pPr>
      <w:r>
        <w:t xml:space="preserve">The primary target market is Germany, which has </w:t>
      </w:r>
      <w:r>
        <w:rPr>
          <w:rStyle w:val="MdStrong"/>
        </w:rPr>
        <w:t>8.5 million</w:t>
      </w:r>
      <w:r>
        <w:t xml:space="preserve"> total diabetes patients, with </w:t>
      </w:r>
      <w:r>
        <w:rPr>
          <w:rStyle w:val="MdStrong"/>
        </w:rPr>
        <w:t>2.1 million</w:t>
      </w:r>
      <w:r>
        <w:t xml:space="preserve"> requiring insulin dosing precision. The market is segmented into two key groups: the primary target of </w:t>
      </w:r>
      <w:r>
        <w:rPr>
          <w:rStyle w:val="MdStrong"/>
        </w:rPr>
        <w:t>1.8 million post-CGM patients</w:t>
      </w:r>
      <w:r>
        <w:t xml:space="preserve"> (85% of the T1D market) and the premium segment of </w:t>
      </w:r>
      <w:r>
        <w:rPr>
          <w:rStyle w:val="MdStrong"/>
        </w:rPr>
        <w:t>210,000-315,000 continuous CGM users</w:t>
      </w:r>
      <w:r>
        <w:t xml:space="preserve"> seeking enhanced analysis.</w:t>
      </w:r>
    </w:p>
    <w:p w14:paraId="5ADC0465" w14:textId="77777777" w:rsidR="006E28AB" w:rsidRDefault="006E28AB">
      <w:pPr>
        <w:pStyle w:val="MdSpace"/>
        <w:spacing w:after="60"/>
      </w:pPr>
    </w:p>
    <w:p w14:paraId="45A18E94" w14:textId="77777777" w:rsidR="006E28AB" w:rsidRDefault="00000000">
      <w:pPr>
        <w:pStyle w:val="MdParagraph"/>
      </w:pPr>
      <w:r>
        <w:t xml:space="preserve">The market potential is significant, driven by strong growth and </w:t>
      </w:r>
      <w:proofErr w:type="spellStart"/>
      <w:r>
        <w:t>favorable</w:t>
      </w:r>
      <w:proofErr w:type="spellEnd"/>
      <w:r>
        <w:t xml:space="preserve"> policy. The digital health technology sector is experiencing a </w:t>
      </w:r>
      <w:r>
        <w:rPr>
          <w:rStyle w:val="MdStrong"/>
        </w:rPr>
        <w:t>22% CAGR</w:t>
      </w:r>
      <w:r>
        <w:t xml:space="preserve"> (2024-2030). The expansion of the </w:t>
      </w:r>
      <w:proofErr w:type="spellStart"/>
      <w:r>
        <w:rPr>
          <w:rStyle w:val="MdStrong"/>
        </w:rPr>
        <w:t>DiGA</w:t>
      </w:r>
      <w:proofErr w:type="spellEnd"/>
      <w:r>
        <w:rPr>
          <w:rStyle w:val="MdStrong"/>
        </w:rPr>
        <w:t xml:space="preserve"> market</w:t>
      </w:r>
      <w:r>
        <w:t xml:space="preserve"> provides a clear reimbursement pathway, covering digital health apps for 73 million Germans with statutory health insurance.</w:t>
      </w:r>
    </w:p>
    <w:p w14:paraId="61E78F37" w14:textId="77777777" w:rsidR="006E28AB" w:rsidRDefault="006E28AB">
      <w:pPr>
        <w:pStyle w:val="MdSpace"/>
        <w:spacing w:after="60"/>
      </w:pPr>
    </w:p>
    <w:p w14:paraId="0B6E2DD1" w14:textId="77777777" w:rsidR="006E28AB" w:rsidRDefault="00000000">
      <w:pPr>
        <w:pStyle w:val="MdParagraph"/>
      </w:pPr>
      <w:r>
        <w:t>The projected 3-year revenue potential, based on conservative penetration rates, is detailed in Table 2:</w:t>
      </w:r>
    </w:p>
    <w:p w14:paraId="1CE04F91" w14:textId="77777777" w:rsidR="006E28AB" w:rsidRDefault="006E28A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9"/>
        <w:gridCol w:w="1962"/>
        <w:gridCol w:w="2073"/>
        <w:gridCol w:w="1762"/>
      </w:tblGrid>
      <w:tr w:rsidR="006E28AB" w14:paraId="30513EE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940B2" w14:textId="77777777" w:rsidR="006E28AB" w:rsidRDefault="00000000">
            <w:pPr>
              <w:pStyle w:val="MdTableHeader"/>
            </w:pPr>
            <w:r>
              <w:t>Segment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3D065" w14:textId="77777777" w:rsidR="006E28AB" w:rsidRDefault="00000000">
            <w:pPr>
              <w:pStyle w:val="MdTableHeader"/>
            </w:pPr>
            <w:r>
              <w:t>Addressable Users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E8377" w14:textId="77777777" w:rsidR="006E28AB" w:rsidRDefault="00000000">
            <w:pPr>
              <w:pStyle w:val="MdTableHeader"/>
            </w:pPr>
            <w:r>
              <w:t>Revenue/User/Year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63EBB" w14:textId="77777777" w:rsidR="006E28AB" w:rsidRDefault="00000000">
            <w:pPr>
              <w:pStyle w:val="MdTableHeader"/>
            </w:pPr>
            <w:r>
              <w:t>3-Year Potential</w:t>
            </w:r>
          </w:p>
        </w:tc>
      </w:tr>
      <w:tr w:rsidR="006E28AB" w14:paraId="0DD5D30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51B9" w14:textId="77777777" w:rsidR="006E28AB" w:rsidRDefault="00000000">
            <w:pPr>
              <w:pStyle w:val="MdTableCell"/>
            </w:pPr>
            <w:r>
              <w:t>Post-CGM Premium (1% penetration)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0196" w14:textId="77777777" w:rsidR="006E28AB" w:rsidRDefault="00000000">
            <w:pPr>
              <w:pStyle w:val="MdTableCell"/>
            </w:pPr>
            <w:r>
              <w:t>18,000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8B57" w14:textId="77777777" w:rsidR="006E28AB" w:rsidRDefault="00000000">
            <w:pPr>
              <w:pStyle w:val="MdTableCell"/>
            </w:pPr>
            <w:r>
              <w:t>€120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7D1F" w14:textId="77777777" w:rsidR="006E28AB" w:rsidRDefault="00000000">
            <w:pPr>
              <w:pStyle w:val="MdTableCell"/>
            </w:pPr>
            <w:r>
              <w:t>€2.16M</w:t>
            </w:r>
          </w:p>
        </w:tc>
      </w:tr>
      <w:tr w:rsidR="006E28AB" w14:paraId="26437C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4375" w14:textId="77777777" w:rsidR="006E28AB" w:rsidRDefault="00000000">
            <w:pPr>
              <w:pStyle w:val="MdTableCell"/>
            </w:pPr>
            <w:r>
              <w:lastRenderedPageBreak/>
              <w:t>CGM Enhancement (5% penetration)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C003" w14:textId="77777777" w:rsidR="006E28AB" w:rsidRDefault="00000000">
            <w:pPr>
              <w:pStyle w:val="MdTableCell"/>
            </w:pPr>
            <w:r>
              <w:t>10,500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0B22" w14:textId="77777777" w:rsidR="006E28AB" w:rsidRDefault="00000000">
            <w:pPr>
              <w:pStyle w:val="MdTableCell"/>
            </w:pPr>
            <w:r>
              <w:t>€150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DB3D" w14:textId="77777777" w:rsidR="006E28AB" w:rsidRDefault="00000000">
            <w:pPr>
              <w:pStyle w:val="MdTableCell"/>
            </w:pPr>
            <w:r>
              <w:t>€1.58M</w:t>
            </w:r>
          </w:p>
        </w:tc>
      </w:tr>
      <w:tr w:rsidR="006E28AB" w14:paraId="72C378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E763" w14:textId="77777777" w:rsidR="006E28AB" w:rsidRDefault="00000000">
            <w:pPr>
              <w:pStyle w:val="MdTableCell"/>
            </w:pPr>
            <w:proofErr w:type="spellStart"/>
            <w:r>
              <w:t>DiGA</w:t>
            </w:r>
            <w:proofErr w:type="spellEnd"/>
            <w:r>
              <w:t xml:space="preserve"> Reimbursement (Year 3+)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6E25" w14:textId="77777777" w:rsidR="006E28AB" w:rsidRDefault="00000000">
            <w:pPr>
              <w:pStyle w:val="MdTableCell"/>
            </w:pPr>
            <w:r>
              <w:t>5,000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6F96" w14:textId="77777777" w:rsidR="006E28AB" w:rsidRDefault="00000000">
            <w:pPr>
              <w:pStyle w:val="MdTableCell"/>
            </w:pPr>
            <w:r>
              <w:t>€1,800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A7C7" w14:textId="77777777" w:rsidR="006E28AB" w:rsidRDefault="00000000">
            <w:pPr>
              <w:pStyle w:val="MdTableCell"/>
            </w:pPr>
            <w:r>
              <w:t>€9.0M</w:t>
            </w:r>
          </w:p>
        </w:tc>
      </w:tr>
      <w:tr w:rsidR="006E28AB" w14:paraId="69F440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2AF5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C98D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33,500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0A2D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-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4607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€12.74M</w:t>
            </w:r>
          </w:p>
        </w:tc>
      </w:tr>
    </w:tbl>
    <w:p w14:paraId="5A620749" w14:textId="77777777" w:rsidR="006E28AB" w:rsidRDefault="00000000">
      <w:pPr>
        <w:pStyle w:val="MdParagraph"/>
      </w:pPr>
      <w:proofErr w:type="spellStart"/>
      <w:r>
        <w:t>DiaTwin's</w:t>
      </w:r>
      <w:proofErr w:type="spellEnd"/>
      <w:r>
        <w:t xml:space="preserve"> model is highly scalable, with the global diabetes market projected to grow from </w:t>
      </w:r>
      <w:r>
        <w:rPr>
          <w:rStyle w:val="MdStrong"/>
        </w:rPr>
        <w:t>€12.4B (2024) to €23.5B (2030)</w:t>
      </w:r>
      <w:r>
        <w:t>. The post-CGM model is particularly suited for international expansion into underserved markets like MENA/Asia, which have 250 million patients and minimal CGM access.</w:t>
      </w:r>
    </w:p>
    <w:p w14:paraId="7DBE5E92" w14:textId="77777777" w:rsidR="006E28AB" w:rsidRDefault="006E28AB">
      <w:pPr>
        <w:pStyle w:val="MdSpace"/>
        <w:spacing w:after="60"/>
      </w:pPr>
    </w:p>
    <w:p w14:paraId="0B3F0C31" w14:textId="77777777" w:rsidR="006E28AB" w:rsidRDefault="006E28AB">
      <w:pPr>
        <w:pStyle w:val="MdHr"/>
        <w:pBdr>
          <w:bottom w:val="single" w:sz="6" w:space="1" w:color="auto"/>
        </w:pBdr>
      </w:pPr>
    </w:p>
    <w:p w14:paraId="0CC35EBD" w14:textId="77777777" w:rsidR="006E28AB" w:rsidRDefault="006E28AB">
      <w:pPr>
        <w:pStyle w:val="MdSpace"/>
        <w:spacing w:after="60"/>
      </w:pPr>
    </w:p>
    <w:p w14:paraId="3E162F35" w14:textId="77777777" w:rsidR="006E28AB" w:rsidRDefault="00000000">
      <w:pPr>
        <w:pStyle w:val="MdHeading2"/>
      </w:pPr>
      <w:r>
        <w:t>3. Unique selling proposition and customer benefits</w:t>
      </w:r>
    </w:p>
    <w:p w14:paraId="741DE715" w14:textId="77777777" w:rsidR="006E28AB" w:rsidRDefault="00000000">
      <w:pPr>
        <w:pStyle w:val="MdHeading3"/>
      </w:pPr>
      <w:r>
        <w:t>Unique selling proposition of the product or service vis-à-vis competitors with a comparable portfolio.</w:t>
      </w:r>
    </w:p>
    <w:p w14:paraId="3A3700DF" w14:textId="77777777" w:rsidR="006E28AB" w:rsidRDefault="00000000">
      <w:pPr>
        <w:pStyle w:val="MdParagraph"/>
      </w:pPr>
      <w:proofErr w:type="spellStart"/>
      <w:r>
        <w:t>DiaTwin's</w:t>
      </w:r>
      <w:proofErr w:type="spellEnd"/>
      <w:r>
        <w:t xml:space="preserve"> USP is its positioning as a </w:t>
      </w:r>
      <w:r>
        <w:rPr>
          <w:rStyle w:val="MdStrong"/>
        </w:rPr>
        <w:t>CGM Companion &amp; Sustainability Tool</w:t>
      </w:r>
      <w:r>
        <w:t xml:space="preserve">, providing </w:t>
      </w:r>
      <w:r>
        <w:rPr>
          <w:rStyle w:val="MdStrong"/>
        </w:rPr>
        <w:t>intelligent dosing guidance and precision without the continuous hardware cost</w:t>
      </w:r>
      <w:r>
        <w:t>. This directly addresses the 85% market gap created by CGM discontinuation.</w:t>
      </w:r>
    </w:p>
    <w:p w14:paraId="6B2948BF" w14:textId="77777777" w:rsidR="006E28AB" w:rsidRDefault="006E28AB">
      <w:pPr>
        <w:pStyle w:val="MdSpace"/>
        <w:spacing w:after="60"/>
      </w:pPr>
    </w:p>
    <w:p w14:paraId="29D8AA25" w14:textId="77777777" w:rsidR="006E28AB" w:rsidRDefault="00000000">
      <w:pPr>
        <w:pStyle w:val="MdParagraph"/>
      </w:pPr>
      <w:r>
        <w:t>The competitive landscape is defined by the following advantages (Table 3):</w:t>
      </w:r>
    </w:p>
    <w:p w14:paraId="78041080" w14:textId="77777777" w:rsidR="006E28AB" w:rsidRDefault="006E28A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366"/>
        <w:gridCol w:w="1909"/>
        <w:gridCol w:w="2050"/>
        <w:gridCol w:w="2313"/>
      </w:tblGrid>
      <w:tr w:rsidR="006E28AB" w14:paraId="712ADE0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EE25" w14:textId="77777777" w:rsidR="006E28AB" w:rsidRDefault="00000000">
            <w:pPr>
              <w:pStyle w:val="MdTableHeader"/>
            </w:pPr>
            <w: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CDCB" w14:textId="77777777" w:rsidR="006E28AB" w:rsidRDefault="00000000">
            <w:pPr>
              <w:pStyle w:val="MdTableHeader"/>
            </w:pPr>
            <w:proofErr w:type="spellStart"/>
            <w:r>
              <w:t>DiaTwin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C21B" w14:textId="77777777" w:rsidR="006E28AB" w:rsidRDefault="00000000">
            <w:pPr>
              <w:pStyle w:val="MdTableHeader"/>
            </w:pPr>
            <w:r>
              <w:t>CGM-Only (Libre/Dexcom)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6C17" w14:textId="77777777" w:rsidR="006E28AB" w:rsidRDefault="00000000">
            <w:pPr>
              <w:pStyle w:val="MdTableHeader"/>
            </w:pPr>
            <w:r>
              <w:t>Basic Apps (</w:t>
            </w:r>
            <w:proofErr w:type="spellStart"/>
            <w:r>
              <w:t>MySugr</w:t>
            </w:r>
            <w:proofErr w:type="spellEnd"/>
            <w:r>
              <w:t>/</w:t>
            </w:r>
            <w:proofErr w:type="spellStart"/>
            <w:r>
              <w:t>Glooko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65F83" w14:textId="77777777" w:rsidR="006E28AB" w:rsidRDefault="00000000">
            <w:pPr>
              <w:pStyle w:val="MdTableHeader"/>
            </w:pPr>
            <w:r>
              <w:t>Insulin Pumps (</w:t>
            </w:r>
            <w:proofErr w:type="spellStart"/>
            <w:r>
              <w:t>Omnipod</w:t>
            </w:r>
            <w:proofErr w:type="spellEnd"/>
            <w:r>
              <w:t>/Tandem)</w:t>
            </w:r>
          </w:p>
        </w:tc>
      </w:tr>
      <w:tr w:rsidR="006E28AB" w14:paraId="59258C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CB81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Intelligent Dosing Guidance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D6A0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YES</w:t>
            </w:r>
            <w:r>
              <w:t xml:space="preserve"> (IOB, MOB, Projection)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8BE4" w14:textId="77777777" w:rsidR="006E28AB" w:rsidRDefault="00000000">
            <w:pPr>
              <w:pStyle w:val="MdTableCell"/>
            </w:pPr>
            <w:r>
              <w:t>NO (Data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ACE0" w14:textId="77777777" w:rsidR="006E28AB" w:rsidRDefault="00000000">
            <w:pPr>
              <w:pStyle w:val="MdTableCell"/>
            </w:pPr>
            <w:r>
              <w:t>NO (Logging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01BC" w14:textId="77777777" w:rsidR="006E28AB" w:rsidRDefault="00000000">
            <w:pPr>
              <w:pStyle w:val="MdTableCell"/>
            </w:pPr>
            <w:r>
              <w:t>YES (</w:t>
            </w:r>
            <w:proofErr w:type="gramStart"/>
            <w:r>
              <w:t>Closed-loop</w:t>
            </w:r>
            <w:proofErr w:type="gramEnd"/>
            <w:r>
              <w:t>)</w:t>
            </w:r>
          </w:p>
        </w:tc>
      </w:tr>
      <w:tr w:rsidR="006E28AB" w14:paraId="725B3C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1F5B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Meal-on-Board (MOB) Tracking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9F75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YES</w:t>
            </w:r>
            <w:r>
              <w:t xml:space="preserve"> (5-tier absorption)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0439" w14:textId="77777777" w:rsidR="006E28AB" w:rsidRDefault="00000000">
            <w:pPr>
              <w:pStyle w:val="MdTableCell"/>
            </w:pPr>
            <w: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EBCE" w14:textId="77777777" w:rsidR="006E28AB" w:rsidRDefault="00000000">
            <w:pPr>
              <w:pStyle w:val="MdTableCell"/>
            </w:pPr>
            <w: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034C" w14:textId="77777777" w:rsidR="006E28AB" w:rsidRDefault="00000000">
            <w:pPr>
              <w:pStyle w:val="MdTableCell"/>
            </w:pPr>
            <w:r>
              <w:t>NO</w:t>
            </w:r>
          </w:p>
        </w:tc>
      </w:tr>
      <w:tr w:rsidR="006E28AB" w14:paraId="2D099DE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5A72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Cost Reduction (Post-CGM)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A2E7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95%</w:t>
            </w:r>
            <w:r>
              <w:t xml:space="preserve"> (€50/year)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4970" w14:textId="77777777" w:rsidR="006E28AB" w:rsidRDefault="00000000">
            <w:pPr>
              <w:pStyle w:val="MdTableCell"/>
            </w:pPr>
            <w:r>
              <w:t>NO (€3,000-5,000/year)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3F82" w14:textId="77777777" w:rsidR="006E28AB" w:rsidRDefault="00000000">
            <w:pPr>
              <w:pStyle w:val="MdTableCell"/>
            </w:pPr>
            <w:r>
              <w:t>N/A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0E55" w14:textId="77777777" w:rsidR="006E28AB" w:rsidRDefault="00000000">
            <w:pPr>
              <w:pStyle w:val="MdTableCell"/>
            </w:pPr>
            <w:r>
              <w:t>NO (€10,000-16,000/year)</w:t>
            </w:r>
          </w:p>
        </w:tc>
      </w:tr>
      <w:tr w:rsidR="006E28AB" w14:paraId="1B183F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BA1F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Works with Insulin Pens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1AFF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YES</w:t>
            </w:r>
            <w:r>
              <w:t xml:space="preserve"> (80% of T1D prefer pens)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530C" w14:textId="77777777" w:rsidR="006E28AB" w:rsidRDefault="00000000">
            <w:pPr>
              <w:pStyle w:val="MdTableCell"/>
            </w:pPr>
            <w:r>
              <w:t>YES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C5DB" w14:textId="77777777" w:rsidR="006E28AB" w:rsidRDefault="00000000">
            <w:pPr>
              <w:pStyle w:val="MdTableCell"/>
            </w:pPr>
            <w:r>
              <w:t>YES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52E0" w14:textId="77777777" w:rsidR="006E28AB" w:rsidRDefault="00000000">
            <w:pPr>
              <w:pStyle w:val="MdTableCell"/>
            </w:pPr>
            <w:r>
              <w:t>NO (Requires pump)</w:t>
            </w:r>
          </w:p>
        </w:tc>
      </w:tr>
      <w:tr w:rsidR="006E28AB" w14:paraId="369740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5E2A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Future Glucose Projection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166C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YES</w:t>
            </w:r>
            <w:r>
              <w:t xml:space="preserve"> (4-hour trajectory)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0AAC" w14:textId="77777777" w:rsidR="006E28AB" w:rsidRDefault="00000000">
            <w:pPr>
              <w:pStyle w:val="MdTableCell"/>
            </w:pPr>
            <w:r>
              <w:t>NO (Historical/Current only)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2F5F" w14:textId="77777777" w:rsidR="006E28AB" w:rsidRDefault="00000000">
            <w:pPr>
              <w:pStyle w:val="MdTableCell"/>
            </w:pPr>
            <w:r>
              <w:t>NO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FC8B" w14:textId="77777777" w:rsidR="006E28AB" w:rsidRDefault="00000000">
            <w:pPr>
              <w:pStyle w:val="MdTableCell"/>
            </w:pPr>
            <w:r>
              <w:t>YES (</w:t>
            </w:r>
            <w:proofErr w:type="gramStart"/>
            <w:r>
              <w:t>Closed-loop</w:t>
            </w:r>
            <w:proofErr w:type="gramEnd"/>
            <w:r>
              <w:t>)</w:t>
            </w:r>
          </w:p>
        </w:tc>
      </w:tr>
    </w:tbl>
    <w:p w14:paraId="639A1BEB" w14:textId="77777777" w:rsidR="006E28AB" w:rsidRDefault="00000000">
      <w:pPr>
        <w:pStyle w:val="MdHeading3"/>
      </w:pPr>
      <w:r>
        <w:t>Customer benefit of the product or service.</w:t>
      </w:r>
    </w:p>
    <w:p w14:paraId="2A2E011B" w14:textId="77777777" w:rsidR="006E28AB" w:rsidRDefault="00000000">
      <w:pPr>
        <w:pStyle w:val="MdParagraph"/>
      </w:pPr>
      <w:proofErr w:type="spellStart"/>
      <w:r>
        <w:t>DiaTwin</w:t>
      </w:r>
      <w:proofErr w:type="spellEnd"/>
      <w:r>
        <w:t xml:space="preserve"> delivers significant benefits across the entire healthcare ecosystem:</w:t>
      </w:r>
    </w:p>
    <w:p w14:paraId="41ED3084" w14:textId="77777777" w:rsidR="006E28AB" w:rsidRDefault="006E28AB">
      <w:pPr>
        <w:pStyle w:val="MdSpace"/>
        <w:spacing w:after="60"/>
      </w:pPr>
    </w:p>
    <w:p w14:paraId="436B0B46" w14:textId="77777777" w:rsidR="006E28A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Post-CGM Users (Primary Target):</w:t>
      </w:r>
      <w:r>
        <w:t xml:space="preserve"> </w:t>
      </w:r>
      <w:r>
        <w:rPr>
          <w:rStyle w:val="MdStrong"/>
        </w:rPr>
        <w:t>Economic savings</w:t>
      </w:r>
      <w:r>
        <w:t xml:space="preserve"> of €3,000-5,000/year while maintaining the </w:t>
      </w:r>
      <w:r>
        <w:rPr>
          <w:rStyle w:val="MdStrong"/>
        </w:rPr>
        <w:t>clinical benefit</w:t>
      </w:r>
      <w:r>
        <w:t xml:space="preserve"> of sustained HbA1c improvements. It offers a better </w:t>
      </w:r>
      <w:r>
        <w:rPr>
          <w:rStyle w:val="MdStrong"/>
        </w:rPr>
        <w:t>lifestyle</w:t>
      </w:r>
      <w:r>
        <w:t xml:space="preserve"> with reduced device burden and no skin irritation.</w:t>
      </w:r>
    </w:p>
    <w:p w14:paraId="7C9C55AA" w14:textId="77777777" w:rsidR="006E28A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Continuous CGM Users (Premium Segment):</w:t>
      </w:r>
      <w:r>
        <w:t xml:space="preserve"> Provides </w:t>
      </w:r>
      <w:r>
        <w:rPr>
          <w:rStyle w:val="MdStrong"/>
        </w:rPr>
        <w:t>analytical enhancement</w:t>
      </w:r>
      <w:r>
        <w:t xml:space="preserve"> with deeper insights (Net Effect, MOB) and machine learning-driven parameter auto-optimization, hypothesized to deliver a 10-15% additional Time-in-Range improvement.</w:t>
      </w:r>
    </w:p>
    <w:p w14:paraId="148F67C7" w14:textId="77777777" w:rsidR="006E28A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Physicians:</w:t>
      </w:r>
      <w:r>
        <w:t xml:space="preserve"> Increases </w:t>
      </w:r>
      <w:r>
        <w:rPr>
          <w:rStyle w:val="MdStrong"/>
        </w:rPr>
        <w:t>efficiency</w:t>
      </w:r>
      <w:r>
        <w:t xml:space="preserve"> by reducing parameter validation time from months to weeks and offers </w:t>
      </w:r>
      <w:r>
        <w:rPr>
          <w:rStyle w:val="MdStrong"/>
        </w:rPr>
        <w:t>transparency</w:t>
      </w:r>
      <w:r>
        <w:t xml:space="preserve"> with medicolegally defensible, clear calculations.</w:t>
      </w:r>
    </w:p>
    <w:p w14:paraId="5C8CEB13" w14:textId="77777777" w:rsidR="006E28A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Healthcare Systems:</w:t>
      </w:r>
      <w:r>
        <w:t xml:space="preserve"> Delivers substantial </w:t>
      </w:r>
      <w:r>
        <w:rPr>
          <w:rStyle w:val="MdStrong"/>
        </w:rPr>
        <w:t>cost savings</w:t>
      </w:r>
      <w:r>
        <w:t xml:space="preserve"> (€10,500-27,000 per patient/year in avoided ER visits) and promotes </w:t>
      </w:r>
      <w:r>
        <w:rPr>
          <w:rStyle w:val="MdStrong"/>
        </w:rPr>
        <w:t>health equity</w:t>
      </w:r>
      <w:r>
        <w:t xml:space="preserve"> by working in resource-limited settings without hardware requirements.</w:t>
      </w:r>
    </w:p>
    <w:p w14:paraId="25231112" w14:textId="77777777" w:rsidR="006E28AB" w:rsidRDefault="006E28AB">
      <w:pPr>
        <w:pStyle w:val="MdSpace"/>
        <w:spacing w:after="60"/>
      </w:pPr>
    </w:p>
    <w:p w14:paraId="4D5298DC" w14:textId="77777777" w:rsidR="006E28AB" w:rsidRDefault="006E28AB">
      <w:pPr>
        <w:pStyle w:val="MdHr"/>
        <w:pBdr>
          <w:bottom w:val="single" w:sz="6" w:space="1" w:color="auto"/>
        </w:pBdr>
      </w:pPr>
    </w:p>
    <w:p w14:paraId="74BF0809" w14:textId="77777777" w:rsidR="006E28AB" w:rsidRDefault="006E28AB">
      <w:pPr>
        <w:pStyle w:val="MdSpace"/>
        <w:spacing w:after="60"/>
      </w:pPr>
    </w:p>
    <w:p w14:paraId="5FA4327C" w14:textId="77777777" w:rsidR="006E28AB" w:rsidRDefault="00000000">
      <w:pPr>
        <w:pStyle w:val="MdHeading2"/>
      </w:pPr>
      <w:r>
        <w:t>4. Know-how support</w:t>
      </w:r>
    </w:p>
    <w:p w14:paraId="3931AA92" w14:textId="77777777" w:rsidR="006E28AB" w:rsidRDefault="00000000">
      <w:pPr>
        <w:pStyle w:val="MdHeading3"/>
      </w:pPr>
      <w:r>
        <w:t>Brief presentation of the planned start-up team and the distribution of tasks among the persons involved.</w:t>
      </w:r>
    </w:p>
    <w:p w14:paraId="41696F9E" w14:textId="77777777" w:rsidR="006E28AB" w:rsidRDefault="00000000">
      <w:pPr>
        <w:pStyle w:val="MdParagraph"/>
      </w:pPr>
      <w:r>
        <w:t xml:space="preserve">The project is led by </w:t>
      </w:r>
      <w:r>
        <w:rPr>
          <w:rStyle w:val="MdStrong"/>
        </w:rPr>
        <w:t>Ali Attia</w:t>
      </w:r>
      <w:r>
        <w:t xml:space="preserve">, the founder and principal investigator, who serves as the </w:t>
      </w:r>
      <w:r>
        <w:rPr>
          <w:rStyle w:val="MdStrong"/>
        </w:rPr>
        <w:t>Technical Lead and Clinical Expert</w:t>
      </w:r>
      <w:r>
        <w:t xml:space="preserve">. His unique profile combines a </w:t>
      </w:r>
      <w:r>
        <w:rPr>
          <w:rStyle w:val="MdStrong"/>
        </w:rPr>
        <w:t>M.Sc. in Digital Health</w:t>
      </w:r>
      <w:r>
        <w:t xml:space="preserve"> (DIT) with a background as a </w:t>
      </w:r>
      <w:proofErr w:type="gramStart"/>
      <w:r>
        <w:rPr>
          <w:rStyle w:val="MdStrong"/>
        </w:rPr>
        <w:t>Pharmacist</w:t>
      </w:r>
      <w:proofErr w:type="gramEnd"/>
      <w:r>
        <w:t xml:space="preserve"> and over five years of experience as a </w:t>
      </w:r>
      <w:r>
        <w:rPr>
          <w:rStyle w:val="MdStrong"/>
        </w:rPr>
        <w:t>Digital Transformation Officer</w:t>
      </w:r>
      <w:r>
        <w:t xml:space="preserve"> leading national EHR interoperability projects. This combination ensures both clinical rigor and implementation expertise.</w:t>
      </w:r>
    </w:p>
    <w:p w14:paraId="04EBCC4E" w14:textId="77777777" w:rsidR="006E28AB" w:rsidRDefault="006E28AB">
      <w:pPr>
        <w:pStyle w:val="MdSpace"/>
        <w:spacing w:after="60"/>
      </w:pPr>
    </w:p>
    <w:p w14:paraId="65097FE2" w14:textId="77777777" w:rsidR="006E28AB" w:rsidRDefault="00000000">
      <w:pPr>
        <w:pStyle w:val="MdParagraph"/>
      </w:pPr>
      <w:r>
        <w:rPr>
          <w:rStyle w:val="MdStrong"/>
        </w:rPr>
        <w:t>Planned Team Expansion (EXIST Phase I):</w:t>
      </w:r>
      <w:r>
        <w:t xml:space="preserve"> The team will be immediately expanded with a </w:t>
      </w:r>
      <w:r>
        <w:rPr>
          <w:rStyle w:val="MdStrong"/>
        </w:rPr>
        <w:t>Clinical Research Coordinator</w:t>
      </w:r>
      <w:r>
        <w:t xml:space="preserve"> (50%) to manage the upcoming clinical trial and a </w:t>
      </w:r>
      <w:r>
        <w:rPr>
          <w:rStyle w:val="MdStrong"/>
        </w:rPr>
        <w:t>Full-Stack Software Developer</w:t>
      </w:r>
      <w:r>
        <w:t xml:space="preserve"> (50%) to focus on native mobile app development, CGM API integrations, and medical device software validation. Active recruitment is underway for a </w:t>
      </w:r>
      <w:r>
        <w:rPr>
          <w:rStyle w:val="MdStrong"/>
        </w:rPr>
        <w:lastRenderedPageBreak/>
        <w:t>Co-Founder (Business/Commercial Lead)</w:t>
      </w:r>
      <w:r>
        <w:t xml:space="preserve"> with a Healthcare MBA or commercialization experience to drive the go-to-market and </w:t>
      </w:r>
      <w:proofErr w:type="spellStart"/>
      <w:r>
        <w:t>DiGA</w:t>
      </w:r>
      <w:proofErr w:type="spellEnd"/>
      <w:r>
        <w:t xml:space="preserve"> reimbursement strategy.</w:t>
      </w:r>
    </w:p>
    <w:p w14:paraId="387C001B" w14:textId="77777777" w:rsidR="006E28AB" w:rsidRDefault="006E28AB">
      <w:pPr>
        <w:pStyle w:val="MdSpace"/>
        <w:spacing w:after="60"/>
      </w:pPr>
    </w:p>
    <w:p w14:paraId="081CE115" w14:textId="77777777" w:rsidR="006E28AB" w:rsidRDefault="00000000">
      <w:pPr>
        <w:pStyle w:val="MdHeading3"/>
      </w:pPr>
      <w:r>
        <w:t>Significance of the know-how acquired at the university or research institution for the start-up project or the scientific preparatory work</w:t>
      </w:r>
    </w:p>
    <w:p w14:paraId="56F38ADD" w14:textId="77777777" w:rsidR="006E28AB" w:rsidRDefault="00000000">
      <w:pPr>
        <w:pStyle w:val="MdParagraph"/>
      </w:pPr>
      <w:r>
        <w:t xml:space="preserve">The </w:t>
      </w:r>
      <w:proofErr w:type="spellStart"/>
      <w:r>
        <w:rPr>
          <w:rStyle w:val="MdStrong"/>
        </w:rPr>
        <w:t>DiaTwin</w:t>
      </w:r>
      <w:proofErr w:type="spellEnd"/>
      <w:r>
        <w:rPr>
          <w:rStyle w:val="MdStrong"/>
        </w:rPr>
        <w:t xml:space="preserve"> core platform</w:t>
      </w:r>
      <w:r>
        <w:t xml:space="preserve"> is a direct result of the founder's </w:t>
      </w:r>
      <w:proofErr w:type="gramStart"/>
      <w:r>
        <w:t>Master's</w:t>
      </w:r>
      <w:proofErr w:type="gramEnd"/>
      <w:r>
        <w:t xml:space="preserve"> thesis at DIT, supervised by </w:t>
      </w:r>
      <w:r>
        <w:rPr>
          <w:rStyle w:val="MdStrong"/>
        </w:rPr>
        <w:t xml:space="preserve">Prof. Dr. Klaus </w:t>
      </w:r>
      <w:proofErr w:type="spellStart"/>
      <w:r>
        <w:rPr>
          <w:rStyle w:val="MdStrong"/>
        </w:rPr>
        <w:t>Parhofer</w:t>
      </w:r>
      <w:proofErr w:type="spellEnd"/>
      <w:r>
        <w:rPr>
          <w:rStyle w:val="MdStrong"/>
        </w:rPr>
        <w:t xml:space="preserve"> (LMU Munich)</w:t>
      </w:r>
      <w:r>
        <w:t xml:space="preserve">. This academic foundation is the source of the project's scientific rigor, including the implementation of pharmacokinetic </w:t>
      </w:r>
      <w:proofErr w:type="spellStart"/>
      <w:r>
        <w:t>modeling</w:t>
      </w:r>
      <w:proofErr w:type="spellEnd"/>
      <w:r>
        <w:t xml:space="preserve"> based on </w:t>
      </w:r>
      <w:r>
        <w:rPr>
          <w:rStyle w:val="MdStrong"/>
        </w:rPr>
        <w:t>German S3 Diabetes Guidelines</w:t>
      </w:r>
      <w:r>
        <w:t xml:space="preserve"> and the development of the proprietary </w:t>
      </w:r>
      <w:r>
        <w:rPr>
          <w:rStyle w:val="MdStrong"/>
        </w:rPr>
        <w:t>dual Net Effect</w:t>
      </w:r>
      <w:r>
        <w:t xml:space="preserve"> and </w:t>
      </w:r>
      <w:r>
        <w:rPr>
          <w:rStyle w:val="MdStrong"/>
        </w:rPr>
        <w:t>Meal-on-Board</w:t>
      </w:r>
      <w:r>
        <w:t xml:space="preserve"> algorithms. The "Excellent" evaluation by a leading endocrinology expert validates the core scientific approach.</w:t>
      </w:r>
    </w:p>
    <w:p w14:paraId="58232EE1" w14:textId="77777777" w:rsidR="006E28AB" w:rsidRDefault="006E28AB">
      <w:pPr>
        <w:pStyle w:val="MdSpace"/>
        <w:spacing w:after="60"/>
      </w:pPr>
    </w:p>
    <w:p w14:paraId="58CA4B79" w14:textId="77777777" w:rsidR="006E28AB" w:rsidRDefault="00000000">
      <w:pPr>
        <w:pStyle w:val="MdHeading3"/>
      </w:pPr>
      <w:r>
        <w:t>Existing business management, entrepreneurial experience or training or industry-specific contacts</w:t>
      </w:r>
    </w:p>
    <w:p w14:paraId="63BE43B6" w14:textId="77777777" w:rsidR="006E28AB" w:rsidRDefault="00000000">
      <w:pPr>
        <w:pStyle w:val="MdParagraph"/>
      </w:pPr>
      <w:r>
        <w:t xml:space="preserve">The founder's experience as a Digital Transformation Officer involved managing complex, multi-stakeholder projects, demonstrating proficiency in regulatory compliance, clinical workflow integration, and commercial negotiation. This experience has instilled the understanding that </w:t>
      </w:r>
      <w:r>
        <w:rPr>
          <w:rStyle w:val="MdStrong"/>
        </w:rPr>
        <w:t>80% of success is change management and reimbursement strategy</w:t>
      </w:r>
      <w:r>
        <w:t xml:space="preserve">. The founder has already conducted preparatory work on the </w:t>
      </w:r>
      <w:proofErr w:type="spellStart"/>
      <w:r>
        <w:rPr>
          <w:rStyle w:val="MdStrong"/>
        </w:rPr>
        <w:t>DiGA</w:t>
      </w:r>
      <w:proofErr w:type="spellEnd"/>
      <w:r>
        <w:rPr>
          <w:rStyle w:val="MdStrong"/>
        </w:rPr>
        <w:t xml:space="preserve"> pathway</w:t>
      </w:r>
      <w:r>
        <w:t xml:space="preserve"> and identified the </w:t>
      </w:r>
      <w:proofErr w:type="spellStart"/>
      <w:r>
        <w:rPr>
          <w:rStyle w:val="MdStrong"/>
        </w:rPr>
        <w:t>ForTra</w:t>
      </w:r>
      <w:proofErr w:type="spellEnd"/>
      <w:r>
        <w:rPr>
          <w:rStyle w:val="MdStrong"/>
        </w:rPr>
        <w:t xml:space="preserve"> funding opportunity</w:t>
      </w:r>
      <w:r>
        <w:t xml:space="preserve"> (€100K) for regulatory consulting.</w:t>
      </w:r>
    </w:p>
    <w:p w14:paraId="15388665" w14:textId="77777777" w:rsidR="006E28AB" w:rsidRDefault="006E28AB">
      <w:pPr>
        <w:pStyle w:val="MdSpace"/>
        <w:spacing w:after="60"/>
      </w:pPr>
    </w:p>
    <w:p w14:paraId="34888C09" w14:textId="77777777" w:rsidR="006E28AB" w:rsidRDefault="00000000">
      <w:pPr>
        <w:pStyle w:val="MdHeading3"/>
      </w:pPr>
      <w:r>
        <w:t>Involvement of other persons, such as scientific advisors, partners, mentors, etc.</w:t>
      </w:r>
    </w:p>
    <w:p w14:paraId="757109B6" w14:textId="77777777" w:rsidR="006E28AB" w:rsidRDefault="00000000">
      <w:pPr>
        <w:pStyle w:val="MdParagraph"/>
      </w:pPr>
      <w:r>
        <w:t>The project is supported by a high-</w:t>
      </w:r>
      <w:proofErr w:type="spellStart"/>
      <w:r>
        <w:t>caliber</w:t>
      </w:r>
      <w:proofErr w:type="spellEnd"/>
      <w:r>
        <w:t xml:space="preserve"> Scientific Advisory Board and strong external partnerships:</w:t>
      </w:r>
    </w:p>
    <w:p w14:paraId="0C8E8029" w14:textId="77777777" w:rsidR="006E28AB" w:rsidRDefault="006E28AB">
      <w:pPr>
        <w:pStyle w:val="MdSpace"/>
        <w:spacing w:after="60"/>
      </w:pPr>
    </w:p>
    <w:p w14:paraId="51D74DE1" w14:textId="77777777" w:rsidR="006E28AB" w:rsidRDefault="00000000">
      <w:pPr>
        <w:pStyle w:val="MdParagraph"/>
      </w:pPr>
      <w:r>
        <w:rPr>
          <w:rStyle w:val="MdStrong"/>
        </w:rPr>
        <w:t>Scientific Advisory Board (Table 4)</w:t>
      </w:r>
    </w:p>
    <w:p w14:paraId="4BD3984A" w14:textId="77777777" w:rsidR="006E28AB" w:rsidRDefault="006E28A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2608"/>
        <w:gridCol w:w="4766"/>
      </w:tblGrid>
      <w:tr w:rsidR="006E28AB" w14:paraId="5E43F20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629C6" w14:textId="77777777" w:rsidR="006E28AB" w:rsidRDefault="00000000">
            <w:pPr>
              <w:pStyle w:val="MdTableHeader"/>
            </w:pPr>
            <w:r>
              <w:t>Advisor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D5112" w14:textId="77777777" w:rsidR="006E28AB" w:rsidRDefault="00000000">
            <w:pPr>
              <w:pStyle w:val="MdTableHeader"/>
            </w:pPr>
            <w:r>
              <w:t>Affiliation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E59A" w14:textId="77777777" w:rsidR="006E28AB" w:rsidRDefault="00000000">
            <w:pPr>
              <w:pStyle w:val="MdTableHeader"/>
            </w:pPr>
            <w:r>
              <w:t>Role/Commitment</w:t>
            </w:r>
          </w:p>
        </w:tc>
      </w:tr>
      <w:tr w:rsidR="006E28AB" w14:paraId="1EDE10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C3E5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>Prof. Dr. Katarina Braune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2CF6" w14:textId="77777777" w:rsidR="006E28AB" w:rsidRDefault="00000000">
            <w:pPr>
              <w:pStyle w:val="MdTableCell"/>
            </w:pPr>
            <w:r>
              <w:t xml:space="preserve">Charité - </w:t>
            </w:r>
            <w:proofErr w:type="spellStart"/>
            <w:r>
              <w:t>Universitätsmedizin</w:t>
            </w:r>
            <w:proofErr w:type="spellEnd"/>
            <w:r>
              <w:t xml:space="preserve"> Berlin / HPI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D47B" w14:textId="77777777" w:rsidR="006E28AB" w:rsidRDefault="00000000">
            <w:pPr>
              <w:pStyle w:val="MdTableCell"/>
            </w:pPr>
            <w:r>
              <w:t>Clinical validation study co-PI; committed to leading Charité as primary trial site (40-50 patients).</w:t>
            </w:r>
          </w:p>
        </w:tc>
      </w:tr>
      <w:tr w:rsidR="006E28AB" w14:paraId="1FE83E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09F1" w14:textId="77777777" w:rsidR="006E28AB" w:rsidRDefault="00000000">
            <w:pPr>
              <w:pStyle w:val="MdTableCell"/>
            </w:pPr>
            <w:r>
              <w:rPr>
                <w:rStyle w:val="MdStrong"/>
              </w:rPr>
              <w:t xml:space="preserve">Prof. Dr. Klaus </w:t>
            </w:r>
            <w:proofErr w:type="spellStart"/>
            <w:r>
              <w:rPr>
                <w:rStyle w:val="MdStrong"/>
              </w:rPr>
              <w:t>Parhofer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4C0C" w14:textId="77777777" w:rsidR="006E28AB" w:rsidRDefault="00000000">
            <w:pPr>
              <w:pStyle w:val="MdTableCell"/>
            </w:pPr>
            <w:r>
              <w:t xml:space="preserve">LMU Munich, Klinikum </w:t>
            </w:r>
            <w:proofErr w:type="spellStart"/>
            <w:r>
              <w:t>Großhadern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5EF9" w14:textId="77777777" w:rsidR="006E28AB" w:rsidRDefault="00000000">
            <w:pPr>
              <w:pStyle w:val="MdTableCell"/>
            </w:pPr>
            <w:r>
              <w:t>Master's thesis supervisor; Scientific advisor for clinical trial protocol design; potential second trial site.</w:t>
            </w:r>
          </w:p>
        </w:tc>
      </w:tr>
    </w:tbl>
    <w:p w14:paraId="2BB403EF" w14:textId="77777777" w:rsidR="006E28AB" w:rsidRDefault="00000000">
      <w:pPr>
        <w:pStyle w:val="MdParagraph"/>
      </w:pPr>
      <w:r>
        <w:rPr>
          <w:rStyle w:val="MdStrong"/>
        </w:rPr>
        <w:t>External Partnerships</w:t>
      </w:r>
      <w:r>
        <w:t xml:space="preserve"> include three </w:t>
      </w:r>
      <w:r>
        <w:rPr>
          <w:rStyle w:val="MdStrong"/>
        </w:rPr>
        <w:t>Clinical Trial Sites</w:t>
      </w:r>
      <w:r>
        <w:t xml:space="preserve"> (Charité, LMU network, regional clinic), planned engagement with </w:t>
      </w:r>
      <w:r>
        <w:rPr>
          <w:rStyle w:val="MdStrong"/>
        </w:rPr>
        <w:t>Regulatory Consultants</w:t>
      </w:r>
      <w:r>
        <w:t xml:space="preserve"> via </w:t>
      </w:r>
      <w:proofErr w:type="spellStart"/>
      <w:r>
        <w:t>ForTra</w:t>
      </w:r>
      <w:proofErr w:type="spellEnd"/>
      <w:r>
        <w:t xml:space="preserve"> funding, and </w:t>
      </w:r>
      <w:r>
        <w:rPr>
          <w:rStyle w:val="MdStrong"/>
        </w:rPr>
        <w:t>Technology Partnerships</w:t>
      </w:r>
      <w:r>
        <w:t xml:space="preserve"> with initiated API discussions with </w:t>
      </w:r>
      <w:r>
        <w:rPr>
          <w:rStyle w:val="MdStrong"/>
        </w:rPr>
        <w:t>Abbott Diabetes Care</w:t>
      </w:r>
      <w:r>
        <w:t xml:space="preserve"> and </w:t>
      </w:r>
      <w:r>
        <w:rPr>
          <w:rStyle w:val="MdStrong"/>
        </w:rPr>
        <w:t>Dexcom</w:t>
      </w:r>
      <w:r>
        <w:t xml:space="preserve">. Patient advocacy and recruitment are secured through partnerships with organizations like </w:t>
      </w:r>
      <w:proofErr w:type="spellStart"/>
      <w:r>
        <w:rPr>
          <w:rStyle w:val="MdStrong"/>
        </w:rPr>
        <w:t>DiabetesDE</w:t>
      </w:r>
      <w:proofErr w:type="spellEnd"/>
      <w:r>
        <w:t xml:space="preserve"> and the </w:t>
      </w:r>
      <w:r>
        <w:rPr>
          <w:rStyle w:val="MdStrong"/>
        </w:rPr>
        <w:t>#dedoc° community</w:t>
      </w:r>
      <w:r>
        <w:t>.</w:t>
      </w:r>
    </w:p>
    <w:p w14:paraId="3407AC76" w14:textId="77777777" w:rsidR="006E28AB" w:rsidRDefault="006E28AB">
      <w:pPr>
        <w:pStyle w:val="MdSpace"/>
        <w:spacing w:after="60"/>
      </w:pPr>
    </w:p>
    <w:p w14:paraId="256FED08" w14:textId="77777777" w:rsidR="006E28AB" w:rsidRDefault="006E28AB">
      <w:pPr>
        <w:pStyle w:val="MdHr"/>
        <w:pBdr>
          <w:bottom w:val="single" w:sz="6" w:space="1" w:color="auto"/>
        </w:pBdr>
      </w:pPr>
    </w:p>
    <w:p w14:paraId="51E50E4B" w14:textId="77777777" w:rsidR="006E28AB" w:rsidRDefault="006E28AB">
      <w:pPr>
        <w:pStyle w:val="MdSpace"/>
        <w:spacing w:after="60"/>
      </w:pPr>
    </w:p>
    <w:p w14:paraId="5B622A89" w14:textId="77777777" w:rsidR="006E28AB" w:rsidRDefault="00000000">
      <w:pPr>
        <w:pStyle w:val="MdParagraph"/>
      </w:pPr>
      <w:r>
        <w:rPr>
          <w:rStyle w:val="MdEm"/>
        </w:rPr>
        <w:t>This document is formatted to simulate Arial 12 font with 1.5 line spacing, adhering to the maximum two-page limit.</w:t>
      </w:r>
    </w:p>
    <w:sectPr w:rsidR="006E28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56AD"/>
    <w:multiLevelType w:val="hybridMultilevel"/>
    <w:tmpl w:val="D00621F8"/>
    <w:lvl w:ilvl="0" w:tplc="94AE57D2">
      <w:start w:val="1"/>
      <w:numFmt w:val="bullet"/>
      <w:lvlText w:val="•"/>
      <w:lvlJc w:val="left"/>
      <w:pPr>
        <w:ind w:left="720" w:hanging="360"/>
      </w:pPr>
    </w:lvl>
    <w:lvl w:ilvl="1" w:tplc="730CF820">
      <w:start w:val="1"/>
      <w:numFmt w:val="bullet"/>
      <w:lvlText w:val="◦"/>
      <w:lvlJc w:val="left"/>
      <w:pPr>
        <w:ind w:left="1440" w:hanging="360"/>
      </w:pPr>
    </w:lvl>
    <w:lvl w:ilvl="2" w:tplc="ADDC733A">
      <w:start w:val="1"/>
      <w:numFmt w:val="bullet"/>
      <w:lvlText w:val="•"/>
      <w:lvlJc w:val="left"/>
      <w:pPr>
        <w:ind w:left="2160" w:hanging="360"/>
      </w:pPr>
    </w:lvl>
    <w:lvl w:ilvl="3" w:tplc="E46A54BE">
      <w:start w:val="1"/>
      <w:numFmt w:val="bullet"/>
      <w:lvlText w:val="◦"/>
      <w:lvlJc w:val="left"/>
      <w:pPr>
        <w:ind w:left="2880" w:hanging="360"/>
      </w:pPr>
    </w:lvl>
    <w:lvl w:ilvl="4" w:tplc="979A89A4">
      <w:start w:val="1"/>
      <w:numFmt w:val="bullet"/>
      <w:lvlText w:val="•"/>
      <w:lvlJc w:val="left"/>
      <w:pPr>
        <w:ind w:left="3600" w:hanging="360"/>
      </w:pPr>
    </w:lvl>
    <w:lvl w:ilvl="5" w:tplc="BAB8D442">
      <w:start w:val="1"/>
      <w:numFmt w:val="bullet"/>
      <w:lvlText w:val="◦"/>
      <w:lvlJc w:val="left"/>
      <w:pPr>
        <w:ind w:left="4320" w:hanging="360"/>
      </w:pPr>
    </w:lvl>
    <w:lvl w:ilvl="6" w:tplc="8D2C78E2">
      <w:start w:val="1"/>
      <w:numFmt w:val="bullet"/>
      <w:lvlText w:val="•"/>
      <w:lvlJc w:val="left"/>
      <w:pPr>
        <w:ind w:left="5040" w:hanging="360"/>
      </w:pPr>
    </w:lvl>
    <w:lvl w:ilvl="7" w:tplc="0464B26A">
      <w:numFmt w:val="decimal"/>
      <w:lvlText w:val=""/>
      <w:lvlJc w:val="left"/>
    </w:lvl>
    <w:lvl w:ilvl="8" w:tplc="009A7D2C">
      <w:numFmt w:val="decimal"/>
      <w:lvlText w:val=""/>
      <w:lvlJc w:val="left"/>
    </w:lvl>
  </w:abstractNum>
  <w:abstractNum w:abstractNumId="1" w15:restartNumberingAfterBreak="0">
    <w:nsid w:val="26216EEC"/>
    <w:multiLevelType w:val="multilevel"/>
    <w:tmpl w:val="A3C65D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32372505"/>
    <w:multiLevelType w:val="hybridMultilevel"/>
    <w:tmpl w:val="BFD6F3C0"/>
    <w:lvl w:ilvl="0" w:tplc="C4662CC6">
      <w:start w:val="1"/>
      <w:numFmt w:val="bullet"/>
      <w:lvlText w:val="●"/>
      <w:lvlJc w:val="left"/>
      <w:pPr>
        <w:ind w:left="720" w:hanging="360"/>
      </w:pPr>
    </w:lvl>
    <w:lvl w:ilvl="1" w:tplc="FE7802DC">
      <w:start w:val="1"/>
      <w:numFmt w:val="bullet"/>
      <w:lvlText w:val="○"/>
      <w:lvlJc w:val="left"/>
      <w:pPr>
        <w:ind w:left="1440" w:hanging="360"/>
      </w:pPr>
    </w:lvl>
    <w:lvl w:ilvl="2" w:tplc="FD181688">
      <w:start w:val="1"/>
      <w:numFmt w:val="bullet"/>
      <w:lvlText w:val="■"/>
      <w:lvlJc w:val="left"/>
      <w:pPr>
        <w:ind w:left="2160" w:hanging="360"/>
      </w:pPr>
    </w:lvl>
    <w:lvl w:ilvl="3" w:tplc="A69A03FE">
      <w:start w:val="1"/>
      <w:numFmt w:val="bullet"/>
      <w:lvlText w:val="●"/>
      <w:lvlJc w:val="left"/>
      <w:pPr>
        <w:ind w:left="2880" w:hanging="360"/>
      </w:pPr>
    </w:lvl>
    <w:lvl w:ilvl="4" w:tplc="A6C66A4A">
      <w:start w:val="1"/>
      <w:numFmt w:val="bullet"/>
      <w:lvlText w:val="○"/>
      <w:lvlJc w:val="left"/>
      <w:pPr>
        <w:ind w:left="3600" w:hanging="360"/>
      </w:pPr>
    </w:lvl>
    <w:lvl w:ilvl="5" w:tplc="FB30103A">
      <w:start w:val="1"/>
      <w:numFmt w:val="bullet"/>
      <w:lvlText w:val="■"/>
      <w:lvlJc w:val="left"/>
      <w:pPr>
        <w:ind w:left="4320" w:hanging="360"/>
      </w:pPr>
    </w:lvl>
    <w:lvl w:ilvl="6" w:tplc="E2D0CA8C">
      <w:start w:val="1"/>
      <w:numFmt w:val="bullet"/>
      <w:lvlText w:val="●"/>
      <w:lvlJc w:val="left"/>
      <w:pPr>
        <w:ind w:left="5040" w:hanging="360"/>
      </w:pPr>
    </w:lvl>
    <w:lvl w:ilvl="7" w:tplc="008C4F88">
      <w:start w:val="1"/>
      <w:numFmt w:val="bullet"/>
      <w:lvlText w:val="●"/>
      <w:lvlJc w:val="left"/>
      <w:pPr>
        <w:ind w:left="5760" w:hanging="360"/>
      </w:pPr>
    </w:lvl>
    <w:lvl w:ilvl="8" w:tplc="8EB0963E">
      <w:start w:val="1"/>
      <w:numFmt w:val="bullet"/>
      <w:lvlText w:val="●"/>
      <w:lvlJc w:val="left"/>
      <w:pPr>
        <w:ind w:left="6480" w:hanging="360"/>
      </w:pPr>
    </w:lvl>
  </w:abstractNum>
  <w:num w:numId="1" w16cid:durableId="849681628">
    <w:abstractNumId w:val="2"/>
    <w:lvlOverride w:ilvl="0">
      <w:startOverride w:val="1"/>
    </w:lvlOverride>
  </w:num>
  <w:num w:numId="2" w16cid:durableId="42023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8AB"/>
    <w:rsid w:val="001F736D"/>
    <w:rsid w:val="006E28AB"/>
    <w:rsid w:val="00EF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25D44"/>
  <w15:docId w15:val="{BBCBD56A-7C3B-4988-8AE2-D4DA9EF6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1442</Words>
  <Characters>8221</Characters>
  <Application>Microsoft Office Word</Application>
  <DocSecurity>0</DocSecurity>
  <Lines>68</Lines>
  <Paragraphs>19</Paragraphs>
  <ScaleCrop>false</ScaleCrop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Ali Attia</cp:lastModifiedBy>
  <cp:revision>2</cp:revision>
  <dcterms:created xsi:type="dcterms:W3CDTF">2025-12-14T02:22:00Z</dcterms:created>
  <dcterms:modified xsi:type="dcterms:W3CDTF">2025-12-14T16:39:00Z</dcterms:modified>
</cp:coreProperties>
</file>