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BFA4" w14:textId="77777777" w:rsidR="001E54FC" w:rsidRDefault="00000000">
      <w:pPr>
        <w:spacing w:after="60"/>
        <w:jc w:val="center"/>
      </w:pPr>
      <w:proofErr w:type="spellStart"/>
      <w:r>
        <w:rPr>
          <w:b/>
          <w:bCs/>
          <w:color w:val="1B2A4A"/>
          <w:sz w:val="72"/>
          <w:szCs w:val="72"/>
        </w:rPr>
        <w:t>DiaTwin</w:t>
      </w:r>
      <w:proofErr w:type="spellEnd"/>
    </w:p>
    <w:p w14:paraId="698EBC69" w14:textId="77777777" w:rsidR="001E54FC" w:rsidRDefault="00000000">
      <w:pPr>
        <w:spacing w:after="60"/>
        <w:jc w:val="center"/>
      </w:pPr>
      <w:r>
        <w:rPr>
          <w:color w:val="1F5C99"/>
          <w:sz w:val="32"/>
          <w:szCs w:val="32"/>
        </w:rPr>
        <w:t>Clinical Value for Patients &amp; Physicians</w:t>
      </w:r>
    </w:p>
    <w:p w14:paraId="23DEED13" w14:textId="351640BC" w:rsidR="001E54FC" w:rsidRDefault="00000000">
      <w:pPr>
        <w:pBdr>
          <w:bottom w:val="single" w:sz="4" w:space="0" w:color="1F5C99"/>
        </w:pBdr>
        <w:spacing w:after="140"/>
        <w:jc w:val="center"/>
      </w:pPr>
      <w:r>
        <w:rPr>
          <w:i/>
          <w:iCs/>
          <w:color w:val="5D6D7E"/>
          <w:sz w:val="20"/>
          <w:szCs w:val="20"/>
        </w:rPr>
        <w:t xml:space="preserve">Decision-Support Platform for Insulin-Requiring Diabetes  </w:t>
      </w:r>
    </w:p>
    <w:p w14:paraId="3A39BF14" w14:textId="77777777" w:rsidR="001E54FC" w:rsidRDefault="001E54FC">
      <w:pPr>
        <w:spacing w:before="60" w:after="60"/>
      </w:pPr>
    </w:p>
    <w:p w14:paraId="54643F8D" w14:textId="787F7F63" w:rsidR="001E54FC" w:rsidRDefault="00000000">
      <w:pPr>
        <w:spacing w:before="40" w:after="80"/>
      </w:pPr>
      <w:r>
        <w:rPr>
          <w:sz w:val="21"/>
          <w:szCs w:val="21"/>
        </w:rPr>
        <w:t>Managing insulin-requiring diabetes demands that patients balance three interacting variables simultaneously — carbohydrate absorption, insulin activity, and physical exertion</w:t>
      </w:r>
      <w:r w:rsidR="009A5520"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every hour of every day. </w:t>
      </w:r>
      <w:proofErr w:type="spellStart"/>
      <w:r>
        <w:rPr>
          <w:sz w:val="21"/>
          <w:szCs w:val="21"/>
        </w:rPr>
        <w:t>DiaTwin</w:t>
      </w:r>
      <w:proofErr w:type="spellEnd"/>
      <w:r>
        <w:rPr>
          <w:sz w:val="21"/>
          <w:szCs w:val="21"/>
        </w:rPr>
        <w:t xml:space="preserve"> addresses this complexity by building a real-time pharmacodynamic model of each patient's glycaemic state, turning passive logging into an active decision-support tool for both patients and their clinical teams.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54FC" w14:paraId="48B3B4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30" w:type="dxa"/>
              <w:left w:w="280" w:type="dxa"/>
              <w:bottom w:w="130" w:type="dxa"/>
              <w:right w:w="180" w:type="dxa"/>
            </w:tcMar>
          </w:tcPr>
          <w:p w14:paraId="24E6E389" w14:textId="77777777" w:rsidR="001E54FC" w:rsidRDefault="00000000">
            <w:r>
              <w:rPr>
                <w:b/>
                <w:bCs/>
                <w:color w:val="FFFFFF"/>
                <w:sz w:val="28"/>
                <w:szCs w:val="28"/>
              </w:rPr>
              <w:t>Added Value for Patients</w:t>
            </w:r>
          </w:p>
        </w:tc>
      </w:tr>
    </w:tbl>
    <w:p w14:paraId="310EE975" w14:textId="77777777" w:rsidR="001E54FC" w:rsidRDefault="001E54FC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E54FC" w14:paraId="36345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EF0B7" w14:textId="77777777" w:rsidR="001E54F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0573B2" w14:textId="77777777" w:rsidR="001E54FC" w:rsidRDefault="00000000">
            <w:r>
              <w:rPr>
                <w:b/>
                <w:bCs/>
                <w:color w:val="FFFFFF"/>
                <w:sz w:val="19"/>
                <w:szCs w:val="19"/>
              </w:rPr>
              <w:t>Patient Benefit</w:t>
            </w:r>
          </w:p>
        </w:tc>
      </w:tr>
      <w:tr w:rsidR="001E54FC" w14:paraId="04A773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068316" w14:textId="77777777" w:rsidR="001E54FC" w:rsidRDefault="00000000">
            <w:r>
              <w:rPr>
                <w:sz w:val="20"/>
                <w:szCs w:val="20"/>
              </w:rPr>
              <w:t>Real-Time IOB &amp; MOB Display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FA41B" w14:textId="71FAC8E5" w:rsidR="001E54FC" w:rsidRDefault="00000000">
            <w:r>
              <w:rPr>
                <w:sz w:val="20"/>
                <w:szCs w:val="20"/>
              </w:rPr>
              <w:t>Patients see exactly how much insulin is still active and how many carbohydrates are still absorbing</w:t>
            </w:r>
            <w:r w:rsidR="009A552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eliminating guesswork before a correction dose and reducing insulin stacking risk.</w:t>
            </w:r>
          </w:p>
        </w:tc>
      </w:tr>
      <w:tr w:rsidR="001E54FC" w14:paraId="4BC18B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F9132" w14:textId="77777777" w:rsidR="001E54FC" w:rsidRDefault="00000000">
            <w:r>
              <w:rPr>
                <w:sz w:val="20"/>
                <w:szCs w:val="20"/>
              </w:rPr>
              <w:t>Advisory Bolus Calculator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41F0DA" w14:textId="5C07C927" w:rsidR="001E54FC" w:rsidRDefault="00000000">
            <w:r>
              <w:rPr>
                <w:sz w:val="20"/>
                <w:szCs w:val="20"/>
              </w:rPr>
              <w:t>The system suggests a dose that accounts for the planned meal, current blood glucose, active IOB, activity level, and time-of-day insulin resistance</w:t>
            </w:r>
            <w:r w:rsidR="009A552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giving a personalised, contextualised starting point for each dose decision.</w:t>
            </w:r>
          </w:p>
        </w:tc>
      </w:tr>
      <w:tr w:rsidR="001E54FC" w14:paraId="32DB7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DF312" w14:textId="77777777" w:rsidR="001E54FC" w:rsidRDefault="00000000">
            <w:r>
              <w:rPr>
                <w:sz w:val="20"/>
                <w:szCs w:val="20"/>
              </w:rPr>
              <w:t>Pending BG Rise Prediction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2D614" w14:textId="77777777" w:rsidR="001E54FC" w:rsidRDefault="00000000">
            <w:r>
              <w:rPr>
                <w:sz w:val="20"/>
                <w:szCs w:val="20"/>
              </w:rPr>
              <w:t>MOB is converted into an estimated future blood glucose rise, allowing patients to anticipate hyperglycaemia before it is measured rather than reacting to it after.</w:t>
            </w:r>
          </w:p>
        </w:tc>
      </w:tr>
      <w:tr w:rsidR="001E54FC" w14:paraId="3FED31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10519" w14:textId="77777777" w:rsidR="001E54FC" w:rsidRDefault="00000000">
            <w:r>
              <w:rPr>
                <w:sz w:val="20"/>
                <w:szCs w:val="20"/>
              </w:rPr>
              <w:t>Net Glycaemic Trend Indicator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D6BCC" w14:textId="77777777" w:rsidR="001E54FC" w:rsidRDefault="00000000">
            <w:r>
              <w:rPr>
                <w:sz w:val="20"/>
                <w:szCs w:val="20"/>
              </w:rPr>
              <w:t>A single combined signal (rising / stable / falling) integrates all active effects, making the current direction of blood glucose immediately legible without requiring clinical interpretation.</w:t>
            </w:r>
          </w:p>
        </w:tc>
      </w:tr>
      <w:tr w:rsidR="001E54FC" w14:paraId="341AC4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44A71" w14:textId="77777777" w:rsidR="001E54FC" w:rsidRDefault="00000000">
            <w:r>
              <w:rPr>
                <w:sz w:val="20"/>
                <w:szCs w:val="20"/>
              </w:rPr>
              <w:t>Pre-Bolus Timing Guidance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88248" w14:textId="77777777" w:rsidR="001E54FC" w:rsidRDefault="00000000">
            <w:r>
              <w:rPr>
                <w:sz w:val="20"/>
                <w:szCs w:val="20"/>
              </w:rPr>
              <w:t>Based on the glycaemic index of the logged meal, the app recommends the optimal pre-meal injection window (0–20 minutes), improving postprandial glucose synchronisation.</w:t>
            </w:r>
          </w:p>
        </w:tc>
      </w:tr>
      <w:tr w:rsidR="001E54FC" w14:paraId="67419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4DD27" w14:textId="77777777" w:rsidR="001E54FC" w:rsidRDefault="00000000">
            <w:r>
              <w:rPr>
                <w:sz w:val="20"/>
                <w:szCs w:val="20"/>
              </w:rPr>
              <w:t>Structured Meal Logging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4E428" w14:textId="11B71899" w:rsidR="001E54FC" w:rsidRDefault="00000000">
            <w:r>
              <w:rPr>
                <w:sz w:val="20"/>
                <w:szCs w:val="20"/>
              </w:rPr>
              <w:t xml:space="preserve">An extensive food </w:t>
            </w:r>
            <w:proofErr w:type="gramStart"/>
            <w:r>
              <w:rPr>
                <w:sz w:val="20"/>
                <w:szCs w:val="20"/>
              </w:rPr>
              <w:t xml:space="preserve">database </w:t>
            </w:r>
            <w:r w:rsidR="009A5520">
              <w:rPr>
                <w:sz w:val="20"/>
                <w:szCs w:val="20"/>
              </w:rPr>
              <w:t>,</w:t>
            </w:r>
            <w:proofErr w:type="gramEnd"/>
            <w:r w:rsidR="009A55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including local cuisine </w:t>
            </w:r>
            <w:proofErr w:type="gramStart"/>
            <w:r>
              <w:rPr>
                <w:sz w:val="20"/>
                <w:szCs w:val="20"/>
              </w:rPr>
              <w:t>categories  reduces</w:t>
            </w:r>
            <w:proofErr w:type="gramEnd"/>
            <w:r>
              <w:rPr>
                <w:sz w:val="20"/>
                <w:szCs w:val="20"/>
              </w:rPr>
              <w:t xml:space="preserve"> the burden of carbohydrate counting and improves logging adherence.</w:t>
            </w:r>
          </w:p>
        </w:tc>
      </w:tr>
      <w:tr w:rsidR="001E54FC" w14:paraId="62436E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F809CB" w14:textId="77777777" w:rsidR="001E54FC" w:rsidRDefault="00000000">
            <w:r>
              <w:rPr>
                <w:sz w:val="20"/>
                <w:szCs w:val="20"/>
              </w:rPr>
              <w:t>Activity Adjustment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C9D18" w14:textId="6504BD32" w:rsidR="001E54FC" w:rsidRDefault="00000000">
            <w:r>
              <w:rPr>
                <w:sz w:val="20"/>
                <w:szCs w:val="20"/>
              </w:rPr>
              <w:t xml:space="preserve">Logging physical activity automatically adjusts dose suggestions, supporting safer exercise </w:t>
            </w:r>
            <w:proofErr w:type="gramStart"/>
            <w:r>
              <w:rPr>
                <w:sz w:val="20"/>
                <w:szCs w:val="20"/>
              </w:rPr>
              <w:t xml:space="preserve">management </w:t>
            </w:r>
            <w:r w:rsidR="009A5520">
              <w:rPr>
                <w:sz w:val="20"/>
                <w:szCs w:val="20"/>
              </w:rPr>
              <w:t>,</w:t>
            </w:r>
            <w:proofErr w:type="gramEnd"/>
            <w:r w:rsidR="009A55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one of the most common sources of glycaemic variability in active patients.</w:t>
            </w:r>
          </w:p>
        </w:tc>
      </w:tr>
      <w:tr w:rsidR="001E54FC" w14:paraId="39D399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845A4" w14:textId="77777777" w:rsidR="001E54FC" w:rsidRDefault="00000000">
            <w:r>
              <w:rPr>
                <w:sz w:val="20"/>
                <w:szCs w:val="20"/>
              </w:rPr>
              <w:t>Cumulative Daily Baseline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4829E" w14:textId="77777777" w:rsidR="001E54FC" w:rsidRDefault="00000000">
            <w:r>
              <w:rPr>
                <w:sz w:val="20"/>
                <w:szCs w:val="20"/>
              </w:rPr>
              <w:t>Patients can see their stable metabolic baseline — an estimate of their underlying fasting glucose independent of daily intake and dosing — supporting long-term pattern recognition.</w:t>
            </w:r>
          </w:p>
        </w:tc>
      </w:tr>
    </w:tbl>
    <w:p w14:paraId="05ACF7C4" w14:textId="77777777" w:rsidR="001E54FC" w:rsidRDefault="001E54FC">
      <w:pPr>
        <w:spacing w:before="120" w:after="40"/>
      </w:pPr>
    </w:p>
    <w:p w14:paraId="1ABF89B5" w14:textId="77777777" w:rsidR="009A5520" w:rsidRDefault="009A5520">
      <w:pPr>
        <w:spacing w:before="120" w:after="40"/>
      </w:pPr>
    </w:p>
    <w:p w14:paraId="0521362C" w14:textId="77777777" w:rsidR="009A5520" w:rsidRDefault="009A5520">
      <w:pPr>
        <w:spacing w:before="120" w:after="40"/>
      </w:pPr>
    </w:p>
    <w:p w14:paraId="26115013" w14:textId="77777777" w:rsidR="009A5520" w:rsidRDefault="009A5520">
      <w:pPr>
        <w:spacing w:before="12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54FC" w14:paraId="29ABA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30" w:type="dxa"/>
              <w:left w:w="280" w:type="dxa"/>
              <w:bottom w:w="130" w:type="dxa"/>
              <w:right w:w="180" w:type="dxa"/>
            </w:tcMar>
          </w:tcPr>
          <w:p w14:paraId="57A9D70B" w14:textId="77777777" w:rsidR="001E54FC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Added Value for Physicians</w:t>
            </w:r>
          </w:p>
        </w:tc>
      </w:tr>
    </w:tbl>
    <w:p w14:paraId="3A3434D3" w14:textId="77777777" w:rsidR="001E54FC" w:rsidRDefault="001E54FC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E54FC" w14:paraId="0CCDD2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B5957" w14:textId="77777777" w:rsidR="001E54FC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F64E1" w14:textId="77777777" w:rsidR="001E54FC" w:rsidRDefault="00000000">
            <w:r>
              <w:rPr>
                <w:b/>
                <w:bCs/>
                <w:color w:val="FFFFFF"/>
                <w:sz w:val="19"/>
                <w:szCs w:val="19"/>
              </w:rPr>
              <w:t>Clinical Benefit</w:t>
            </w:r>
          </w:p>
        </w:tc>
      </w:tr>
      <w:tr w:rsidR="001E54FC" w14:paraId="4E3A23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D518B" w14:textId="77777777" w:rsidR="001E54FC" w:rsidRDefault="00000000">
            <w:r>
              <w:rPr>
                <w:sz w:val="20"/>
                <w:szCs w:val="20"/>
              </w:rPr>
              <w:t>Remote Patient Monitoring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FE2E11" w14:textId="77777777" w:rsidR="001E54FC" w:rsidRDefault="00000000">
            <w:r>
              <w:rPr>
                <w:sz w:val="20"/>
                <w:szCs w:val="20"/>
              </w:rPr>
              <w:t>Authorised physicians access a dedicated dashboard showing blood glucose history, meal logs, insulin records, and activity data — enabling informed pre-consultation review without a face-to-face visit.</w:t>
            </w:r>
          </w:p>
        </w:tc>
      </w:tr>
      <w:tr w:rsidR="001E54FC" w14:paraId="579A8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3EA11" w14:textId="77777777" w:rsidR="001E54FC" w:rsidRDefault="00000000">
            <w:r>
              <w:rPr>
                <w:sz w:val="20"/>
                <w:szCs w:val="20"/>
              </w:rPr>
              <w:t>Glycaemic Response Analysis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E746F9" w14:textId="77777777" w:rsidR="001E54FC" w:rsidRDefault="00000000">
            <w:r>
              <w:rPr>
                <w:sz w:val="20"/>
                <w:szCs w:val="20"/>
              </w:rPr>
              <w:t>A meal-glucose correlation chart reveals the patient's postprandial response pattern across days or weeks, providing objective evidence for ICR or ISF titration decisions.</w:t>
            </w:r>
          </w:p>
        </w:tc>
      </w:tr>
      <w:tr w:rsidR="001E54FC" w14:paraId="5386D4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FC23B" w14:textId="77777777" w:rsidR="001E54FC" w:rsidRDefault="00000000">
            <w:r>
              <w:rPr>
                <w:sz w:val="20"/>
                <w:szCs w:val="20"/>
              </w:rPr>
              <w:t>Clinical Parameter Review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B3A43" w14:textId="77777777" w:rsidR="001E54FC" w:rsidRPr="009A5520" w:rsidRDefault="00000000">
            <w:r w:rsidRPr="009A5520">
              <w:rPr>
                <w:sz w:val="20"/>
                <w:szCs w:val="20"/>
              </w:rPr>
              <w:t>All patient-specific constants (ICR, correction factor, target glucose, absorption modifiers) are visible in a structured view, making parameter discrepancies immediately apparent.</w:t>
            </w:r>
          </w:p>
        </w:tc>
      </w:tr>
      <w:tr w:rsidR="001E54FC" w14:paraId="22040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8EEF7" w14:textId="77777777" w:rsidR="001E54FC" w:rsidRDefault="00000000">
            <w:r>
              <w:rPr>
                <w:sz w:val="20"/>
                <w:szCs w:val="20"/>
              </w:rPr>
              <w:t>Pattern-Based Titration Support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46C84" w14:textId="77777777" w:rsidR="001E54FC" w:rsidRPr="009A5520" w:rsidRDefault="00000000">
            <w:r w:rsidRPr="009A5520">
              <w:rPr>
                <w:sz w:val="20"/>
                <w:szCs w:val="20"/>
              </w:rPr>
              <w:t>Time-in-range statistics, SMBG analysis, and glycaemic variability metrics (MAGE, CV%) provide a structured evidence base for dose adjustment conversations.</w:t>
            </w:r>
          </w:p>
        </w:tc>
      </w:tr>
      <w:tr w:rsidR="001E54FC" w:rsidRPr="009A5520" w14:paraId="621F48C1" w14:textId="77777777" w:rsidTr="009A552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9E336" w14:textId="77777777" w:rsidR="001E54FC" w:rsidRPr="009A5520" w:rsidRDefault="00000000">
            <w:pPr>
              <w:rPr>
                <w:sz w:val="20"/>
                <w:szCs w:val="20"/>
              </w:rPr>
            </w:pPr>
            <w:r w:rsidRPr="009A5520">
              <w:rPr>
                <w:sz w:val="20"/>
                <w:szCs w:val="20"/>
              </w:rPr>
              <w:t>Consent-Gated Access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E9C4E" w14:textId="77777777" w:rsidR="001E54FC" w:rsidRPr="009A5520" w:rsidRDefault="00000000">
            <w:pPr>
              <w:rPr>
                <w:sz w:val="20"/>
                <w:szCs w:val="20"/>
              </w:rPr>
            </w:pPr>
            <w:r w:rsidRPr="009A5520">
              <w:rPr>
                <w:sz w:val="20"/>
                <w:szCs w:val="20"/>
              </w:rPr>
              <w:t>The bilateral authorization model ensures patient data sovereignty. Physicians see only consented patients — supporting GDPR-aligned clinical data governance.</w:t>
            </w:r>
          </w:p>
        </w:tc>
      </w:tr>
      <w:tr w:rsidR="001E54FC" w14:paraId="182124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70DF2" w14:textId="77777777" w:rsidR="001E54FC" w:rsidRDefault="00000000">
            <w:r>
              <w:rPr>
                <w:sz w:val="20"/>
                <w:szCs w:val="20"/>
              </w:rPr>
              <w:t>Multi-Patient Overview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EE418" w14:textId="77777777" w:rsidR="001E54FC" w:rsidRDefault="00000000">
            <w:r>
              <w:rPr>
                <w:sz w:val="20"/>
                <w:szCs w:val="20"/>
              </w:rPr>
              <w:t>The physician dashboard supports a full panel of authorized patients, each searchable by name, enabling efficient review workflows in a specialist clinic or general practice setting.</w:t>
            </w:r>
          </w:p>
        </w:tc>
      </w:tr>
    </w:tbl>
    <w:p w14:paraId="4A8C47F2" w14:textId="77777777" w:rsidR="001E54FC" w:rsidRDefault="001E54FC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54FC" w14:paraId="10132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12" w:space="0" w:color="1F5C99"/>
              <w:bottom w:val="single" w:sz="2" w:space="0" w:color="1F5C99"/>
              <w:right w:val="single" w:sz="2" w:space="0" w:color="1F5C99"/>
            </w:tcBorders>
            <w:shd w:val="clear" w:color="auto" w:fill="EAF2FF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02B0F977" w14:textId="77777777" w:rsidR="001E54FC" w:rsidRDefault="00000000">
            <w:pPr>
              <w:spacing w:before="36" w:after="36"/>
            </w:pPr>
            <w:r>
              <w:rPr>
                <w:sz w:val="20"/>
                <w:szCs w:val="20"/>
              </w:rPr>
              <w:t xml:space="preserve">In Summary: </w:t>
            </w:r>
            <w:proofErr w:type="spellStart"/>
            <w:r>
              <w:rPr>
                <w:sz w:val="20"/>
                <w:szCs w:val="20"/>
              </w:rPr>
              <w:t>DiaTwin</w:t>
            </w:r>
            <w:proofErr w:type="spellEnd"/>
            <w:r>
              <w:rPr>
                <w:sz w:val="20"/>
                <w:szCs w:val="20"/>
              </w:rPr>
              <w:t xml:space="preserve"> shifts diabetes management from reactive monitoring to predictive self-care.</w:t>
            </w:r>
          </w:p>
          <w:p w14:paraId="5A5F08F2" w14:textId="77777777" w:rsidR="001E54FC" w:rsidRDefault="00000000">
            <w:pPr>
              <w:spacing w:before="36" w:after="36"/>
            </w:pPr>
            <w:r>
              <w:rPr>
                <w:sz w:val="20"/>
                <w:szCs w:val="20"/>
              </w:rPr>
              <w:t>For patients, it provides real-time insight into the direction and magnitude of glycaemic change.</w:t>
            </w:r>
          </w:p>
          <w:p w14:paraId="0AE70708" w14:textId="5DAAB21A" w:rsidR="001E54FC" w:rsidRDefault="00000000">
            <w:pPr>
              <w:spacing w:before="36" w:after="36"/>
            </w:pPr>
            <w:r>
              <w:rPr>
                <w:sz w:val="20"/>
                <w:szCs w:val="20"/>
              </w:rPr>
              <w:t>For physicians, it offers a structured, consent-gated window into the patient's daily metabolic reality</w:t>
            </w:r>
            <w:r w:rsidR="009A5520">
              <w:rPr>
                <w:sz w:val="20"/>
                <w:szCs w:val="20"/>
              </w:rPr>
              <w:t xml:space="preserve">, </w:t>
            </w:r>
          </w:p>
          <w:p w14:paraId="5C058397" w14:textId="77777777" w:rsidR="001E54FC" w:rsidRDefault="00000000">
            <w:pPr>
              <w:spacing w:before="36" w:after="36"/>
            </w:pPr>
            <w:r>
              <w:rPr>
                <w:sz w:val="20"/>
                <w:szCs w:val="20"/>
              </w:rPr>
              <w:t>enabling evidence-based consultations and more precise, personalised therapy adjustments.</w:t>
            </w:r>
          </w:p>
          <w:p w14:paraId="5A960ED9" w14:textId="77777777" w:rsidR="001E54FC" w:rsidRDefault="001E54FC">
            <w:pPr>
              <w:spacing w:before="36" w:after="36"/>
            </w:pPr>
          </w:p>
          <w:p w14:paraId="49C47040" w14:textId="77777777" w:rsidR="001E54FC" w:rsidRDefault="00000000">
            <w:pPr>
              <w:spacing w:before="36" w:after="36"/>
            </w:pPr>
            <w:r>
              <w:rPr>
                <w:sz w:val="20"/>
                <w:szCs w:val="20"/>
              </w:rPr>
              <w:t xml:space="preserve">Advisory use only.  </w:t>
            </w:r>
            <w:proofErr w:type="spellStart"/>
            <w:r>
              <w:rPr>
                <w:sz w:val="20"/>
                <w:szCs w:val="20"/>
              </w:rPr>
              <w:t>DiaTwin</w:t>
            </w:r>
            <w:proofErr w:type="spellEnd"/>
            <w:r>
              <w:rPr>
                <w:sz w:val="20"/>
                <w:szCs w:val="20"/>
              </w:rPr>
              <w:t xml:space="preserve"> does not replace clinical judgement or formal diabetes management protocols.</w:t>
            </w:r>
          </w:p>
        </w:tc>
      </w:tr>
    </w:tbl>
    <w:p w14:paraId="395766FF" w14:textId="55FDE62D" w:rsidR="001E54FC" w:rsidRDefault="001E54FC" w:rsidP="009A5520">
      <w:pPr>
        <w:pBdr>
          <w:top w:val="single" w:sz="2" w:space="0" w:color="1F5C99"/>
        </w:pBdr>
        <w:spacing w:before="100"/>
      </w:pPr>
    </w:p>
    <w:sectPr w:rsidR="001E54FC">
      <w:headerReference w:type="default" r:id="rId7"/>
      <w:footerReference w:type="default" r:id="rId8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82268" w14:textId="77777777" w:rsidR="00563902" w:rsidRDefault="00563902">
      <w:r>
        <w:separator/>
      </w:r>
    </w:p>
  </w:endnote>
  <w:endnote w:type="continuationSeparator" w:id="0">
    <w:p w14:paraId="5EC72A1A" w14:textId="77777777" w:rsidR="00563902" w:rsidRDefault="00563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D9EA" w14:textId="77777777" w:rsidR="001E54FC" w:rsidRDefault="00000000">
    <w:pPr>
      <w:pBdr>
        <w:top w:val="single" w:sz="2" w:space="1" w:color="1F5C99"/>
      </w:pBdr>
      <w:jc w:val="center"/>
    </w:pPr>
    <w:r>
      <w:rPr>
        <w:color w:val="5D6D7E"/>
        <w:sz w:val="17"/>
        <w:szCs w:val="17"/>
      </w:rPr>
      <w:t xml:space="preserve">Page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PAGE</w:instrText>
    </w:r>
    <w:r>
      <w:rPr>
        <w:color w:val="5D6D7E"/>
        <w:sz w:val="17"/>
        <w:szCs w:val="17"/>
      </w:rPr>
      <w:fldChar w:fldCharType="separate"/>
    </w:r>
    <w:r w:rsidR="009A5520">
      <w:rPr>
        <w:noProof/>
        <w:color w:val="5D6D7E"/>
        <w:sz w:val="17"/>
        <w:szCs w:val="17"/>
      </w:rPr>
      <w:t>1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of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NUMPAGES</w:instrText>
    </w:r>
    <w:r>
      <w:rPr>
        <w:color w:val="5D6D7E"/>
        <w:sz w:val="17"/>
        <w:szCs w:val="17"/>
      </w:rPr>
      <w:fldChar w:fldCharType="separate"/>
    </w:r>
    <w:r w:rsidR="009A5520">
      <w:rPr>
        <w:noProof/>
        <w:color w:val="5D6D7E"/>
        <w:sz w:val="17"/>
        <w:szCs w:val="17"/>
      </w:rPr>
      <w:t>2</w:t>
    </w:r>
    <w:r>
      <w:rPr>
        <w:color w:val="5D6D7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B774" w14:textId="77777777" w:rsidR="00563902" w:rsidRDefault="00563902">
      <w:r>
        <w:separator/>
      </w:r>
    </w:p>
  </w:footnote>
  <w:footnote w:type="continuationSeparator" w:id="0">
    <w:p w14:paraId="68BAE3E0" w14:textId="77777777" w:rsidR="00563902" w:rsidRDefault="00563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9E23" w14:textId="0AA1B1C0" w:rsidR="001E54FC" w:rsidRDefault="001E54FC">
    <w:pPr>
      <w:pBdr>
        <w:bottom w:val="single" w:sz="3" w:space="1" w:color="1F5C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674C"/>
    <w:multiLevelType w:val="hybridMultilevel"/>
    <w:tmpl w:val="12B627DE"/>
    <w:lvl w:ilvl="0" w:tplc="B94C467C">
      <w:start w:val="1"/>
      <w:numFmt w:val="bullet"/>
      <w:lvlText w:val="•"/>
      <w:lvlJc w:val="left"/>
      <w:pPr>
        <w:ind w:left="720" w:hanging="360"/>
      </w:pPr>
    </w:lvl>
    <w:lvl w:ilvl="1" w:tplc="543E3FA0">
      <w:numFmt w:val="decimal"/>
      <w:lvlText w:val=""/>
      <w:lvlJc w:val="left"/>
    </w:lvl>
    <w:lvl w:ilvl="2" w:tplc="6C206F50">
      <w:numFmt w:val="decimal"/>
      <w:lvlText w:val=""/>
      <w:lvlJc w:val="left"/>
    </w:lvl>
    <w:lvl w:ilvl="3" w:tplc="C15C60B6">
      <w:numFmt w:val="decimal"/>
      <w:lvlText w:val=""/>
      <w:lvlJc w:val="left"/>
    </w:lvl>
    <w:lvl w:ilvl="4" w:tplc="C2D02D94">
      <w:numFmt w:val="decimal"/>
      <w:lvlText w:val=""/>
      <w:lvlJc w:val="left"/>
    </w:lvl>
    <w:lvl w:ilvl="5" w:tplc="FFF60674">
      <w:numFmt w:val="decimal"/>
      <w:lvlText w:val=""/>
      <w:lvlJc w:val="left"/>
    </w:lvl>
    <w:lvl w:ilvl="6" w:tplc="F38E3FB8">
      <w:numFmt w:val="decimal"/>
      <w:lvlText w:val=""/>
      <w:lvlJc w:val="left"/>
    </w:lvl>
    <w:lvl w:ilvl="7" w:tplc="C4AC80F2">
      <w:numFmt w:val="decimal"/>
      <w:lvlText w:val=""/>
      <w:lvlJc w:val="left"/>
    </w:lvl>
    <w:lvl w:ilvl="8" w:tplc="22AC68A4">
      <w:numFmt w:val="decimal"/>
      <w:lvlText w:val=""/>
      <w:lvlJc w:val="left"/>
    </w:lvl>
  </w:abstractNum>
  <w:abstractNum w:abstractNumId="1" w15:restartNumberingAfterBreak="0">
    <w:nsid w:val="37F741F3"/>
    <w:multiLevelType w:val="hybridMultilevel"/>
    <w:tmpl w:val="88D0103A"/>
    <w:lvl w:ilvl="0" w:tplc="CF847438">
      <w:start w:val="1"/>
      <w:numFmt w:val="bullet"/>
      <w:lvlText w:val="●"/>
      <w:lvlJc w:val="left"/>
      <w:pPr>
        <w:ind w:left="720" w:hanging="360"/>
      </w:pPr>
    </w:lvl>
    <w:lvl w:ilvl="1" w:tplc="E6C228FC">
      <w:start w:val="1"/>
      <w:numFmt w:val="bullet"/>
      <w:lvlText w:val="○"/>
      <w:lvlJc w:val="left"/>
      <w:pPr>
        <w:ind w:left="1440" w:hanging="360"/>
      </w:pPr>
    </w:lvl>
    <w:lvl w:ilvl="2" w:tplc="CE38EA92">
      <w:start w:val="1"/>
      <w:numFmt w:val="bullet"/>
      <w:lvlText w:val="■"/>
      <w:lvlJc w:val="left"/>
      <w:pPr>
        <w:ind w:left="2160" w:hanging="360"/>
      </w:pPr>
    </w:lvl>
    <w:lvl w:ilvl="3" w:tplc="836C4FD0">
      <w:start w:val="1"/>
      <w:numFmt w:val="bullet"/>
      <w:lvlText w:val="●"/>
      <w:lvlJc w:val="left"/>
      <w:pPr>
        <w:ind w:left="2880" w:hanging="360"/>
      </w:pPr>
    </w:lvl>
    <w:lvl w:ilvl="4" w:tplc="64D48C74">
      <w:start w:val="1"/>
      <w:numFmt w:val="bullet"/>
      <w:lvlText w:val="○"/>
      <w:lvlJc w:val="left"/>
      <w:pPr>
        <w:ind w:left="3600" w:hanging="360"/>
      </w:pPr>
    </w:lvl>
    <w:lvl w:ilvl="5" w:tplc="A7A6F496">
      <w:start w:val="1"/>
      <w:numFmt w:val="bullet"/>
      <w:lvlText w:val="■"/>
      <w:lvlJc w:val="left"/>
      <w:pPr>
        <w:ind w:left="4320" w:hanging="360"/>
      </w:pPr>
    </w:lvl>
    <w:lvl w:ilvl="6" w:tplc="A42A8E60">
      <w:start w:val="1"/>
      <w:numFmt w:val="bullet"/>
      <w:lvlText w:val="●"/>
      <w:lvlJc w:val="left"/>
      <w:pPr>
        <w:ind w:left="5040" w:hanging="360"/>
      </w:pPr>
    </w:lvl>
    <w:lvl w:ilvl="7" w:tplc="7BF01312">
      <w:start w:val="1"/>
      <w:numFmt w:val="bullet"/>
      <w:lvlText w:val="●"/>
      <w:lvlJc w:val="left"/>
      <w:pPr>
        <w:ind w:left="5760" w:hanging="360"/>
      </w:pPr>
    </w:lvl>
    <w:lvl w:ilvl="8" w:tplc="074EB8E4">
      <w:start w:val="1"/>
      <w:numFmt w:val="bullet"/>
      <w:lvlText w:val="●"/>
      <w:lvlJc w:val="left"/>
      <w:pPr>
        <w:ind w:left="6480" w:hanging="360"/>
      </w:pPr>
    </w:lvl>
  </w:abstractNum>
  <w:num w:numId="1" w16cid:durableId="600143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4FC"/>
    <w:rsid w:val="000D4DAC"/>
    <w:rsid w:val="001E54FC"/>
    <w:rsid w:val="00563902"/>
    <w:rsid w:val="009A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310EC"/>
  <w15:docId w15:val="{2723E079-8E32-443F-B2E8-74CD408C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55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5520"/>
  </w:style>
  <w:style w:type="paragraph" w:styleId="Footer">
    <w:name w:val="footer"/>
    <w:basedOn w:val="Normal"/>
    <w:link w:val="FooterChar"/>
    <w:uiPriority w:val="99"/>
    <w:unhideWhenUsed/>
    <w:rsid w:val="009A55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Attia</cp:lastModifiedBy>
  <cp:revision>2</cp:revision>
  <dcterms:created xsi:type="dcterms:W3CDTF">2026-02-24T21:40:00Z</dcterms:created>
  <dcterms:modified xsi:type="dcterms:W3CDTF">2026-02-24T23:36:00Z</dcterms:modified>
</cp:coreProperties>
</file>