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2282A0" w14:textId="77777777" w:rsidR="00325E42" w:rsidRDefault="00325E42" w:rsidP="00325E42">
      <w:pPr>
        <w:pStyle w:val="Beitragstitel"/>
        <w:rPr>
          <w:lang w:val="en-GB"/>
        </w:rPr>
      </w:pPr>
      <w:r>
        <w:rPr>
          <w:lang w:val="en-GB"/>
        </w:rPr>
        <w:t>DiaTwin: A Circadian-Aware, Clinician-in-the-Loop Platform for Personalised Insulin Dosing in Type 1 Diabetes</w:t>
      </w:r>
    </w:p>
    <w:p w14:paraId="5AFA0A5E" w14:textId="77777777" w:rsidR="00325E42" w:rsidRPr="006B3BBA" w:rsidRDefault="00325E42" w:rsidP="00325E42">
      <w:pPr>
        <w:pStyle w:val="Text"/>
        <w:rPr>
          <w:lang w:val="en-US"/>
        </w:rPr>
      </w:pPr>
    </w:p>
    <w:p w14:paraId="456C949C" w14:textId="6A391F61" w:rsidR="00AE53F8" w:rsidRDefault="00AE53F8" w:rsidP="005406A9">
      <w:pPr>
        <w:spacing w:after="14" w:line="276" w:lineRule="auto"/>
        <w:jc w:val="both"/>
        <w:rPr>
          <w:sz w:val="20"/>
          <w:lang w:val="en-GB"/>
        </w:rPr>
      </w:pPr>
      <w:r>
        <w:rPr>
          <w:sz w:val="20"/>
          <w:lang w:val="en-GB"/>
        </w:rPr>
        <w:t xml:space="preserve">Ali Mohamed Mahmoud Attia, </w:t>
      </w:r>
      <w:proofErr w:type="spellStart"/>
      <w:proofErr w:type="gramStart"/>
      <w:r w:rsidR="005406A9">
        <w:rPr>
          <w:sz w:val="20"/>
          <w:lang w:val="en-GB"/>
        </w:rPr>
        <w:t>M.Sc</w:t>
      </w:r>
      <w:proofErr w:type="spellEnd"/>
      <w:proofErr w:type="gramEnd"/>
      <w:r w:rsidR="005406A9">
        <w:rPr>
          <w:sz w:val="20"/>
          <w:lang w:val="en-GB"/>
        </w:rPr>
        <w:t xml:space="preserve"> Digital health recent graduate, </w:t>
      </w:r>
      <w:r>
        <w:rPr>
          <w:sz w:val="20"/>
          <w:lang w:val="en-GB"/>
        </w:rPr>
        <w:t xml:space="preserve">Faculty European Campus </w:t>
      </w:r>
      <w:proofErr w:type="spellStart"/>
      <w:r>
        <w:rPr>
          <w:sz w:val="20"/>
          <w:lang w:val="en-GB"/>
        </w:rPr>
        <w:t>Rottal</w:t>
      </w:r>
      <w:proofErr w:type="spellEnd"/>
      <w:r>
        <w:rPr>
          <w:sz w:val="20"/>
          <w:lang w:val="en-GB"/>
        </w:rPr>
        <w:t xml:space="preserve">-Inn, Deggendorf Institute of Technology, </w:t>
      </w:r>
      <w:proofErr w:type="spellStart"/>
      <w:r>
        <w:rPr>
          <w:sz w:val="20"/>
          <w:lang w:val="en-GB"/>
        </w:rPr>
        <w:t>Pfarrkirchen</w:t>
      </w:r>
      <w:proofErr w:type="spellEnd"/>
      <w:r>
        <w:rPr>
          <w:sz w:val="20"/>
          <w:lang w:val="en-GB"/>
        </w:rPr>
        <w:t xml:space="preserve">, Germany, </w:t>
      </w:r>
      <w:r w:rsidR="005406A9">
        <w:rPr>
          <w:sz w:val="20"/>
          <w:lang w:val="en-GB"/>
        </w:rPr>
        <w:t>ali.attia@gmx.de</w:t>
      </w:r>
    </w:p>
    <w:p w14:paraId="5AD1BB3D" w14:textId="77777777" w:rsidR="00325E42" w:rsidRDefault="00325E42" w:rsidP="00325E42">
      <w:pPr>
        <w:pStyle w:val="Heading1"/>
        <w:rPr>
          <w:lang w:val="en-GB"/>
        </w:rPr>
      </w:pPr>
      <w:r>
        <w:rPr>
          <w:lang w:val="en-GB"/>
        </w:rPr>
        <w:t>Introduction</w:t>
      </w:r>
    </w:p>
    <w:p w14:paraId="3B08EDD3" w14:textId="2C75ADA6" w:rsidR="00325E42" w:rsidRDefault="00325E42" w:rsidP="00325E42">
      <w:pPr>
        <w:pStyle w:val="Text"/>
        <w:rPr>
          <w:lang w:val="en-GB"/>
        </w:rPr>
      </w:pPr>
      <w:r>
        <w:rPr>
          <w:lang w:val="en-GB"/>
        </w:rPr>
        <w:t>Over 8 million people with Type 1 Diabetes (T1D) worldwide rely on multiple daily injections (MDI) with insulin pens. Despite increasing CGM adoption, no affordable decision-support tool simultaneously integrates insulin pharmacodynamics, macronutrient-specific meal absorption, physical activity effects, and circadian variation in insulin sensitivity. Fixed insulin-to-carbohydrate ratios (ICR) and insulin sensitivity factors (ISF) prescribed by clinicians cannot adapt to these dynamics, producing chronic dosing errors, hypoglycaemia risk, and significant cognitive burden. This work presents DiaTwin, a modular digital health platform designed to address these gaps within a clinician-supervised framework.</w:t>
      </w:r>
    </w:p>
    <w:p w14:paraId="399371E0" w14:textId="77777777" w:rsidR="005406A9" w:rsidRDefault="005406A9" w:rsidP="00325E42">
      <w:pPr>
        <w:pStyle w:val="Text"/>
        <w:rPr>
          <w:lang w:val="en-GB"/>
        </w:rPr>
      </w:pPr>
    </w:p>
    <w:p w14:paraId="6098893F" w14:textId="77777777" w:rsidR="00325E42" w:rsidRDefault="00325E42" w:rsidP="00325E42">
      <w:pPr>
        <w:pStyle w:val="Heading1"/>
        <w:rPr>
          <w:lang w:val="en-GB"/>
        </w:rPr>
      </w:pPr>
      <w:r>
        <w:rPr>
          <w:lang w:val="en-GB"/>
        </w:rPr>
        <w:t>Methods</w:t>
      </w:r>
    </w:p>
    <w:p w14:paraId="56D62EAC" w14:textId="68847D88" w:rsidR="00325E42" w:rsidRDefault="00325E42" w:rsidP="005406A9">
      <w:pPr>
        <w:pStyle w:val="Text"/>
        <w:rPr>
          <w:lang w:val="en-GB"/>
        </w:rPr>
      </w:pPr>
      <w:r>
        <w:rPr>
          <w:lang w:val="en-GB"/>
        </w:rPr>
        <w:t>DiaTwin integrates four physiological layers into a single on-device dose recommendation: (1) camera-based meal recognition with gamma-distribution postprandial absorption curves for full ma</w:t>
      </w:r>
      <w:r w:rsidR="005406A9">
        <w:rPr>
          <w:lang w:val="en-GB"/>
        </w:rPr>
        <w:t>cronutrient loads (CHO, protein,</w:t>
      </w:r>
      <w:r>
        <w:rPr>
          <w:lang w:val="en-GB"/>
        </w:rPr>
        <w:t xml:space="preserve"> fat), referenced to the UVA/Padova GI subsystem; (2) insulin-on-board (IOB) and meal-on-board (MOB) tracking via analogue-specific PK/PD parameters per the AWMF S3 Guideline (2024); (3) a three-state ODE activity model producing real-time Activity-on-Board (AOB) and an 8-hour post-exercise ISF/ICR sensitivity correction; and (4) a circadian baseline anchor using per-2-hour ISF/ICR blocks derived from CGM calibration or finger-prick data. All recommendations are explainable and clinician-reviewable under a clinician-in-the-loop paradigm, with all meal-insulin-activity-outcome tuples logged for future reinforcement learning (RL) parameter refinement. The platform engine was pre-trained on </w:t>
      </w:r>
      <w:r w:rsidR="005406A9">
        <w:rPr>
          <w:lang w:val="en-GB"/>
        </w:rPr>
        <w:t>and val</w:t>
      </w:r>
      <w:r>
        <w:rPr>
          <w:lang w:val="en-GB"/>
        </w:rPr>
        <w:t>idated against the AZT1D dataset (25 T1D patients with CGM, bolus, and carbohydrate records, spanning both MDI and automated insulin delivery periods).</w:t>
      </w:r>
    </w:p>
    <w:p w14:paraId="3DD0BE78" w14:textId="77777777" w:rsidR="005406A9" w:rsidRDefault="005406A9" w:rsidP="005406A9">
      <w:pPr>
        <w:pStyle w:val="Text"/>
        <w:rPr>
          <w:lang w:val="en-GB"/>
        </w:rPr>
      </w:pPr>
      <w:bookmarkStart w:id="0" w:name="_GoBack"/>
      <w:bookmarkEnd w:id="0"/>
    </w:p>
    <w:p w14:paraId="71C94ED4" w14:textId="77777777" w:rsidR="00325E42" w:rsidRDefault="00325E42" w:rsidP="00325E42">
      <w:pPr>
        <w:pStyle w:val="Heading1"/>
        <w:rPr>
          <w:lang w:val="en-GB"/>
        </w:rPr>
      </w:pPr>
      <w:r>
        <w:rPr>
          <w:lang w:val="en-GB"/>
        </w:rPr>
        <w:t>Results</w:t>
      </w:r>
    </w:p>
    <w:p w14:paraId="52E20CC2" w14:textId="0C27E94C" w:rsidR="00325E42" w:rsidRDefault="00325E42" w:rsidP="00325E42">
      <w:pPr>
        <w:pStyle w:val="Text"/>
        <w:rPr>
          <w:lang w:val="en-GB"/>
        </w:rPr>
      </w:pPr>
      <w:r>
        <w:rPr>
          <w:lang w:val="en-GB"/>
        </w:rPr>
        <w:t>The platform demonstrated strong technical performance, ingesting 50,000 database entries in 0.88 seconds and sustaining stable operation across 4,738 real-data processing cycles. The modular architecture successfully integrated all four physiological subsystems into a single unified recommendation pipeline, with dose suggestions rounded to 0.1 U precision and a 0.5 U safety floor. Clinical expert review by a board-certified diabetologist confirmed the platform’s physiological plausibility and highlighted the significant unmet clinical need for integrating blood glucose, insulin dosage, physical activity, and nutritional data into a single decision-support application. The clinician further recognised the system’s learning architecture as valuable for both patient education and physician-informed decision making.</w:t>
      </w:r>
    </w:p>
    <w:p w14:paraId="722DCB11" w14:textId="77777777" w:rsidR="005406A9" w:rsidRDefault="005406A9" w:rsidP="00325E42">
      <w:pPr>
        <w:pStyle w:val="Text"/>
        <w:rPr>
          <w:lang w:val="en-GB"/>
        </w:rPr>
      </w:pPr>
    </w:p>
    <w:p w14:paraId="45103E20" w14:textId="77777777" w:rsidR="00325E42" w:rsidRDefault="00325E42" w:rsidP="00325E42">
      <w:pPr>
        <w:pStyle w:val="Heading1"/>
        <w:rPr>
          <w:lang w:val="en-GB"/>
        </w:rPr>
      </w:pPr>
      <w:r>
        <w:rPr>
          <w:lang w:val="en-GB"/>
        </w:rPr>
        <w:t>Conclusion</w:t>
      </w:r>
    </w:p>
    <w:p w14:paraId="1B2C2EB0" w14:textId="77777777" w:rsidR="00325E42" w:rsidRPr="00E57BAA" w:rsidRDefault="00325E42" w:rsidP="00325E42">
      <w:pPr>
        <w:pStyle w:val="Text"/>
        <w:rPr>
          <w:b/>
          <w:lang w:val="en-GB"/>
        </w:rPr>
      </w:pPr>
      <w:r>
        <w:rPr>
          <w:lang w:val="en-GB"/>
        </w:rPr>
        <w:t>DiaTwin demonstrates that circadian-aware, multi-context insulin dosing support is technically feasible for MDI users without requiring automated insulin delivery hardware. The platform provides a cost-accessible, equity-oriented, and ML-ready foundation for advancing personalised T1D pharmacotherapy. Future work will focus on a prospective pilot RCT (N=30, 6 months) validating circadian RL-driven adaptation against standard-of-care MDI therapy, with particular attention to time-in-range improvement and hypoglycaemia reduction in both high-resource and low-resource clinical settings.</w:t>
      </w:r>
    </w:p>
    <w:p w14:paraId="0907E058" w14:textId="77777777" w:rsidR="00325E42" w:rsidRDefault="00325E42" w:rsidP="00325E42">
      <w:pPr>
        <w:pStyle w:val="Text"/>
        <w:rPr>
          <w:b/>
          <w:lang w:val="en-GB"/>
        </w:rPr>
      </w:pPr>
    </w:p>
    <w:p w14:paraId="28C68E3A" w14:textId="57F966FA" w:rsidR="00AE53F8" w:rsidRDefault="00AE53F8" w:rsidP="00AE53F8">
      <w:pPr>
        <w:pStyle w:val="Text"/>
        <w:rPr>
          <w:b/>
          <w:lang w:val="en-GB"/>
        </w:rPr>
      </w:pPr>
    </w:p>
    <w:p w14:paraId="644B06E8" w14:textId="77777777" w:rsidR="00325E42" w:rsidRPr="00E57BAA" w:rsidRDefault="00325E42" w:rsidP="00325E42">
      <w:pPr>
        <w:pStyle w:val="Text"/>
        <w:rPr>
          <w:b/>
          <w:lang w:val="en-GB"/>
        </w:rPr>
      </w:pPr>
    </w:p>
    <w:p w14:paraId="2D54E932" w14:textId="77777777" w:rsidR="00E57BAA" w:rsidRPr="00325E42" w:rsidRDefault="00E57BAA" w:rsidP="00325E42">
      <w:pPr>
        <w:rPr>
          <w:lang w:val="en-GB"/>
        </w:rPr>
      </w:pPr>
    </w:p>
    <w:sectPr w:rsidR="00E57BAA" w:rsidRPr="00325E42" w:rsidSect="00AF0D80">
      <w:type w:val="nextColumn"/>
      <w:pgSz w:w="11906" w:h="16838"/>
      <w:pgMar w:top="1134" w:right="1134" w:bottom="1588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F15A2"/>
    <w:multiLevelType w:val="hybridMultilevel"/>
    <w:tmpl w:val="BB10D4E8"/>
    <w:lvl w:ilvl="0" w:tplc="C43A635C">
      <w:start w:val="2"/>
      <w:numFmt w:val="decimal"/>
      <w:lvlText w:val="%1"/>
      <w:lvlJc w:val="left"/>
      <w:pPr>
        <w:tabs>
          <w:tab w:val="num" w:pos="1060"/>
        </w:tabs>
        <w:ind w:left="1060" w:hanging="700"/>
      </w:pPr>
      <w:rPr>
        <w:rFonts w:hint="default"/>
      </w:rPr>
    </w:lvl>
    <w:lvl w:ilvl="1" w:tplc="23F00C2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124AB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19899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50EA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26E6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2C04F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90056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1C397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autoHyphenation/>
  <w:hyphenationZone w:val="284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64E"/>
    <w:rsid w:val="002910C8"/>
    <w:rsid w:val="00325E42"/>
    <w:rsid w:val="00411BA4"/>
    <w:rsid w:val="0041731D"/>
    <w:rsid w:val="004B57E5"/>
    <w:rsid w:val="005406A9"/>
    <w:rsid w:val="0065063E"/>
    <w:rsid w:val="00686357"/>
    <w:rsid w:val="006B3BBA"/>
    <w:rsid w:val="006F5BED"/>
    <w:rsid w:val="00723405"/>
    <w:rsid w:val="008914D7"/>
    <w:rsid w:val="00AD46BF"/>
    <w:rsid w:val="00AE53F8"/>
    <w:rsid w:val="00AF0D80"/>
    <w:rsid w:val="00B507DA"/>
    <w:rsid w:val="00BB4EB7"/>
    <w:rsid w:val="00D8065A"/>
    <w:rsid w:val="00E4712A"/>
    <w:rsid w:val="00E501E2"/>
    <w:rsid w:val="00E57BAA"/>
    <w:rsid w:val="00E75942"/>
    <w:rsid w:val="00E91CF6"/>
    <w:rsid w:val="00F0664E"/>
    <w:rsid w:val="00FB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F531CB"/>
  <w15:docId w15:val="{D24A22EC-7DA9-4C32-9BC1-D26BE200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1C1E"/>
    <w:rPr>
      <w:sz w:val="24"/>
    </w:rPr>
  </w:style>
  <w:style w:type="paragraph" w:styleId="Heading1">
    <w:name w:val="heading 1"/>
    <w:basedOn w:val="Normal"/>
    <w:next w:val="Normal"/>
    <w:autoRedefine/>
    <w:qFormat/>
    <w:rsid w:val="00FB1C1E"/>
    <w:pPr>
      <w:keepNext/>
      <w:spacing w:before="320" w:after="120"/>
      <w:ind w:left="709" w:hanging="709"/>
      <w:outlineLvl w:val="0"/>
    </w:pPr>
    <w:rPr>
      <w:b/>
      <w:sz w:val="28"/>
    </w:rPr>
  </w:style>
  <w:style w:type="paragraph" w:styleId="Heading2">
    <w:name w:val="heading 2"/>
    <w:basedOn w:val="Normal"/>
    <w:next w:val="Normal"/>
    <w:autoRedefine/>
    <w:qFormat/>
    <w:rsid w:val="00FB1C1E"/>
    <w:pPr>
      <w:keepNext/>
      <w:spacing w:before="240" w:after="60"/>
      <w:ind w:left="709" w:hanging="709"/>
      <w:outlineLvl w:val="1"/>
    </w:pPr>
    <w:rPr>
      <w:b/>
    </w:rPr>
  </w:style>
  <w:style w:type="paragraph" w:styleId="Heading3">
    <w:name w:val="heading 3"/>
    <w:basedOn w:val="Normal"/>
    <w:next w:val="Normal"/>
    <w:autoRedefine/>
    <w:qFormat/>
    <w:rsid w:val="00FB1C1E"/>
    <w:pPr>
      <w:keepNext/>
      <w:spacing w:before="240" w:after="60"/>
      <w:ind w:left="705" w:hanging="705"/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teratur">
    <w:name w:val="Literatur"/>
    <w:basedOn w:val="Normal"/>
    <w:autoRedefine/>
    <w:rsid w:val="00FB1C1E"/>
    <w:pPr>
      <w:spacing w:after="40"/>
      <w:ind w:left="284" w:hanging="284"/>
    </w:pPr>
    <w:rPr>
      <w:sz w:val="20"/>
    </w:rPr>
  </w:style>
  <w:style w:type="paragraph" w:customStyle="1" w:styleId="berschrift4">
    <w:name w:val="Überschrift 4."/>
    <w:basedOn w:val="Normal"/>
    <w:autoRedefine/>
    <w:rsid w:val="00FB1C1E"/>
    <w:pPr>
      <w:spacing w:before="240" w:after="60"/>
      <w:ind w:left="705" w:hanging="705"/>
    </w:pPr>
    <w:rPr>
      <w:b/>
      <w:sz w:val="20"/>
    </w:rPr>
  </w:style>
  <w:style w:type="paragraph" w:customStyle="1" w:styleId="Text">
    <w:name w:val="Text"/>
    <w:basedOn w:val="Normal"/>
    <w:autoRedefine/>
    <w:rsid w:val="00F0664E"/>
    <w:pPr>
      <w:spacing w:line="240" w:lineRule="exact"/>
      <w:jc w:val="both"/>
    </w:pPr>
    <w:rPr>
      <w:sz w:val="20"/>
    </w:rPr>
  </w:style>
  <w:style w:type="paragraph" w:styleId="BodyText">
    <w:name w:val="Body Text"/>
    <w:basedOn w:val="Normal"/>
    <w:semiHidden/>
    <w:rsid w:val="00FB1C1E"/>
    <w:pPr>
      <w:spacing w:before="120"/>
    </w:pPr>
    <w:rPr>
      <w:sz w:val="20"/>
    </w:rPr>
  </w:style>
  <w:style w:type="paragraph" w:customStyle="1" w:styleId="Beitragstitel">
    <w:name w:val="Beitragstitel"/>
    <w:basedOn w:val="Normal"/>
    <w:rsid w:val="00FB1C1E"/>
    <w:rPr>
      <w:b/>
      <w:sz w:val="32"/>
    </w:rPr>
  </w:style>
  <w:style w:type="paragraph" w:customStyle="1" w:styleId="Abstract">
    <w:name w:val="Abstract"/>
    <w:basedOn w:val="Heading1"/>
    <w:rsid w:val="00FB1C1E"/>
  </w:style>
  <w:style w:type="paragraph" w:styleId="BalloonText">
    <w:name w:val="Balloon Text"/>
    <w:basedOn w:val="Normal"/>
    <w:link w:val="BalloonTextChar"/>
    <w:uiPriority w:val="99"/>
    <w:semiHidden/>
    <w:unhideWhenUsed/>
    <w:rsid w:val="005406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6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6E45C15FCF7D4A8EE0D0ECD09411F2" ma:contentTypeVersion="1" ma:contentTypeDescription="Create a new document." ma:contentTypeScope="" ma:versionID="61a39cc67602c716a92068bfdbb76b8e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ddb0c952b897a810c8a4e377cff6bff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B19AC-631A-4C34-A242-0B44463CC42C}">
  <ds:schemaRefs>
    <ds:schemaRef ds:uri="http://schemas.microsoft.com/office/2006/metadata/propertie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6474094-39BD-47C9-876E-013A180FBA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BB3BF0B-F673-4C65-B817-F292A6CEAC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CD2EB6-055A-49A9-92DE-3C39BD498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Beitragstitel (16 pt fett)</vt:lpstr>
    </vt:vector>
  </TitlesOfParts>
  <Company>VDE VERLAG GMBH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Beitragstitel (16 pt fett)</dc:title>
  <dc:creator>Martina Amrhein</dc:creator>
  <cp:lastModifiedBy>Ali Attia</cp:lastModifiedBy>
  <cp:revision>5</cp:revision>
  <cp:lastPrinted>2026-04-15T12:10:00Z</cp:lastPrinted>
  <dcterms:created xsi:type="dcterms:W3CDTF">2021-03-01T09:41:00Z</dcterms:created>
  <dcterms:modified xsi:type="dcterms:W3CDTF">2026-04-15T12:11:00Z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0x010100226E45C15FCF7D4A8EE0D0ECD09411F2</vt:lpwstr>
  </property>
</Properties>
</file>