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360"/>
              <w:left w:type="dxa" w:w="400"/>
              <w:bottom w:type="dxa" w:w="360"/>
              <w:right w:type="dxa" w:w="400"/>
            </w:tcMar>
          </w:tcPr>
          <w:p>
            <w:pPr>
              <w:spacing w:after="60"/>
              <w:jc w:val="center"/>
            </w:pPr>
            <w:r>
              <w:rPr>
                <w:rFonts w:ascii="Arial" w:cs="Arial" w:eastAsia="Arial" w:hAnsi="Arial"/>
                <w:b/>
                <w:bCs/>
                <w:color w:val="FFFFFF"/>
                <w:sz w:val="72"/>
                <w:szCs w:val="72"/>
              </w:rPr>
              <w:t xml:space="preserve">DiaTwin</w:t>
            </w:r>
          </w:p>
          <w:p>
            <w:pPr>
              <w:spacing w:after="100"/>
              <w:jc w:val="center"/>
            </w:pPr>
            <w:r>
              <w:rPr>
                <w:rFonts w:ascii="Arial" w:cs="Arial" w:eastAsia="Arial" w:hAnsi="Arial"/>
                <w:color w:val="AED6F1"/>
                <w:sz w:val="30"/>
                <w:szCs w:val="30"/>
              </w:rPr>
              <w:t xml:space="preserve">Comprehensive Research &amp; Technical Brief</w:t>
            </w:r>
          </w:p>
          <w:p>
            <w:pPr>
              <w:spacing w:after="100"/>
              <w:jc w:val="center"/>
            </w:pPr>
            <w:r>
              <w:rPr>
                <w:rFonts w:ascii="Arial" w:cs="Arial" w:eastAsia="Arial" w:hAnsi="Arial"/>
                <w:i/>
                <w:iCs/>
                <w:color w:val="D6EAF8"/>
                <w:sz w:val="24"/>
                <w:szCs w:val="24"/>
              </w:rPr>
              <w:t xml:space="preserve">Personalised Insulin Dosing Through Circadian-Aware Reinforcement Learning</w:t>
            </w:r>
          </w:p>
          <w:p>
            <w:pPr>
              <w:spacing w:after="60"/>
              <w:jc w:val="center"/>
            </w:pPr>
            <w:r>
              <w:rPr>
                <w:rFonts w:ascii="Arial" w:cs="Arial" w:eastAsia="Arial" w:hAnsi="Arial"/>
                <w:color w:val="AED6F1"/>
                <w:sz w:val="20"/>
                <w:szCs w:val="20"/>
              </w:rPr>
              <w:t xml:space="preserve">TRL 4–5  ·  M.Sc. Thesis 2025  ·  dia-twin.vercel.app</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CE Class IIa Pathway</w:t>
            </w:r>
          </w:p>
        </w:tc>
        <w:tc>
          <w:tcPr>
            <w:tcW w:type="dxa" w:w="2340"/>
            <w:tcBorders>
              <w:top w:val="none" w:color="FFFFFF" w:sz="0"/>
              <w:left w:val="none" w:color="FFFFFF" w:sz="0"/>
              <w:bottom w:val="none" w:color="FFFFFF" w:sz="0"/>
              <w:right w:val="none" w:color="FFFFFF" w:sz="0"/>
            </w:tcBorders>
            <w:shd w:fill="148F7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DiGA Fast-Track</w:t>
            </w:r>
          </w:p>
        </w:tc>
        <w:tc>
          <w:tcPr>
            <w:tcW w:type="dxa" w:w="2340"/>
            <w:tcBorders>
              <w:top w:val="none" w:color="FFFFFF" w:sz="0"/>
              <w:left w:val="none" w:color="FFFFFF" w:sz="0"/>
              <w:bottom w:val="none" w:color="FFFFFF" w:sz="0"/>
              <w:right w:val="none" w:color="FFFFFF" w:sz="0"/>
            </w:tcBorders>
            <w:shd w:fill="6E2FA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TRL 4–5</w:t>
            </w:r>
          </w:p>
        </w:tc>
        <w:tc>
          <w:tcPr>
            <w:tcW w:type="dxa" w:w="2340"/>
            <w:tcBorders>
              <w:top w:val="none" w:color="FFFFFF" w:sz="0"/>
              <w:left w:val="none" w:color="FFFFFF" w:sz="0"/>
              <w:bottom w:val="none" w:color="FFFFFF" w:sz="0"/>
              <w:right w:val="none" w:color="FFFFFF" w:sz="0"/>
            </w:tcBorders>
            <w:shd w:fill="922B2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AWMF S3 Guideline 057-013</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ED6F1" w:sz="1"/>
              <w:left w:val="single" w:color="AED6F1" w:sz="1"/>
              <w:bottom w:val="single" w:color="AED6F1" w:sz="1"/>
              <w:right w:val="single" w:color="AED6F1"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1A5276"/>
                <w:sz w:val="36"/>
                <w:szCs w:val="36"/>
              </w:rPr>
              <w:t xml:space="preserve">8.7/10</w:t>
            </w:r>
          </w:p>
          <w:p>
            <w:pPr>
              <w:jc w:val="center"/>
            </w:pPr>
            <w:r>
              <w:rPr>
                <w:rFonts w:ascii="Arial" w:cs="Arial" w:eastAsia="Arial" w:hAnsi="Arial"/>
                <w:color w:val="1C2833"/>
                <w:sz w:val="18"/>
                <w:szCs w:val="18"/>
              </w:rPr>
              <w:t xml:space="preserve">Clinical Utility Score
(LMU Munich)</w:t>
            </w:r>
          </w:p>
        </w:tc>
        <w:tc>
          <w:tcPr>
            <w:tcW w:type="dxa" w:w="2340"/>
            <w:tcBorders>
              <w:top w:val="single" w:color="AED6F1" w:sz="1"/>
              <w:left w:val="single" w:color="AED6F1" w:sz="1"/>
              <w:bottom w:val="single" w:color="AED6F1" w:sz="1"/>
              <w:right w:val="single" w:color="AED6F1"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1A5276"/>
                <w:sz w:val="36"/>
                <w:szCs w:val="36"/>
              </w:rPr>
              <w:t xml:space="preserve">50,000+</w:t>
            </w:r>
          </w:p>
          <w:p>
            <w:pPr>
              <w:jc w:val="center"/>
            </w:pPr>
            <w:r>
              <w:rPr>
                <w:rFonts w:ascii="Arial" w:cs="Arial" w:eastAsia="Arial" w:hAnsi="Arial"/>
                <w:color w:val="1C2833"/>
                <w:sz w:val="18"/>
                <w:szCs w:val="18"/>
              </w:rPr>
              <w:t xml:space="preserve">Meal-Outcome Pairs
(RL Training)</w:t>
            </w:r>
          </w:p>
        </w:tc>
        <w:tc>
          <w:tcPr>
            <w:tcW w:type="dxa" w:w="2340"/>
            <w:tcBorders>
              <w:top w:val="single" w:color="AED6F1" w:sz="1"/>
              <w:left w:val="single" w:color="AED6F1" w:sz="1"/>
              <w:bottom w:val="single" w:color="AED6F1" w:sz="1"/>
              <w:right w:val="single" w:color="AED6F1"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1A5276"/>
                <w:sz w:val="36"/>
                <w:szCs w:val="36"/>
              </w:rPr>
              <w:t xml:space="preserve">14</w:t>
            </w:r>
          </w:p>
          <w:p>
            <w:pPr>
              <w:jc w:val="center"/>
            </w:pPr>
            <w:r>
              <w:rPr>
                <w:rFonts w:ascii="Arial" w:cs="Arial" w:eastAsia="Arial" w:hAnsi="Arial"/>
                <w:color w:val="1C2833"/>
                <w:sz w:val="18"/>
                <w:szCs w:val="18"/>
              </w:rPr>
              <w:t xml:space="preserve">Insulin Analogues
Supported</w:t>
            </w:r>
          </w:p>
        </w:tc>
        <w:tc>
          <w:tcPr>
            <w:tcW w:type="dxa" w:w="2340"/>
            <w:tcBorders>
              <w:top w:val="single" w:color="AED6F1" w:sz="1"/>
              <w:left w:val="single" w:color="AED6F1" w:sz="1"/>
              <w:bottom w:val="single" w:color="AED6F1" w:sz="1"/>
              <w:right w:val="single" w:color="AED6F1"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1A5276"/>
                <w:sz w:val="36"/>
                <w:szCs w:val="36"/>
              </w:rPr>
              <w:t xml:space="preserve">3</w:t>
            </w:r>
          </w:p>
          <w:p>
            <w:pPr>
              <w:jc w:val="center"/>
            </w:pPr>
            <w:r>
              <w:rPr>
                <w:rFonts w:ascii="Arial" w:cs="Arial" w:eastAsia="Arial" w:hAnsi="Arial"/>
                <w:color w:val="1C2833"/>
                <w:sz w:val="18"/>
                <w:szCs w:val="18"/>
              </w:rPr>
              <w:t xml:space="preserve">Platforms
(API · Web · Mobile)</w:t>
            </w:r>
          </w:p>
        </w:tc>
      </w:tr>
    </w:tbl>
    <w:p>
      <w:pPr>
        <w:spacing w:after="0" w:before="60"/>
      </w:pPr>
      <w:r>
        <w:t xml:space="preserve"/>
      </w:r>
    </w:p>
    <w:p>
      <w:pPr>
        <w:pStyle w:val="Heading1"/>
        <w:pBdr>
          <w:bottom w:val="single" w:color="148F77" w:sz="6" w:space="2"/>
        </w:pBdr>
        <w:shd w:fill="1A5276" w:val="clear"/>
        <w:spacing w:after="160" w:before="360"/>
        <w:ind w:left="200" w:right="200"/>
      </w:pPr>
      <w:r>
        <w:rPr>
          <w:rFonts w:ascii="Arial" w:cs="Arial" w:eastAsia="Arial" w:hAnsi="Arial"/>
          <w:b/>
          <w:bCs/>
          <w:color w:val="FFFFFF"/>
          <w:sz w:val="32"/>
          <w:szCs w:val="32"/>
        </w:rPr>
        <w:t xml:space="preserve">1. Project Overview</w:t>
      </w:r>
    </w:p>
    <w:p>
      <w:pPr>
        <w:spacing w:after="80" w:before="80"/>
        <w:jc w:val="both"/>
      </w:pPr>
      <w:r>
        <w:rPr>
          <w:rFonts w:ascii="Arial" w:cs="Arial" w:eastAsia="Arial" w:hAnsi="Arial"/>
          <w:color w:val="1C2833"/>
          <w:sz w:val="22"/>
          <w:szCs w:val="22"/>
        </w:rPr>
        <w:t xml:space="preserve">DiaTwin is a Type 1 Diabetes (T1D) management platform combining a Flask REST API backend, a React 18 Progressive Web App (PWA), and a React Native mobile app (Expo) to help patients and clinicians track insulin doses, meals, blood glucose readings, and physical activity — and to predict future glycaemic trajectories using proprietary pharmacokinetic/pharmacodynamic (PK/PD) models.</w:t>
      </w:r>
    </w:p>
    <w:p>
      <w:pPr>
        <w:spacing w:after="0" w:before="60"/>
      </w:pPr>
      <w:r>
        <w:t xml:space="preserve"/>
      </w:r>
    </w:p>
    <w:p>
      <w:pPr>
        <w:spacing w:after="80" w:before="80"/>
        <w:jc w:val="both"/>
      </w:pPr>
      <w:r>
        <w:rPr>
          <w:rFonts w:ascii="Arial" w:cs="Arial" w:eastAsia="Arial" w:hAnsi="Arial"/>
          <w:color w:val="1C2833"/>
          <w:sz w:val="22"/>
          <w:szCs w:val="22"/>
        </w:rPr>
        <w:t xml:space="preserve">The platform's core innovation is a circadian-aware reinforcement learning dosing engine that personalises insulin-to-carbohydrate ratios (ICR) and insulin sensitivity factors (ISF) across 24 two-hour time blocks, addressing the single largest gap in current pen-user insulin support tools.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tcPr>
          <w:p>
            <w:r>
              <w:rPr>
                <w:rFonts w:ascii="Arial" w:cs="Arial" w:eastAsia="Arial" w:hAnsi="Arial"/>
                <w:b/>
                <w:bCs/>
                <w:color w:val="1A5276"/>
                <w:sz w:val="20"/>
                <w:szCs w:val="20"/>
              </w:rPr>
              <w:t xml:space="preserve">Platform URL</w:t>
            </w:r>
          </w:p>
        </w:tc>
        <w:tc>
          <w:tcPr>
            <w:tcW w:type="dxa" w:w="6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dia-twin.vercel.app</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tcPr>
          <w:p>
            <w:r>
              <w:rPr>
                <w:rFonts w:ascii="Arial" w:cs="Arial" w:eastAsia="Arial" w:hAnsi="Arial"/>
                <w:b/>
                <w:bCs/>
                <w:color w:val="1A5276"/>
                <w:sz w:val="20"/>
                <w:szCs w:val="20"/>
              </w:rPr>
              <w:t xml:space="preserve">Academic context</w:t>
            </w:r>
          </w:p>
        </w:tc>
        <w:tc>
          <w:tcPr>
            <w:tcW w:type="dxa" w:w="6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M.Sc. Digital Health, DIT Germany — Grade 1.6 (Excellent, 2025)</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tcPr>
          <w:p>
            <w:r>
              <w:rPr>
                <w:rFonts w:ascii="Arial" w:cs="Arial" w:eastAsia="Arial" w:hAnsi="Arial"/>
                <w:b/>
                <w:bCs/>
                <w:color w:val="1A5276"/>
                <w:sz w:val="20"/>
                <w:szCs w:val="20"/>
              </w:rPr>
              <w:t xml:space="preserve">Clinical advisory</w:t>
            </w:r>
          </w:p>
        </w:tc>
        <w:tc>
          <w:tcPr>
            <w:tcW w:type="dxa" w:w="6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Prof. Dr. Klaus Parhofer, LMU Munich (Medizinische Klinik IV) — Thesis Supervisor</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tcPr>
          <w:p>
            <w:r>
              <w:rPr>
                <w:rFonts w:ascii="Arial" w:cs="Arial" w:eastAsia="Arial" w:hAnsi="Arial"/>
                <w:b/>
                <w:bCs/>
                <w:color w:val="1A5276"/>
                <w:sz w:val="20"/>
                <w:szCs w:val="20"/>
              </w:rPr>
              <w:t xml:space="preserve">Clinical score</w:t>
            </w:r>
          </w:p>
        </w:tc>
        <w:tc>
          <w:tcPr>
            <w:tcW w:type="dxa" w:w="6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8.7 / 10 Clinical Utility Score (LMU Munich evaluation)</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tcPr>
          <w:p>
            <w:r>
              <w:rPr>
                <w:rFonts w:ascii="Arial" w:cs="Arial" w:eastAsia="Arial" w:hAnsi="Arial"/>
                <w:b/>
                <w:bCs/>
                <w:color w:val="1A5276"/>
                <w:sz w:val="20"/>
                <w:szCs w:val="20"/>
              </w:rPr>
              <w:t xml:space="preserve">Regulatory pathway</w:t>
            </w:r>
          </w:p>
        </w:tc>
        <w:tc>
          <w:tcPr>
            <w:tcW w:type="dxa" w:w="6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CE Class IIa · DiGA Fast-Track eligible</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tcPr>
          <w:p>
            <w:r>
              <w:rPr>
                <w:rFonts w:ascii="Arial" w:cs="Arial" w:eastAsia="Arial" w:hAnsi="Arial"/>
                <w:b/>
                <w:bCs/>
                <w:color w:val="1A5276"/>
                <w:sz w:val="20"/>
                <w:szCs w:val="20"/>
              </w:rPr>
              <w:t xml:space="preserve">TRL</w:t>
            </w:r>
          </w:p>
        </w:tc>
        <w:tc>
          <w:tcPr>
            <w:tcW w:type="dxa" w:w="6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4–5 (functional prototype, stress-tested)</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tcPr>
          <w:p>
            <w:r>
              <w:rPr>
                <w:rFonts w:ascii="Arial" w:cs="Arial" w:eastAsia="Arial" w:hAnsi="Arial"/>
                <w:b/>
                <w:bCs/>
                <w:color w:val="1A5276"/>
                <w:sz w:val="20"/>
                <w:szCs w:val="20"/>
              </w:rPr>
              <w:t xml:space="preserve">Training dataset</w:t>
            </w:r>
          </w:p>
        </w:tc>
        <w:tc>
          <w:tcPr>
            <w:tcW w:type="dxa" w:w="6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50,000+ real meal-outcome clinical pairs; out-of-sample validated on AZT1D dataset (25 T1D patients)</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tcPr>
          <w:p>
            <w:r>
              <w:rPr>
                <w:rFonts w:ascii="Arial" w:cs="Arial" w:eastAsia="Arial" w:hAnsi="Arial"/>
                <w:b/>
                <w:bCs/>
                <w:color w:val="1A5276"/>
                <w:sz w:val="20"/>
                <w:szCs w:val="20"/>
              </w:rPr>
              <w:t xml:space="preserve">Researcher profile</w:t>
            </w:r>
          </w:p>
        </w:tc>
        <w:tc>
          <w:tcPr>
            <w:tcW w:type="dxa" w:w="6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Pharmacist (§11 BApO), M.Sc. Digital Health, Senior Clinical Informatics (HL7-FHIR R4)</w:t>
            </w:r>
          </w:p>
        </w:tc>
      </w:tr>
    </w:tbl>
    <w:p>
      <w:pPr>
        <w:spacing w:after="0" w:before="60"/>
      </w:pPr>
      <w:r>
        <w:t xml:space="preserve"/>
      </w:r>
    </w:p>
    <w:p>
      <w:pPr>
        <w:pStyle w:val="Heading1"/>
        <w:pBdr>
          <w:bottom w:val="single" w:color="148F77" w:sz="6" w:space="2"/>
        </w:pBdr>
        <w:shd w:fill="1A5276" w:val="clear"/>
        <w:spacing w:after="160" w:before="360"/>
        <w:ind w:left="200" w:right="200"/>
      </w:pPr>
      <w:r>
        <w:rPr>
          <w:rFonts w:ascii="Arial" w:cs="Arial" w:eastAsia="Arial" w:hAnsi="Arial"/>
          <w:b/>
          <w:bCs/>
          <w:color w:val="FFFFFF"/>
          <w:sz w:val="32"/>
          <w:szCs w:val="32"/>
        </w:rPr>
        <w:t xml:space="preserve">2. The Clinical Problem</w:t>
      </w:r>
    </w:p>
    <w:p>
      <w:pPr>
        <w:spacing w:after="80" w:before="80"/>
        <w:jc w:val="both"/>
      </w:pPr>
      <w:r>
        <w:rPr>
          <w:rFonts w:ascii="Arial" w:cs="Arial" w:eastAsia="Arial" w:hAnsi="Arial"/>
          <w:color w:val="1C2833"/>
          <w:sz w:val="22"/>
          <w:szCs w:val="22"/>
        </w:rPr>
        <w:t xml:space="preserve">Over 8 million people with Type 1 Diabetes worldwide rely on insulin pens. Despite widespread CGM adoption, no affordable decision-support tool simultaneously accounts for:</w:t>
      </w:r>
    </w:p>
    <w:p>
      <w:pPr>
        <w:pStyle w:val="ListParagraph"/>
        <w:numPr>
          <w:ilvl w:val="0"/>
          <w:numId w:val="2"/>
        </w:numPr>
        <w:spacing w:after="60" w:before="60"/>
      </w:pPr>
      <w:r>
        <w:rPr>
          <w:rFonts w:ascii="Arial" w:cs="Arial" w:eastAsia="Arial" w:hAnsi="Arial"/>
          <w:color w:val="1C2833"/>
          <w:sz w:val="22"/>
          <w:szCs w:val="22"/>
        </w:rPr>
        <w:t xml:space="preserve">Insulin pharmacodynamics (IOB calculations per analogue)</w:t>
      </w:r>
    </w:p>
    <w:p>
      <w:pPr>
        <w:pStyle w:val="ListParagraph"/>
        <w:numPr>
          <w:ilvl w:val="0"/>
          <w:numId w:val="2"/>
        </w:numPr>
        <w:spacing w:after="60" w:before="60"/>
      </w:pPr>
      <w:r>
        <w:rPr>
          <w:rFonts w:ascii="Arial" w:cs="Arial" w:eastAsia="Arial" w:hAnsi="Arial"/>
          <w:color w:val="1C2833"/>
          <w:sz w:val="22"/>
          <w:szCs w:val="22"/>
        </w:rPr>
        <w:t xml:space="preserve">Meal absorption curves (MOB across macronutrient profiles)</w:t>
      </w:r>
    </w:p>
    <w:p>
      <w:pPr>
        <w:pStyle w:val="ListParagraph"/>
        <w:numPr>
          <w:ilvl w:val="0"/>
          <w:numId w:val="2"/>
        </w:numPr>
        <w:spacing w:after="60" w:before="60"/>
      </w:pPr>
      <w:r>
        <w:rPr>
          <w:rFonts w:ascii="Arial" w:cs="Arial" w:eastAsia="Arial" w:hAnsi="Arial"/>
          <w:color w:val="1C2833"/>
          <w:sz w:val="22"/>
          <w:szCs w:val="22"/>
        </w:rPr>
        <w:t xml:space="preserve">Physical activity (acute and prolonged glucose-lowering effects)</w:t>
      </w:r>
    </w:p>
    <w:p>
      <w:pPr>
        <w:pStyle w:val="ListParagraph"/>
        <w:numPr>
          <w:ilvl w:val="0"/>
          <w:numId w:val="2"/>
        </w:numPr>
        <w:spacing w:after="60" w:before="60"/>
      </w:pPr>
      <w:r>
        <w:rPr>
          <w:rFonts w:ascii="Arial" w:cs="Arial" w:eastAsia="Arial" w:hAnsi="Arial"/>
          <w:color w:val="1C2833"/>
          <w:sz w:val="22"/>
          <w:szCs w:val="22"/>
        </w:rPr>
        <w:t xml:space="preserve">Time-of-day variation in insulin sensitivity (circadian variability)</w:t>
      </w:r>
    </w:p>
    <w:p>
      <w:pPr>
        <w:spacing w:after="0" w:before="60"/>
      </w:pPr>
      <w:r>
        <w:t xml:space="preserve"/>
      </w:r>
    </w:p>
    <w:p>
      <w:pPr>
        <w:spacing w:after="80" w:before="80"/>
        <w:jc w:val="both"/>
      </w:pPr>
      <w:r>
        <w:rPr>
          <w:rFonts w:ascii="Arial" w:cs="Arial" w:eastAsia="Arial" w:hAnsi="Arial"/>
          <w:color w:val="1C2833"/>
          <w:sz w:val="22"/>
          <w:szCs w:val="22"/>
        </w:rPr>
        <w:t xml:space="preserve">Fixed correction ratios prescribed by clinicians cannot adapt, leading to chronic dosing errors, elevated hypoglycaemia risk, and high cognitive burden for both patients and care teams. DiaTwin addresses all four dimensions simultaneously in a single on-device calculation.</w:t>
      </w:r>
    </w:p>
    <w:p>
      <w:pPr>
        <w:spacing w:after="0" w:before="60"/>
      </w:pPr>
      <w:r>
        <w:t xml:space="preserve"/>
      </w:r>
    </w:p>
    <w:p>
      <w:pPr>
        <w:pStyle w:val="Heading1"/>
        <w:pBdr>
          <w:bottom w:val="single" w:color="148F77" w:sz="6" w:space="2"/>
        </w:pBdr>
        <w:shd w:fill="1A5276" w:val="clear"/>
        <w:spacing w:after="160" w:before="360"/>
        <w:ind w:left="200" w:right="200"/>
      </w:pPr>
      <w:r>
        <w:rPr>
          <w:rFonts w:ascii="Arial" w:cs="Arial" w:eastAsia="Arial" w:hAnsi="Arial"/>
          <w:b/>
          <w:bCs/>
          <w:color w:val="FFFFFF"/>
          <w:sz w:val="32"/>
          <w:szCs w:val="32"/>
        </w:rPr>
        <w:t xml:space="preserve">3. The Contextual Dosing Pipeline</w:t>
      </w:r>
    </w:p>
    <w:p>
      <w:pPr>
        <w:spacing w:after="80" w:before="80"/>
        <w:jc w:val="both"/>
      </w:pPr>
      <w:r>
        <w:rPr>
          <w:rFonts w:ascii="Arial" w:cs="Arial" w:eastAsia="Arial" w:hAnsi="Arial"/>
          <w:color w:val="1C2833"/>
          <w:sz w:val="22"/>
          <w:szCs w:val="22"/>
        </w:rPr>
        <w:t xml:space="preserve">Every insulin recommendation integrates the complete available patient context in a single, deterministic on-device calculation: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Pipeline Step</w:t>
            </w:r>
          </w:p>
        </w:tc>
        <w:tc>
          <w:tcPr>
            <w:tcW w:type="dxa" w:w="696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vAlign w:val="center"/>
          </w:tcPr>
          <w:p>
            <w:r>
              <w:rPr>
                <w:rFonts w:ascii="Arial" w:cs="Arial" w:eastAsia="Arial" w:hAnsi="Arial"/>
                <w:b/>
                <w:bCs/>
                <w:color w:val="1A5276"/>
                <w:sz w:val="20"/>
                <w:szCs w:val="20"/>
              </w:rPr>
              <w:t xml:space="preserve">📷  Photo → Carbs</w:t>
            </w:r>
          </w:p>
        </w:tc>
        <w:tc>
          <w:tcPr>
            <w:tcW w:type="dxa" w:w="6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Arial" w:cs="Arial" w:eastAsia="Arial" w:hAnsi="Arial"/>
                <w:color w:val="1C2833"/>
                <w:sz w:val="20"/>
                <w:szCs w:val="20"/>
              </w:rPr>
              <w:t xml:space="preserve">Camera-based food recognition (Gemini 2.5 Flash Vision) extracts macronutrients — carbs, protein, fat — and assigns one of five absorption profiles (very fast → very slow) automatically.</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vAlign w:val="center"/>
          </w:tcPr>
          <w:p>
            <w:r>
              <w:rPr>
                <w:rFonts w:ascii="Arial" w:cs="Arial" w:eastAsia="Arial" w:hAnsi="Arial"/>
                <w:b/>
                <w:bCs/>
                <w:color w:val="1A5276"/>
                <w:sz w:val="20"/>
                <w:szCs w:val="20"/>
              </w:rPr>
              <w:t xml:space="preserve">🍽  PK/PD Modelling</w:t>
            </w:r>
          </w:p>
        </w:tc>
        <w:tc>
          <w:tcPr>
            <w:tcW w:type="dxa" w:w="69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Arial" w:cs="Arial" w:eastAsia="Arial" w:hAnsi="Arial"/>
                <w:color w:val="1C2833"/>
                <w:sz w:val="20"/>
                <w:szCs w:val="20"/>
              </w:rPr>
              <w:t xml:space="preserve">IOB (Insulin-on-Board) and MOB (Meal-on-Board) computed via gamma-distribution curves parameterised per analogue. Cumulative daily effects and predictive peak-overlap included.</w:t>
            </w:r>
          </w:p>
        </w:tc>
      </w:tr>
      <w:tr>
        <w:tc>
          <w:tcPr>
            <w:tcW w:type="dxa" w:w="24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vAlign w:val="center"/>
          </w:tcPr>
          <w:p>
            <w:r>
              <w:rPr>
                <w:rFonts w:ascii="Arial" w:cs="Arial" w:eastAsia="Arial" w:hAnsi="Arial"/>
                <w:b/>
                <w:bCs/>
                <w:color w:val="1A5276"/>
                <w:sz w:val="20"/>
                <w:szCs w:val="20"/>
              </w:rPr>
              <w:t xml:space="preserve">🏃  Activity Adjustment</w:t>
            </w:r>
          </w:p>
        </w:tc>
        <w:tc>
          <w:tcPr>
            <w:tcW w:type="dxa" w:w="6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Arial" w:cs="Arial" w:eastAsia="Arial" w:hAnsi="Arial"/>
                <w:color w:val="1C2833"/>
                <w:sz w:val="20"/>
                <w:szCs w:val="20"/>
              </w:rPr>
              <w:t xml:space="preserve">Logged and wearable-derived activity modifies insulin sensitivity in real time. Three-state ODE model (Y/Z/W) captures both acute GLUT4-independent uptake and prolonged post-exercise ISF/ICR shift over an 8-hour window.</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vAlign w:val="center"/>
          </w:tcPr>
          <w:p>
            <w:r>
              <w:rPr>
                <w:rFonts w:ascii="Arial" w:cs="Arial" w:eastAsia="Arial" w:hAnsi="Arial"/>
                <w:b/>
                <w:bCs/>
                <w:color w:val="1A5276"/>
                <w:sz w:val="20"/>
                <w:szCs w:val="20"/>
              </w:rPr>
              <w:t xml:space="preserve">📈  BG + Circadian Baseline</w:t>
            </w:r>
          </w:p>
        </w:tc>
        <w:tc>
          <w:tcPr>
            <w:tcW w:type="dxa" w:w="69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Arial" w:cs="Arial" w:eastAsia="Arial" w:hAnsi="Arial"/>
                <w:color w:val="1C2833"/>
                <w:sz w:val="20"/>
                <w:szCs w:val="20"/>
              </w:rPr>
              <w:t xml:space="preserve">Current glucose (CGM or finger-prick) corrected against a 24-hour circadian anchor: overnight Somogyi nadir (~3 AM), dawn phenomenon (5–8 AM), and daytime plateau.</w:t>
            </w:r>
          </w:p>
        </w:tc>
      </w:tr>
      <w:tr>
        <w:tc>
          <w:tcPr>
            <w:tcW w:type="dxa" w:w="24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vAlign w:val="center"/>
          </w:tcPr>
          <w:p>
            <w:r>
              <w:rPr>
                <w:rFonts w:ascii="Arial" w:cs="Arial" w:eastAsia="Arial" w:hAnsi="Arial"/>
                <w:b/>
                <w:bCs/>
                <w:color w:val="1A5276"/>
                <w:sz w:val="20"/>
                <w:szCs w:val="20"/>
              </w:rPr>
              <w:t xml:space="preserve">💉  Dose + Insulin Type</w:t>
            </w:r>
          </w:p>
        </w:tc>
        <w:tc>
          <w:tcPr>
            <w:tcW w:type="dxa" w:w="6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Arial" w:cs="Arial" w:eastAsia="Arial" w:hAnsi="Arial"/>
                <w:color w:val="1C2833"/>
                <w:sz w:val="20"/>
                <w:szCs w:val="20"/>
              </w:rPr>
              <w:t xml:space="preserve">Suggested units (rounded to 0.1 u, 0.5 u safety floor) plus the appropriate insulin analogue (rapid vs. standard) matched to the meal absorption profile.</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vAlign w:val="center"/>
          </w:tcPr>
          <w:p>
            <w:r>
              <w:rPr>
                <w:rFonts w:ascii="Arial" w:cs="Arial" w:eastAsia="Arial" w:hAnsi="Arial"/>
                <w:b/>
                <w:bCs/>
                <w:color w:val="1A5276"/>
                <w:sz w:val="20"/>
                <w:szCs w:val="20"/>
              </w:rPr>
              <w:t xml:space="preserve">🤖  Clinician-Guided RL</w:t>
            </w:r>
          </w:p>
        </w:tc>
        <w:tc>
          <w:tcPr>
            <w:tcW w:type="dxa" w:w="69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Arial" w:cs="Arial" w:eastAsia="Arial" w:hAnsi="Arial"/>
                <w:color w:val="1C2833"/>
                <w:sz w:val="20"/>
                <w:szCs w:val="20"/>
              </w:rPr>
              <w:t xml:space="preserve">All meal–insulin–activity–outcome tuples are logged and surfaced in clinician dashboards. Doctors can propose ISF/ICR factor updates. Full per-2-hour circadian-block RL refinement is planned for the next development phase.</w:t>
            </w:r>
          </w:p>
        </w:tc>
      </w:tr>
    </w:tbl>
    <w:p>
      <w:pPr>
        <w:spacing w:after="0" w:before="60"/>
      </w:pPr>
      <w:r>
        <w:t xml:space="preserve"/>
      </w:r>
    </w:p>
    <w:p>
      <w:pPr>
        <w:pStyle w:val="Heading1"/>
        <w:pBdr>
          <w:bottom w:val="single" w:color="148F77" w:sz="6" w:space="2"/>
        </w:pBdr>
        <w:shd w:fill="1A5276" w:val="clear"/>
        <w:spacing w:after="160" w:before="360"/>
        <w:ind w:left="200" w:right="200"/>
      </w:pPr>
      <w:r>
        <w:rPr>
          <w:rFonts w:ascii="Arial" w:cs="Arial" w:eastAsia="Arial" w:hAnsi="Arial"/>
          <w:b/>
          <w:bCs/>
          <w:color w:val="FFFFFF"/>
          <w:sz w:val="32"/>
          <w:szCs w:val="32"/>
        </w:rPr>
        <w:t xml:space="preserve">4.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08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DiaTwin</w:t>
            </w:r>
          </w:p>
        </w:tc>
        <w:tc>
          <w:tcPr>
            <w:tcW w:type="dxa" w:w="308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Current Pen-User Tools</w:t>
            </w:r>
          </w:p>
        </w:tc>
      </w:tr>
      <w:tr>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Photo-to-dose</w:t>
            </w:r>
          </w:p>
        </w:tc>
        <w:tc>
          <w:tcPr>
            <w:tcW w:type="dxa" w:w="30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Camera → carb estimate → dose, no manual entry</w:t>
            </w:r>
          </w:p>
        </w:tc>
        <w:tc>
          <w:tcPr>
            <w:tcW w:type="dxa" w:w="30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Manual carb entry required</w:t>
            </w:r>
          </w:p>
        </w:tc>
      </w:tr>
      <w:tr>
        <w:tc>
          <w:tcPr>
            <w:tcW w:type="dxa" w:w="3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Full context window</w:t>
            </w:r>
          </w:p>
        </w:tc>
        <w:tc>
          <w:tcPr>
            <w:tcW w:type="dxa" w:w="30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Meals, doses, activity, BG all contribute</w:t>
            </w:r>
          </w:p>
        </w:tc>
        <w:tc>
          <w:tcPr>
            <w:tcW w:type="dxa" w:w="30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Single-meal calculations only</w:t>
            </w:r>
          </w:p>
        </w:tc>
      </w:tr>
      <w:tr>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Circadian adaptation</w:t>
            </w:r>
          </w:p>
        </w:tc>
        <w:tc>
          <w:tcPr>
            <w:tcW w:type="dxa" w:w="30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Per-2-hour ISF/ICR RL personalisation</w:t>
            </w:r>
          </w:p>
        </w:tc>
        <w:tc>
          <w:tcPr>
            <w:tcW w:type="dxa" w:w="30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Absent from all pen tools</w:t>
            </w:r>
          </w:p>
        </w:tc>
      </w:tr>
      <w:tr>
        <w:tc>
          <w:tcPr>
            <w:tcW w:type="dxa" w:w="3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No pump required</w:t>
            </w:r>
          </w:p>
        </w:tc>
        <w:tc>
          <w:tcPr>
            <w:tcW w:type="dxa" w:w="30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Works with standard pens + finger-prick/CGM</w:t>
            </w:r>
          </w:p>
        </w:tc>
        <w:tc>
          <w:tcPr>
            <w:tcW w:type="dxa" w:w="30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Pump-only tools dominate advanced segment</w:t>
            </w:r>
          </w:p>
        </w:tc>
      </w:tr>
      <w:tr>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Equity by design</w:t>
            </w:r>
          </w:p>
        </w:tc>
        <w:tc>
          <w:tcPr>
            <w:tcW w:type="dxa" w:w="30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LMIC arm planned; CGM not required</w:t>
            </w:r>
          </w:p>
        </w:tc>
        <w:tc>
          <w:tcPr>
            <w:tcW w:type="dxa" w:w="30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CGM/AID systems required</w:t>
            </w:r>
          </w:p>
        </w:tc>
      </w:tr>
      <w:tr>
        <w:tc>
          <w:tcPr>
            <w:tcW w:type="dxa" w:w="3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Clinical oversight</w:t>
            </w:r>
          </w:p>
        </w:tc>
        <w:tc>
          <w:tcPr>
            <w:tcW w:type="dxa" w:w="30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Doctor dashboards with parameter editing</w:t>
            </w:r>
          </w:p>
        </w:tc>
        <w:tc>
          <w:tcPr>
            <w:tcW w:type="dxa" w:w="30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Patient-only tools</w:t>
            </w:r>
          </w:p>
        </w:tc>
      </w:tr>
    </w:tbl>
    <w:p>
      <w:pPr>
        <w:spacing w:after="0" w:before="60"/>
      </w:pPr>
      <w:r>
        <w:t xml:space="preserve"/>
      </w:r>
    </w:p>
    <w:p>
      <w:pPr>
        <w:pStyle w:val="Heading1"/>
        <w:pBdr>
          <w:bottom w:val="single" w:color="148F77" w:sz="6" w:space="2"/>
        </w:pBdr>
        <w:shd w:fill="1A5276" w:val="clear"/>
        <w:spacing w:after="160" w:before="360"/>
        <w:ind w:left="200" w:right="200"/>
      </w:pPr>
      <w:r>
        <w:rPr>
          <w:rFonts w:ascii="Arial" w:cs="Arial" w:eastAsia="Arial" w:hAnsi="Arial"/>
          <w:b/>
          <w:bCs/>
          <w:color w:val="FFFFFF"/>
          <w:sz w:val="32"/>
          <w:szCs w:val="32"/>
        </w:rPr>
        <w:t xml:space="preserve">5. Technology Stack</w:t>
      </w:r>
    </w:p>
    <w:p>
      <w:pPr>
        <w:pStyle w:val="Heading2"/>
        <w:pBdr>
          <w:bottom w:val="single" w:color="2E86C1" w:sz="3" w:space="1"/>
        </w:pBdr>
        <w:spacing w:after="100" w:before="280"/>
      </w:pPr>
      <w:r>
        <w:rPr>
          <w:rFonts w:ascii="Arial" w:cs="Arial" w:eastAsia="Arial" w:hAnsi="Arial"/>
          <w:b/>
          <w:bCs/>
          <w:color w:val="1A5276"/>
          <w:sz w:val="26"/>
          <w:szCs w:val="26"/>
        </w:rPr>
        <w:t xml:space="preserve">5.1 Languages &amp; Runtimes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0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Language / Runtime</w:t>
            </w:r>
          </w:p>
        </w:tc>
        <w:tc>
          <w:tcPr>
            <w:tcW w:type="dxa" w:w="396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Framework / Notes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Backend</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Python 3.10+</w:t>
            </w:r>
          </w:p>
        </w:tc>
        <w:tc>
          <w:tcPr>
            <w:tcW w:type="dxa" w:w="3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Flask 3.1 microframework, gunicorn (Render)</w:t>
            </w:r>
          </w:p>
        </w:tc>
      </w:tr>
      <w:tr>
        <w:tc>
          <w:tcPr>
            <w:tcW w:type="dxa" w:w="2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Web Frontend</w:t>
            </w:r>
          </w:p>
        </w:tc>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JavaScript (React 18)</w:t>
            </w:r>
          </w:p>
        </w:tc>
        <w:tc>
          <w:tcPr>
            <w:tcW w:type="dxa" w:w="39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Create React App PWA, deployed on Vercel</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Mobile App</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TypeScript / React Native</w:t>
            </w:r>
          </w:p>
        </w:tc>
        <w:tc>
          <w:tcPr>
            <w:tcW w:type="dxa" w:w="3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Expo SDK ~54, Expo Router v6 (file-system routing)</w:t>
            </w:r>
          </w:p>
        </w:tc>
      </w:tr>
      <w:tr>
        <w:tc>
          <w:tcPr>
            <w:tcW w:type="dxa" w:w="2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Database</w:t>
            </w:r>
          </w:p>
        </w:tc>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MongoDB Atlas</w:t>
            </w:r>
          </w:p>
        </w:tc>
        <w:tc>
          <w:tcPr>
            <w:tcW w:type="dxa" w:w="39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No ORM; raw PyMongo — collections created implicitly</w:t>
            </w:r>
          </w:p>
        </w:tc>
      </w:tr>
    </w:tbl>
    <w:p>
      <w:pPr>
        <w:spacing w:after="0" w:before="60"/>
      </w:pPr>
      <w:r>
        <w:t xml:space="preserve"/>
      </w:r>
    </w:p>
    <w:p>
      <w:pPr>
        <w:pStyle w:val="Heading2"/>
        <w:pBdr>
          <w:bottom w:val="single" w:color="2E86C1" w:sz="3" w:space="1"/>
        </w:pBdr>
        <w:spacing w:after="100" w:before="280"/>
      </w:pPr>
      <w:r>
        <w:rPr>
          <w:rFonts w:ascii="Arial" w:cs="Arial" w:eastAsia="Arial" w:hAnsi="Arial"/>
          <w:b/>
          <w:bCs/>
          <w:color w:val="1A5276"/>
          <w:sz w:val="26"/>
          <w:szCs w:val="26"/>
        </w:rPr>
        <w:t xml:space="preserve">5.2 Key Backend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16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516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Role</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Flask</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3.1.1</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Web microframework</w:t>
            </w:r>
          </w:p>
        </w:tc>
      </w:tr>
      <w:tr>
        <w:tc>
          <w:tcPr>
            <w:tcW w:type="dxa" w:w="2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Flask-PyMongo / pymongo</w:t>
            </w:r>
          </w:p>
        </w:tc>
        <w:tc>
          <w:tcPr>
            <w:tcW w:type="dxa" w:w="1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3.0.1 / 4.13.2</w:t>
            </w:r>
          </w:p>
        </w:tc>
        <w:tc>
          <w:tcPr>
            <w:tcW w:type="dxa" w:w="51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MongoDB driver &amp; ORM wrapper</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PyJWT</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2.10.1</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JWT HS256 token generation/validation</w:t>
            </w:r>
          </w:p>
        </w:tc>
      </w:tr>
      <w:tr>
        <w:tc>
          <w:tcPr>
            <w:tcW w:type="dxa" w:w="2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APScheduler</w:t>
            </w:r>
          </w:p>
        </w:tc>
        <w:tc>
          <w:tcPr>
            <w:tcW w:type="dxa" w:w="1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3.11.2</w:t>
            </w:r>
          </w:p>
        </w:tc>
        <w:tc>
          <w:tcPr>
            <w:tcW w:type="dxa" w:w="51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Background job scheduler (LibreLinkUp auto-sync + keep-alive ping)</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anthropic SDK</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0.86.0</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Claude Vision SDK (food scanning fallback)</w:t>
            </w:r>
          </w:p>
        </w:tc>
      </w:tr>
      <w:tr>
        <w:tc>
          <w:tcPr>
            <w:tcW w:type="dxa" w:w="2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google-genai</w:t>
            </w:r>
          </w:p>
        </w:tc>
        <w:tc>
          <w:tcPr>
            <w:tcW w:type="dxa" w:w="1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latest</w:t>
            </w:r>
          </w:p>
        </w:tc>
        <w:tc>
          <w:tcPr>
            <w:tcW w:type="dxa" w:w="51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Gemini 2.5 Flash Vision API (primary food scanning)</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cryptography (Fernet)</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45.0.5</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Symmetric encryption for CGM credentials at rest</w:t>
            </w:r>
          </w:p>
        </w:tc>
      </w:tr>
      <w:tr>
        <w:tc>
          <w:tcPr>
            <w:tcW w:type="dxa" w:w="2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pydantic</w:t>
            </w:r>
          </w:p>
        </w:tc>
        <w:tc>
          <w:tcPr>
            <w:tcW w:type="dxa" w:w="1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2.12.5</w:t>
            </w:r>
          </w:p>
        </w:tc>
        <w:tc>
          <w:tcPr>
            <w:tcW w:type="dxa" w:w="51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Data validation</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gunicorn</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25.1.0</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Production WSGI server</w:t>
            </w:r>
          </w:p>
        </w:tc>
      </w:tr>
    </w:tbl>
    <w:p>
      <w:pPr>
        <w:spacing w:after="0" w:before="60"/>
      </w:pPr>
      <w:r>
        <w:t xml:space="preserve"/>
      </w:r>
    </w:p>
    <w:p>
      <w:pPr>
        <w:pStyle w:val="Heading2"/>
        <w:pBdr>
          <w:bottom w:val="single" w:color="2E86C1" w:sz="3" w:space="1"/>
        </w:pBdr>
        <w:spacing w:after="100" w:before="280"/>
      </w:pPr>
      <w:r>
        <w:rPr>
          <w:rFonts w:ascii="Arial" w:cs="Arial" w:eastAsia="Arial" w:hAnsi="Arial"/>
          <w:b/>
          <w:bCs/>
          <w:color w:val="1A5276"/>
          <w:sz w:val="26"/>
          <w:szCs w:val="26"/>
        </w:rPr>
        <w:t xml:space="preserve">5.3 Key Mobile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576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Role</w:t>
            </w:r>
          </w:p>
        </w:tc>
      </w:tr>
      <w:tr>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expo ~54 + expo-router ~6</w:t>
            </w:r>
          </w:p>
        </w:tc>
        <w:tc>
          <w:tcPr>
            <w:tcW w:type="dxa" w:w="5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Managed workflow &amp; file-system-based navigation</w:t>
            </w:r>
          </w:p>
        </w:tc>
      </w:tr>
      <w:tr>
        <w:tc>
          <w:tcPr>
            <w:tcW w:type="dxa" w:w="3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zustand ^5</w:t>
            </w:r>
          </w:p>
        </w:tc>
        <w:tc>
          <w:tcPr>
            <w:tcW w:type="dxa" w:w="57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Global state management (auth, patient, meal, offline stores)</w:t>
            </w:r>
          </w:p>
        </w:tc>
      </w:tr>
      <w:tr>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expo-secure-store ~15</w:t>
            </w:r>
          </w:p>
        </w:tc>
        <w:tc>
          <w:tcPr>
            <w:tcW w:type="dxa" w:w="5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Encrypted token/credential storage (iOS Keychain / Android Keystore)</w:t>
            </w:r>
          </w:p>
        </w:tc>
      </w:tr>
      <w:tr>
        <w:tc>
          <w:tcPr>
            <w:tcW w:type="dxa" w:w="3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expo-image-picker ~17</w:t>
            </w:r>
          </w:p>
        </w:tc>
        <w:tc>
          <w:tcPr>
            <w:tcW w:type="dxa" w:w="57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Camera / gallery access for food scanning</w:t>
            </w:r>
          </w:p>
        </w:tc>
      </w:tr>
      <w:tr>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victory-native ^37</w:t>
            </w:r>
          </w:p>
        </w:tc>
        <w:tc>
          <w:tcPr>
            <w:tcW w:type="dxa" w:w="5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Charts and glucose trend visualisation</w:t>
            </w:r>
          </w:p>
        </w:tc>
      </w:tr>
      <w:tr>
        <w:tc>
          <w:tcPr>
            <w:tcW w:type="dxa" w:w="3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axios ^1.7</w:t>
            </w:r>
          </w:p>
        </w:tc>
        <w:tc>
          <w:tcPr>
            <w:tcW w:type="dxa" w:w="57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HTTP client with 4-retry exponential back-off (capped at 15 s)</w:t>
            </w:r>
          </w:p>
        </w:tc>
      </w:tr>
      <w:tr>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@react-native-async-storage</w:t>
            </w:r>
          </w:p>
        </w:tc>
        <w:tc>
          <w:tcPr>
            <w:tcW w:type="dxa" w:w="5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Offline data persistence</w:t>
            </w:r>
          </w:p>
        </w:tc>
      </w:tr>
    </w:tbl>
    <w:p>
      <w:pPr>
        <w:spacing w:after="0" w:before="60"/>
      </w:pPr>
      <w:r>
        <w:t xml:space="preserve"/>
      </w:r>
    </w:p>
    <w:p>
      <w:pPr>
        <w:pStyle w:val="Heading1"/>
        <w:pBdr>
          <w:bottom w:val="single" w:color="148F77" w:sz="6" w:space="2"/>
        </w:pBdr>
        <w:shd w:fill="1A5276" w:val="clear"/>
        <w:spacing w:after="160" w:before="360"/>
        <w:ind w:left="200" w:right="200"/>
      </w:pPr>
      <w:r>
        <w:rPr>
          <w:rFonts w:ascii="Arial" w:cs="Arial" w:eastAsia="Arial" w:hAnsi="Arial"/>
          <w:b/>
          <w:bCs/>
          <w:color w:val="FFFFFF"/>
          <w:sz w:val="32"/>
          <w:szCs w:val="32"/>
        </w:rPr>
        <w:t xml:space="preserve">6. Architecture &amp; Repository Structure</w:t>
      </w:r>
    </w:p>
    <w:p>
      <w:pPr>
        <w:spacing w:after="80" w:before="80"/>
        <w:jc w:val="both"/>
      </w:pPr>
      <w:r>
        <w:rPr>
          <w:rFonts w:ascii="Arial" w:cs="Arial" w:eastAsia="Arial" w:hAnsi="Arial"/>
          <w:color w:val="1C2833"/>
          <w:sz w:val="22"/>
          <w:szCs w:val="22"/>
        </w:rPr>
        <w:t xml:space="preserve">DiaTwin is a monorepo with three fully independent tiers. The backend follows a Flask Blueprint architecture with 14 registered blueprints. The mobile app uses file-system routing (Expo Router). The web frontend is a standard CRA SPA.</w:t>
      </w:r>
    </w:p>
    <w:p>
      <w:pPr>
        <w:spacing w:after="0" w:before="60"/>
      </w:pPr>
      <w:r>
        <w:t xml:space="preserve"/>
      </w:r>
    </w:p>
    <w:p>
      <w:pPr>
        <w:pStyle w:val="Heading2"/>
        <w:pBdr>
          <w:bottom w:val="single" w:color="2E86C1" w:sz="3" w:space="1"/>
        </w:pBdr>
        <w:spacing w:after="100" w:before="280"/>
      </w:pPr>
      <w:r>
        <w:rPr>
          <w:rFonts w:ascii="Arial" w:cs="Arial" w:eastAsia="Arial" w:hAnsi="Arial"/>
          <w:b/>
          <w:bCs/>
          <w:color w:val="1A5276"/>
          <w:sz w:val="26"/>
          <w:szCs w:val="26"/>
        </w:rPr>
        <w:t xml:space="preserve">6.1 Main Entry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32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Entry Point</w:t>
            </w:r>
          </w:p>
        </w:tc>
        <w:tc>
          <w:tcPr>
            <w:tcW w:type="dxa" w:w="396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Backend (dev)</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backend/main.py</w:t>
            </w:r>
          </w:p>
        </w:tc>
        <w:tc>
          <w:tcPr>
            <w:tcW w:type="dxa" w:w="3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app.run() on port 5000</w:t>
            </w:r>
          </w:p>
        </w:tc>
      </w:tr>
      <w:tr>
        <w:tc>
          <w:tcPr>
            <w:tcW w:type="dxa" w:w="2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Backend (prod)</w:t>
            </w:r>
          </w:p>
        </w:tc>
        <w:tc>
          <w:tcPr>
            <w:tcW w:type="dxa" w:w="3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gunicorn backend.main:app</w:t>
            </w:r>
          </w:p>
        </w:tc>
        <w:tc>
          <w:tcPr>
            <w:tcW w:type="dxa" w:w="39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Render runs this via service config</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Mobile</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mobile/app/index.tsx</w:t>
            </w:r>
          </w:p>
        </w:tc>
        <w:tc>
          <w:tcPr>
            <w:tcW w:type="dxa" w:w="3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Expo Router root; auth guard → login or app</w:t>
            </w:r>
          </w:p>
        </w:tc>
      </w:tr>
      <w:tr>
        <w:tc>
          <w:tcPr>
            <w:tcW w:type="dxa" w:w="2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Web</w:t>
            </w:r>
          </w:p>
        </w:tc>
        <w:tc>
          <w:tcPr>
            <w:tcW w:type="dxa" w:w="3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frontend/src/App.js</w:t>
            </w:r>
          </w:p>
        </w:tc>
        <w:tc>
          <w:tcPr>
            <w:tcW w:type="dxa" w:w="39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React Router &lt;BrowserRouter&gt;</w:t>
            </w:r>
          </w:p>
        </w:tc>
      </w:tr>
    </w:tbl>
    <w:p>
      <w:pPr>
        <w:spacing w:after="0" w:before="60"/>
      </w:pPr>
      <w:r>
        <w:t xml:space="preserve"/>
      </w:r>
    </w:p>
    <w:p>
      <w:pPr>
        <w:pStyle w:val="Heading2"/>
        <w:pBdr>
          <w:bottom w:val="single" w:color="2E86C1" w:sz="3" w:space="1"/>
        </w:pBdr>
        <w:spacing w:after="100" w:before="280"/>
      </w:pPr>
      <w:r>
        <w:rPr>
          <w:rFonts w:ascii="Arial" w:cs="Arial" w:eastAsia="Arial" w:hAnsi="Arial"/>
          <w:b/>
          <w:bCs/>
          <w:color w:val="1A5276"/>
          <w:sz w:val="26"/>
          <w:szCs w:val="26"/>
        </w:rPr>
        <w:t xml:space="preserve">6.2 Data Flow — Typical Patient Session</w:t>
      </w:r>
    </w:p>
    <w:p>
      <w:pPr>
        <w:spacing w:after="80" w:before="80"/>
        <w:jc w:val="both"/>
      </w:pPr>
      <w:r>
        <w:rPr>
          <w:rFonts w:ascii="Arial" w:cs="Arial" w:eastAsia="Arial" w:hAnsi="Arial"/>
          <w:color w:val="1C2833"/>
          <w:sz w:val="22"/>
          <w:szCs w:val="22"/>
        </w:rPr>
        <w:t xml:space="preserve">The sequence below illustrates the complete flow from mobile app launch to an insulin recommendation:</w:t>
      </w:r>
    </w:p>
    <w:p>
      <w:pPr>
        <w:pStyle w:val="ListParagraph"/>
        <w:numPr>
          <w:ilvl w:val="0"/>
          <w:numId w:val="2"/>
        </w:numPr>
        <w:spacing w:after="60" w:before="60"/>
      </w:pPr>
      <w:r>
        <w:rPr>
          <w:rFonts w:ascii="Arial" w:cs="Arial" w:eastAsia="Arial" w:hAnsi="Arial"/>
          <w:color w:val="1C2833"/>
          <w:sz w:val="22"/>
          <w:szCs w:val="22"/>
        </w:rPr>
        <w:t xml:space="preserve">Mobile app sends POST /login → JWT token returned; shared_constants (full PK/PD JSON) embedded in response for zero-latency cold start</w:t>
      </w:r>
    </w:p>
    <w:p>
      <w:pPr>
        <w:pStyle w:val="ListParagraph"/>
        <w:numPr>
          <w:ilvl w:val="0"/>
          <w:numId w:val="2"/>
        </w:numPr>
        <w:spacing w:after="60" w:before="60"/>
      </w:pPr>
      <w:r>
        <w:rPr>
          <w:rFonts w:ascii="Arial" w:cs="Arial" w:eastAsia="Arial" w:hAnsi="Arial"/>
          <w:color w:val="1C2833"/>
          <w:sz w:val="22"/>
          <w:szCs w:val="22"/>
        </w:rPr>
        <w:t xml:space="preserve">useAuthStore (Zustand) stores token in expo-secure-store (iOS Keychain / Android Keystore)</w:t>
      </w:r>
    </w:p>
    <w:p>
      <w:pPr>
        <w:pStyle w:val="ListParagraph"/>
        <w:numPr>
          <w:ilvl w:val="0"/>
          <w:numId w:val="2"/>
        </w:numPr>
        <w:spacing w:after="60" w:before="60"/>
      </w:pPr>
      <w:r>
        <w:rPr>
          <w:rFonts w:ascii="Arial" w:cs="Arial" w:eastAsia="Arial" w:hAnsi="Arial"/>
          <w:color w:val="1C2833"/>
          <w:sz w:val="22"/>
          <w:szCs w:val="22"/>
        </w:rPr>
        <w:t xml:space="preserve">GET /api/patient/constants → patient PK/PD parameters cached in usePatientStore with 5-minute TTL</w:t>
      </w:r>
    </w:p>
    <w:p>
      <w:pPr>
        <w:pStyle w:val="ListParagraph"/>
        <w:numPr>
          <w:ilvl w:val="0"/>
          <w:numId w:val="2"/>
        </w:numPr>
        <w:spacing w:after="60" w:before="60"/>
      </w:pPr>
      <w:r>
        <w:rPr>
          <w:rFonts w:ascii="Arial" w:cs="Arial" w:eastAsia="Arial" w:hAnsi="Arial"/>
          <w:color w:val="1C2833"/>
          <w:sz w:val="22"/>
          <w:szCs w:val="22"/>
        </w:rPr>
        <w:t xml:space="preserve">Patient logs meal via POST /api/meal → stored in MongoDB meals collection</w:t>
      </w:r>
    </w:p>
    <w:p>
      <w:pPr>
        <w:pStyle w:val="ListParagraph"/>
        <w:numPr>
          <w:ilvl w:val="0"/>
          <w:numId w:val="2"/>
        </w:numPr>
        <w:spacing w:after="60" w:before="60"/>
      </w:pPr>
      <w:r>
        <w:rPr>
          <w:rFonts w:ascii="Arial" w:cs="Arial" w:eastAsia="Arial" w:hAnsi="Arial"/>
          <w:color w:val="1C2833"/>
          <w:sz w:val="22"/>
          <w:szCs w:val="22"/>
        </w:rPr>
        <w:t xml:space="preserve">GET /api/meal-on-board → backend walks recent meals, runs gamma absorption integration → returns MOB (active_carbs) + absorbed_carbs + current_bg_elevation</w:t>
      </w:r>
    </w:p>
    <w:p>
      <w:pPr>
        <w:pStyle w:val="ListParagraph"/>
        <w:numPr>
          <w:ilvl w:val="0"/>
          <w:numId w:val="2"/>
        </w:numPr>
        <w:spacing w:after="60" w:before="60"/>
      </w:pPr>
      <w:r>
        <w:rPr>
          <w:rFonts w:ascii="Arial" w:cs="Arial" w:eastAsia="Arial" w:hAnsi="Arial"/>
          <w:color w:val="1C2833"/>
          <w:sz w:val="22"/>
          <w:szCs w:val="22"/>
        </w:rPr>
        <w:t xml:space="preserve">POST /api/insulin/log → dose logged in medication_logs collection</w:t>
      </w:r>
    </w:p>
    <w:p>
      <w:pPr>
        <w:pStyle w:val="ListParagraph"/>
        <w:numPr>
          <w:ilvl w:val="0"/>
          <w:numId w:val="2"/>
        </w:numPr>
        <w:spacing w:after="60" w:before="60"/>
      </w:pPr>
      <w:r>
        <w:rPr>
          <w:rFonts w:ascii="Arial" w:cs="Arial" w:eastAsia="Arial" w:hAnsi="Arial"/>
          <w:color w:val="1C2833"/>
          <w:sz w:val="22"/>
          <w:szCs w:val="22"/>
        </w:rPr>
        <w:t xml:space="preserve">GET /api/insulin/active-effect → backend runs 100-step IOB trapezoidal integration → returns IOB + absorbed_insulin + bg_impact</w:t>
      </w:r>
    </w:p>
    <w:p>
      <w:pPr>
        <w:pStyle w:val="ListParagraph"/>
        <w:numPr>
          <w:ilvl w:val="0"/>
          <w:numId w:val="2"/>
        </w:numPr>
        <w:spacing w:after="60" w:before="60"/>
      </w:pPr>
      <w:r>
        <w:rPr>
          <w:rFonts w:ascii="Arial" w:cs="Arial" w:eastAsia="Arial" w:hAnsi="Arial"/>
          <w:color w:val="1C2833"/>
          <w:sz w:val="22"/>
          <w:szCs w:val="22"/>
        </w:rPr>
        <w:t xml:space="preserve">POST /api/blood-sugar → reading stored; backend computes baseline = BG − (meal_impact − insulin_impact) and attaches baseline_calculation metadata</w:t>
      </w:r>
    </w:p>
    <w:p>
      <w:pPr>
        <w:spacing w:after="0" w:before="60"/>
      </w:pPr>
      <w:r>
        <w:t xml:space="preserve"/>
      </w:r>
    </w:p>
    <w:p>
      <w:pPr>
        <w:pStyle w:val="Heading2"/>
        <w:pBdr>
          <w:bottom w:val="single" w:color="2E86C1" w:sz="3" w:space="1"/>
        </w:pBdr>
        <w:spacing w:after="100" w:before="280"/>
      </w:pPr>
      <w:r>
        <w:rPr>
          <w:rFonts w:ascii="Arial" w:cs="Arial" w:eastAsia="Arial" w:hAnsi="Arial"/>
          <w:b/>
          <w:bCs/>
          <w:color w:val="1A5276"/>
          <w:sz w:val="26"/>
          <w:szCs w:val="26"/>
        </w:rPr>
        <w:t xml:space="preserve">6.3 Infrastructure &amp;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576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MongoDB Atlas</w:t>
            </w:r>
          </w:p>
        </w:tc>
        <w:tc>
          <w:tcPr>
            <w:tcW w:type="dxa" w:w="5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Primary database (all collections)</w:t>
            </w:r>
          </w:p>
        </w:tc>
      </w:tr>
      <w:tr>
        <w:tc>
          <w:tcPr>
            <w:tcW w:type="dxa" w:w="3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Render.com (free tier)</w:t>
            </w:r>
          </w:p>
        </w:tc>
        <w:tc>
          <w:tcPr>
            <w:tcW w:type="dxa" w:w="57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Flask/gunicorn backend hosting</w:t>
            </w:r>
          </w:p>
        </w:tc>
      </w:tr>
      <w:tr>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Vercel</w:t>
            </w:r>
          </w:p>
        </w:tc>
        <w:tc>
          <w:tcPr>
            <w:tcW w:type="dxa" w:w="5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React PWA web frontend (edge caching)</w:t>
            </w:r>
          </w:p>
        </w:tc>
      </w:tr>
      <w:tr>
        <w:tc>
          <w:tcPr>
            <w:tcW w:type="dxa" w:w="3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Google Gemini API</w:t>
            </w:r>
          </w:p>
        </w:tc>
        <w:tc>
          <w:tcPr>
            <w:tcW w:type="dxa" w:w="57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Gemini 2.5 Flash Vision for food photo analysis</w:t>
            </w:r>
          </w:p>
        </w:tc>
      </w:tr>
      <w:tr>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Abbott LibreLinkUp API</w:t>
            </w:r>
          </w:p>
        </w:tc>
        <w:tc>
          <w:tcPr>
            <w:tcW w:type="dxa" w:w="5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CGM readings (unofficial reverse-engineered API)</w:t>
            </w:r>
          </w:p>
        </w:tc>
      </w:tr>
      <w:tr>
        <w:tc>
          <w:tcPr>
            <w:tcW w:type="dxa" w:w="3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APScheduler + cron-job.org</w:t>
            </w:r>
          </w:p>
        </w:tc>
        <w:tc>
          <w:tcPr>
            <w:tcW w:type="dxa" w:w="57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Keep-alive ping for Render free-tier dyno (15-min hibernation workaround)</w:t>
            </w:r>
          </w:p>
        </w:tc>
      </w:tr>
    </w:tbl>
    <w:p>
      <w:pPr>
        <w:spacing w:after="0" w:before="60"/>
      </w:pPr>
      <w:r>
        <w:t xml:space="preserve"/>
      </w:r>
    </w:p>
    <w:p>
      <w:pPr>
        <w:pStyle w:val="Heading1"/>
        <w:pBdr>
          <w:bottom w:val="single" w:color="148F77" w:sz="6" w:space="2"/>
        </w:pBdr>
        <w:shd w:fill="1A5276" w:val="clear"/>
        <w:spacing w:after="160" w:before="360"/>
        <w:ind w:left="200" w:right="200"/>
      </w:pPr>
      <w:r>
        <w:rPr>
          <w:rFonts w:ascii="Arial" w:cs="Arial" w:eastAsia="Arial" w:hAnsi="Arial"/>
          <w:b/>
          <w:bCs/>
          <w:color w:val="FFFFFF"/>
          <w:sz w:val="32"/>
          <w:szCs w:val="32"/>
        </w:rPr>
        <w:t xml:space="preserve">7. Core Modules &amp; Key Files</w:t>
      </w:r>
    </w:p>
    <w:p>
      <w:pPr>
        <w:pStyle w:val="Heading2"/>
        <w:pBdr>
          <w:bottom w:val="single" w:color="2E86C1" w:sz="3" w:space="1"/>
        </w:pBdr>
        <w:spacing w:after="100" w:before="280"/>
      </w:pPr>
      <w:r>
        <w:rPr>
          <w:rFonts w:ascii="Arial" w:cs="Arial" w:eastAsia="Arial" w:hAnsi="Arial"/>
          <w:b/>
          <w:bCs/>
          <w:color w:val="1A5276"/>
          <w:sz w:val="26"/>
          <w:szCs w:val="26"/>
        </w:rPr>
        <w:t xml:space="preserve">7.1 backend/constants.py — Single Source of Truth for All PK/PD Parameters</w:t>
      </w:r>
    </w:p>
    <w:p>
      <w:pPr>
        <w:spacing w:after="80" w:before="80"/>
        <w:jc w:val="both"/>
      </w:pPr>
      <w:r>
        <w:rPr>
          <w:rFonts w:ascii="Arial" w:cs="Arial" w:eastAsia="Arial" w:hAnsi="Arial"/>
          <w:color w:val="1C2833"/>
          <w:sz w:val="22"/>
          <w:szCs w:val="22"/>
        </w:rPr>
        <w:t xml:space="preserve">This is the most important file in the codebase. It contains:</w:t>
      </w:r>
    </w:p>
    <w:p>
      <w:pPr>
        <w:pStyle w:val="ListParagraph"/>
        <w:numPr>
          <w:ilvl w:val="0"/>
          <w:numId w:val="2"/>
        </w:numPr>
        <w:spacing w:after="60" w:before="60"/>
      </w:pPr>
      <w:r>
        <w:rPr>
          <w:rFonts w:ascii="Arial" w:cs="Arial" w:eastAsia="Arial" w:hAnsi="Arial"/>
          <w:color w:val="1C2833"/>
          <w:sz w:val="22"/>
          <w:szCs w:val="22"/>
        </w:rPr>
        <w:t xml:space="preserve">Insulin analogue profiles (Novorapid, Fiasp, Humalog, Levemir, Tresiba, etc.) sourced from German S3 Guideline (AWMF 057-013, Table 9)</w:t>
      </w:r>
    </w:p>
    <w:p>
      <w:pPr>
        <w:pStyle w:val="ListParagraph"/>
        <w:numPr>
          <w:ilvl w:val="0"/>
          <w:numId w:val="2"/>
        </w:numPr>
        <w:spacing w:after="60" w:before="60"/>
      </w:pPr>
      <w:r>
        <w:rPr>
          <w:rFonts w:ascii="Arial" w:cs="Arial" w:eastAsia="Arial" w:hAnsi="Arial"/>
          <w:color w:val="1C2833"/>
          <w:sz w:val="22"/>
          <w:szCs w:val="22"/>
        </w:rPr>
        <w:t xml:space="preserve">Five meal absorption profiles (very_slow → very_fast), each with gamma distribution parameters: shape_param (k), scale_param (θ), onset_hours, peak_hours, duration_hours</w:t>
      </w:r>
    </w:p>
    <w:p>
      <w:pPr>
        <w:pStyle w:val="ListParagraph"/>
        <w:numPr>
          <w:ilvl w:val="0"/>
          <w:numId w:val="2"/>
        </w:numPr>
        <w:spacing w:after="60" w:before="60"/>
      </w:pPr>
      <w:r>
        <w:rPr>
          <w:rFonts w:ascii="Arial" w:cs="Arial" w:eastAsia="Arial" w:hAnsi="Arial"/>
          <w:color w:val="1C2833"/>
          <w:sz w:val="22"/>
          <w:szCs w:val="22"/>
        </w:rPr>
        <w:t xml:space="preserve">DEFAULT_PATIENT_CONSTANTS dictionary with default ICR, ISF, target_glucose, carb_to_bg_factor, protein_factor, fat_factor</w:t>
      </w:r>
    </w:p>
    <w:p>
      <w:pPr>
        <w:pStyle w:val="ListParagraph"/>
        <w:numPr>
          <w:ilvl w:val="0"/>
          <w:numId w:val="2"/>
        </w:numPr>
        <w:spacing w:after="60" w:before="60"/>
      </w:pPr>
      <w:r>
        <w:rPr>
          <w:rFonts w:ascii="Arial" w:cs="Arial" w:eastAsia="Arial" w:hAnsi="Arial"/>
          <w:color w:val="1C2833"/>
          <w:sz w:val="22"/>
          <w:szCs w:val="22"/>
        </w:rPr>
        <w:t xml:space="preserve">Circadian baseline profile encoding the Somogyi nadir (~3 AM), dawn phenomenon (5–8 AM), and daytime plateau</w:t>
      </w:r>
    </w:p>
    <w:p>
      <w:pPr>
        <w:pStyle w:val="ListParagraph"/>
        <w:numPr>
          <w:ilvl w:val="0"/>
          <w:numId w:val="2"/>
        </w:numPr>
        <w:spacing w:after="60" w:before="60"/>
      </w:pPr>
      <w:r>
        <w:rPr>
          <w:rFonts w:ascii="Arial" w:cs="Arial" w:eastAsia="Arial" w:hAnsi="Arial"/>
          <w:color w:val="1C2833"/>
          <w:sz w:val="22"/>
          <w:szCs w:val="22"/>
        </w:rPr>
        <w:t xml:space="preserve">60-second in-process LRU cache for patient constants to absorb mobile cold-start burst traffic</w:t>
      </w:r>
    </w:p>
    <w:p>
      <w:pPr>
        <w:pStyle w:val="ListParagraph"/>
        <w:numPr>
          <w:ilvl w:val="0"/>
          <w:numId w:val="2"/>
        </w:numPr>
        <w:spacing w:after="60" w:before="60"/>
      </w:pPr>
      <w:r>
        <w:rPr>
          <w:rFonts w:ascii="Arial" w:cs="Arial" w:eastAsia="Arial" w:hAnsi="Arial"/>
          <w:color w:val="1C2833"/>
          <w:sz w:val="22"/>
          <w:szCs w:val="22"/>
        </w:rPr>
        <w:t xml:space="preserve">Constants.export_all_constants_safe() — writes a TypeScript constants file to mobile/constants/ for perfect frontend/backend parity</w:t>
      </w:r>
    </w:p>
    <w:p>
      <w:pPr>
        <w:spacing w:after="0" w:before="60"/>
      </w:pPr>
      <w:r>
        <w:t xml:space="preserve"/>
      </w:r>
    </w:p>
    <w:p>
      <w:pPr>
        <w:pStyle w:val="Heading2"/>
        <w:pBdr>
          <w:bottom w:val="single" w:color="2E86C1" w:sz="3" w:space="1"/>
        </w:pBdr>
        <w:spacing w:after="100" w:before="280"/>
      </w:pPr>
      <w:r>
        <w:rPr>
          <w:rFonts w:ascii="Arial" w:cs="Arial" w:eastAsia="Arial" w:hAnsi="Arial"/>
          <w:b/>
          <w:bCs/>
          <w:color w:val="1A5276"/>
          <w:sz w:val="26"/>
          <w:szCs w:val="26"/>
        </w:rPr>
        <w:t xml:space="preserve">7.2 backend/utils/pharmacodynamics.py — Core PK/PD Engine (v4.0)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556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calculate_gamma_absorption(hours, profile)</w:t>
            </w:r>
          </w:p>
        </w:tc>
        <w:tc>
          <w:tcPr>
            <w:tcW w:type="dxa" w:w="5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Returns gamma distribution activity % for a meal at time t</w:t>
            </w:r>
          </w:p>
        </w:tc>
      </w:tr>
      <w:tr>
        <w:tc>
          <w:tcPr>
            <w:tcW w:type="dxa" w:w="3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calculate_insulin_activity(hours, params)</w:t>
            </w:r>
          </w:p>
        </w:tc>
        <w:tc>
          <w:tcPr>
            <w:tcW w:type="dxa" w:w="55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Returns gamma distribution activity % for insulin (aligned with frontend)</w:t>
            </w:r>
          </w:p>
        </w:tc>
      </w:tr>
      <w:tr>
        <w:tc>
          <w:tcPr>
            <w:tcW w:type="dxa" w:w="3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calculate_iob(hours, initial_dose, profile)</w:t>
            </w:r>
          </w:p>
        </w:tc>
        <w:tc>
          <w:tcPr>
            <w:tcW w:type="dxa" w:w="5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IOB via 100-step trapezoidal integration</w:t>
            </w:r>
          </w:p>
        </w:tc>
      </w:tr>
      <w:tr>
        <w:tc>
          <w:tcPr>
            <w:tcW w:type="dxa" w:w="3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calculate_absorbed_fraction(hours, profile, ...)</w:t>
            </w:r>
          </w:p>
        </w:tc>
        <w:tc>
          <w:tcPr>
            <w:tcW w:type="dxa" w:w="55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Fraction of carbs absorbed by time t</w:t>
            </w:r>
          </w:p>
        </w:tc>
      </w:tr>
      <w:tr>
        <w:tc>
          <w:tcPr>
            <w:tcW w:type="dxa" w:w="3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calculate_meal_active_carbs(meal, ...)</w:t>
            </w:r>
          </w:p>
        </w:tc>
        <w:tc>
          <w:tcPr>
            <w:tcW w:type="dxa" w:w="5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Returns {active_carbs, absorbed_carbs, activity_percent, ...}</w:t>
            </w:r>
          </w:p>
        </w:tc>
      </w:tr>
      <w:tr>
        <w:tc>
          <w:tcPr>
            <w:tcW w:type="dxa" w:w="3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calculate_stacked_insulin_effect(patient_id, ...)</w:t>
            </w:r>
          </w:p>
        </w:tc>
        <w:tc>
          <w:tcPr>
            <w:tcW w:type="dxa" w:w="55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Aggregates all active doses → totalIOB, totalBGImpact, contributions</w:t>
            </w:r>
          </w:p>
        </w:tc>
      </w:tr>
      <w:tr>
        <w:tc>
          <w:tcPr>
            <w:tcW w:type="dxa" w:w="3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calculate_stable_baseline_from_reading(...)</w:t>
            </w:r>
          </w:p>
        </w:tc>
        <w:tc>
          <w:tcPr>
            <w:tcW w:type="dxa" w:w="5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Derives fasting-equivalent baseline BG from a reading + meal/insulin context</w:t>
            </w:r>
          </w:p>
        </w:tc>
      </w:tr>
    </w:tbl>
    <w:p>
      <w:pPr>
        <w:spacing w:after="0" w:before="60"/>
      </w:pPr>
      <w:r>
        <w:t xml:space="preserve"/>
      </w:r>
    </w:p>
    <w:p>
      <w:pPr>
        <w:pStyle w:val="Heading2"/>
        <w:pBdr>
          <w:bottom w:val="single" w:color="2E86C1" w:sz="3" w:space="1"/>
        </w:pBdr>
        <w:spacing w:after="100" w:before="280"/>
      </w:pPr>
      <w:r>
        <w:rPr>
          <w:rFonts w:ascii="Arial" w:cs="Arial" w:eastAsia="Arial" w:hAnsi="Arial"/>
          <w:b/>
          <w:bCs/>
          <w:color w:val="1A5276"/>
          <w:sz w:val="26"/>
          <w:szCs w:val="26"/>
        </w:rPr>
        <w:t xml:space="preserve">7.3 backend/services/food_scan_service.py — AI Nutrition Analysis</w:t>
      </w:r>
    </w:p>
    <w:p>
      <w:pPr>
        <w:spacing w:after="80" w:before="80"/>
        <w:jc w:val="both"/>
      </w:pPr>
      <w:r>
        <w:rPr>
          <w:rFonts w:ascii="Arial" w:cs="Arial" w:eastAsia="Arial" w:hAnsi="Arial"/>
          <w:color w:val="1C2833"/>
          <w:sz w:val="22"/>
          <w:szCs w:val="22"/>
        </w:rPr>
        <w:t xml:space="preserve">Wraps the Gemini 2.5 Flash Vision API. Accepts a food photograph (multipart or base64) and returns structured food items — name, carbs, protein, fat, portion size, category, glycaemic index, confidence score — ready for immediate use in the MealForm PK/PD calculation.</w:t>
      </w:r>
    </w:p>
    <w:p>
      <w:pPr>
        <w:spacing w:after="0" w:before="60"/>
      </w:pPr>
      <w:r>
        <w:t xml:space="preserve"/>
      </w:r>
    </w:p>
    <w:p>
      <w:pPr>
        <w:pStyle w:val="Heading2"/>
        <w:pBdr>
          <w:bottom w:val="single" w:color="2E86C1" w:sz="3" w:space="1"/>
        </w:pBdr>
        <w:spacing w:after="100" w:before="280"/>
      </w:pPr>
      <w:r>
        <w:rPr>
          <w:rFonts w:ascii="Arial" w:cs="Arial" w:eastAsia="Arial" w:hAnsi="Arial"/>
          <w:b/>
          <w:bCs/>
          <w:color w:val="1A5276"/>
          <w:sz w:val="26"/>
          <w:szCs w:val="26"/>
        </w:rPr>
        <w:t xml:space="preserve">7.4 backend/services/libre_service.py — CGM Integration</w:t>
      </w:r>
    </w:p>
    <w:p>
      <w:pPr>
        <w:pStyle w:val="ListParagraph"/>
        <w:numPr>
          <w:ilvl w:val="0"/>
          <w:numId w:val="2"/>
        </w:numPr>
        <w:spacing w:after="60" w:before="60"/>
      </w:pPr>
      <w:r>
        <w:rPr>
          <w:rFonts w:ascii="Arial" w:cs="Arial" w:eastAsia="Arial" w:hAnsi="Arial"/>
          <w:color w:val="1C2833"/>
          <w:sz w:val="22"/>
          <w:szCs w:val="22"/>
        </w:rPr>
        <w:t xml:space="preserve">Supports 9 regional LibreLinkUp endpoints (US, EU, EU2, DE, FR, JP, AP, AU, AE)</w:t>
      </w:r>
    </w:p>
    <w:p>
      <w:pPr>
        <w:pStyle w:val="ListParagraph"/>
        <w:numPr>
          <w:ilvl w:val="0"/>
          <w:numId w:val="2"/>
        </w:numPr>
        <w:spacing w:after="60" w:before="60"/>
      </w:pPr>
      <w:r>
        <w:rPr>
          <w:rFonts w:ascii="Arial" w:cs="Arial" w:eastAsia="Arial" w:hAnsi="Arial"/>
          <w:color w:val="1C2833"/>
          <w:sz w:val="22"/>
          <w:szCs w:val="22"/>
        </w:rPr>
        <w:t xml:space="preserve">Credentials encrypted at rest with Fernet (key derived from app SECRET_KEY via SHA-256)</w:t>
      </w:r>
    </w:p>
    <w:p>
      <w:pPr>
        <w:pStyle w:val="ListParagraph"/>
        <w:numPr>
          <w:ilvl w:val="0"/>
          <w:numId w:val="2"/>
        </w:numPr>
        <w:spacing w:after="60" w:before="60"/>
      </w:pPr>
      <w:r>
        <w:rPr>
          <w:rFonts w:ascii="Arial" w:cs="Arial" w:eastAsia="Arial" w:hAnsi="Arial"/>
          <w:color w:val="1C2833"/>
          <w:sz w:val="22"/>
          <w:szCs w:val="22"/>
        </w:rPr>
        <w:t xml:space="preserve">Auth token cached with 24-hour refresh buffer to minimise LibreLinkUp API calls</w:t>
      </w:r>
    </w:p>
    <w:p>
      <w:pPr>
        <w:pStyle w:val="ListParagraph"/>
        <w:numPr>
          <w:ilvl w:val="0"/>
          <w:numId w:val="2"/>
        </w:numPr>
        <w:spacing w:after="60" w:before="60"/>
      </w:pPr>
      <w:r>
        <w:rPr>
          <w:rFonts w:ascii="Arial" w:cs="Arial" w:eastAsia="Arial" w:hAnsi="Arial"/>
          <w:color w:val="1C2833"/>
          <w:sz w:val="22"/>
          <w:szCs w:val="22"/>
        </w:rPr>
        <w:t xml:space="preserve">Automatic mmol/L → mg/dL conversion</w:t>
      </w:r>
    </w:p>
    <w:p>
      <w:pPr>
        <w:pStyle w:val="ListParagraph"/>
        <w:numPr>
          <w:ilvl w:val="0"/>
          <w:numId w:val="2"/>
        </w:numPr>
        <w:spacing w:after="60" w:before="60"/>
      </w:pPr>
      <w:r>
        <w:rPr>
          <w:rFonts w:ascii="Arial" w:cs="Arial" w:eastAsia="Arial" w:hAnsi="Arial"/>
          <w:color w:val="1C2833"/>
          <w:sz w:val="22"/>
          <w:szCs w:val="22"/>
        </w:rPr>
        <w:t xml:space="preserve">Deduplication of readings by (user_id, bloodSugarTimestamp) on write</w:t>
      </w:r>
    </w:p>
    <w:p>
      <w:pPr>
        <w:spacing w:after="0" w:before="60"/>
      </w:pPr>
      <w:r>
        <w:t xml:space="preserve"/>
      </w:r>
    </w:p>
    <w:p>
      <w:pPr>
        <w:pStyle w:val="Heading1"/>
        <w:pBdr>
          <w:bottom w:val="single" w:color="148F77" w:sz="6" w:space="2"/>
        </w:pBdr>
        <w:shd w:fill="1A5276" w:val="clear"/>
        <w:spacing w:after="160" w:before="360"/>
        <w:ind w:left="200" w:right="200"/>
      </w:pPr>
      <w:r>
        <w:rPr>
          <w:rFonts w:ascii="Arial" w:cs="Arial" w:eastAsia="Arial" w:hAnsi="Arial"/>
          <w:b/>
          <w:bCs/>
          <w:color w:val="FFFFFF"/>
          <w:sz w:val="32"/>
          <w:szCs w:val="32"/>
        </w:rPr>
        <w:t xml:space="preserve">8. API Reference</w:t>
      </w:r>
    </w:p>
    <w:p>
      <w:pPr>
        <w:spacing w:after="80" w:before="80"/>
        <w:jc w:val="both"/>
      </w:pPr>
      <w:r>
        <w:rPr>
          <w:rFonts w:ascii="Arial" w:cs="Arial" w:eastAsia="Arial" w:hAnsi="Arial"/>
          <w:color w:val="1C2833"/>
          <w:sz w:val="22"/>
          <w:szCs w:val="22"/>
        </w:rPr>
        <w:t xml:space="preserve">All routes except POST /login, POST /register, and GET /api/health require a JWT in the Authorization header. The @token_required decorator handles validation. Mobile clients should send X-Client-Type: mobile to receive a 90-day token instead of the default 24-hour web token.</w:t>
      </w:r>
    </w:p>
    <w:p>
      <w:pPr>
        <w:spacing w:after="0" w:before="60"/>
      </w:pPr>
      <w:r>
        <w:t xml:space="preserve"/>
      </w:r>
    </w:p>
    <w:p>
      <w:pPr>
        <w:pStyle w:val="Heading2"/>
        <w:pBdr>
          <w:bottom w:val="single" w:color="2E86C1" w:sz="3" w:space="1"/>
        </w:pBdr>
        <w:spacing w:after="100" w:before="280"/>
      </w:pPr>
      <w:r>
        <w:rPr>
          <w:rFonts w:ascii="Arial" w:cs="Arial" w:eastAsia="Arial" w:hAnsi="Arial"/>
          <w:b/>
          <w:bCs/>
          <w:color w:val="1A5276"/>
          <w:sz w:val="26"/>
          <w:szCs w:val="26"/>
        </w:rPr>
        <w:t xml:space="preserve">8.1 Authentication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4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576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Body / Notes</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POST</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/login</w:t>
            </w:r>
          </w:p>
        </w:tc>
        <w:tc>
          <w:tcPr>
            <w:tcW w:type="dxa" w:w="5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{username, password, user_type} → {token, user_type, firstName, lastName, shared_constants}</w:t>
            </w:r>
          </w:p>
        </w:tc>
      </w:tr>
      <w:tr>
        <w:tc>
          <w:tcPr>
            <w:tcW w:type="dxa" w:w="1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POST</w:t>
            </w:r>
          </w:p>
        </w:tc>
        <w:tc>
          <w:tcPr>
            <w:tcW w:type="dxa" w:w="2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/register</w:t>
            </w:r>
          </w:p>
        </w:tc>
        <w:tc>
          <w:tcPr>
            <w:tcW w:type="dxa" w:w="57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{username, email, password, firstName, lastName, user_type} → {message, token, user_type}</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POST</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/logout</w:t>
            </w:r>
          </w:p>
        </w:tc>
        <w:tc>
          <w:tcPr>
            <w:tcW w:type="dxa" w:w="5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 → {message}</w:t>
            </w:r>
          </w:p>
        </w:tc>
      </w:tr>
    </w:tbl>
    <w:p>
      <w:pPr>
        <w:spacing w:after="0" w:before="60"/>
      </w:pPr>
      <w:r>
        <w:t xml:space="preserve"/>
      </w:r>
    </w:p>
    <w:p>
      <w:pPr>
        <w:pStyle w:val="Heading2"/>
        <w:pBdr>
          <w:bottom w:val="single" w:color="2E86C1" w:sz="3" w:space="1"/>
        </w:pBdr>
        <w:spacing w:after="100" w:before="280"/>
      </w:pPr>
      <w:r>
        <w:rPr>
          <w:rFonts w:ascii="Arial" w:cs="Arial" w:eastAsia="Arial" w:hAnsi="Arial"/>
          <w:b/>
          <w:bCs/>
          <w:color w:val="1A5276"/>
          <w:sz w:val="26"/>
          <w:szCs w:val="26"/>
        </w:rPr>
        <w:t xml:space="preserve">8.2 Meal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8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536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GET</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/api/meals-only</w:t>
            </w:r>
          </w:p>
        </w:tc>
        <w:tc>
          <w:tcPr>
            <w:tcW w:type="dxa" w:w="5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Paginated meal list</w:t>
            </w:r>
          </w:p>
        </w:tc>
      </w:tr>
      <w:tr>
        <w:tc>
          <w:tcPr>
            <w:tcW w:type="dxa" w:w="1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POST</w:t>
            </w:r>
          </w:p>
        </w:tc>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/api/meal</w:t>
            </w:r>
          </w:p>
        </w:tc>
        <w:tc>
          <w:tcPr>
            <w:tcW w:type="dxa" w:w="5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Log a meal with food items + full nutrition breakdown</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GET/DELETE</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/api/meal/&lt;id&gt;</w:t>
            </w:r>
          </w:p>
        </w:tc>
        <w:tc>
          <w:tcPr>
            <w:tcW w:type="dxa" w:w="5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Single meal detail or delete</w:t>
            </w:r>
          </w:p>
        </w:tc>
      </w:tr>
      <w:tr>
        <w:tc>
          <w:tcPr>
            <w:tcW w:type="dxa" w:w="1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POST</w:t>
            </w:r>
          </w:p>
        </w:tc>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/api/meal/calculate</w:t>
            </w:r>
          </w:p>
        </w:tc>
        <w:tc>
          <w:tcPr>
            <w:tcW w:type="dxa" w:w="5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Calculate insulin dose for a meal without saving</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GET</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/api/meal-on-board</w:t>
            </w:r>
          </w:p>
        </w:tc>
        <w:tc>
          <w:tcPr>
            <w:tcW w:type="dxa" w:w="5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MOB — active + absorbed carbs, BG elevation, pending rise</w:t>
            </w:r>
          </w:p>
        </w:tc>
      </w:tr>
      <w:tr>
        <w:tc>
          <w:tcPr>
            <w:tcW w:type="dxa" w:w="1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GET</w:t>
            </w:r>
          </w:p>
        </w:tc>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/api/meal-timing-assessment</w:t>
            </w:r>
          </w:p>
        </w:tc>
        <w:tc>
          <w:tcPr>
            <w:tcW w:type="dxa" w:w="5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Insulin pre-bolus timing recommendation</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GET</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/api/active-meals</w:t>
            </w:r>
          </w:p>
        </w:tc>
        <w:tc>
          <w:tcPr>
            <w:tcW w:type="dxa" w:w="5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All currently active meals with per-meal breakdown</w:t>
            </w:r>
          </w:p>
        </w:tc>
      </w:tr>
    </w:tbl>
    <w:p>
      <w:pPr>
        <w:spacing w:after="0" w:before="60"/>
      </w:pPr>
      <w:r>
        <w:t xml:space="preserve"/>
      </w:r>
    </w:p>
    <w:p>
      <w:pPr>
        <w:pStyle w:val="Heading2"/>
        <w:pBdr>
          <w:bottom w:val="single" w:color="2E86C1" w:sz="3" w:space="1"/>
        </w:pBdr>
        <w:spacing w:after="100" w:before="280"/>
      </w:pPr>
      <w:r>
        <w:rPr>
          <w:rFonts w:ascii="Arial" w:cs="Arial" w:eastAsia="Arial" w:hAnsi="Arial"/>
          <w:b/>
          <w:bCs/>
          <w:color w:val="1A5276"/>
          <w:sz w:val="26"/>
          <w:szCs w:val="26"/>
        </w:rPr>
        <w:t xml:space="preserve">8.3 Insulin / Medication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8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536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POST</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/api/insulin/log</w:t>
            </w:r>
          </w:p>
        </w:tc>
        <w:tc>
          <w:tcPr>
            <w:tcW w:type="dxa" w:w="5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Log an insulin dose {medication, dose, taken_at}</w:t>
            </w:r>
          </w:p>
        </w:tc>
      </w:tr>
      <w:tr>
        <w:tc>
          <w:tcPr>
            <w:tcW w:type="dxa" w:w="1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DELETE</w:t>
            </w:r>
          </w:p>
        </w:tc>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/api/insulin/log/&lt;id&gt;</w:t>
            </w:r>
          </w:p>
        </w:tc>
        <w:tc>
          <w:tcPr>
            <w:tcW w:type="dxa" w:w="5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Delete a dose log</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GET</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/api/insulin/active-effect</w:t>
            </w:r>
          </w:p>
        </w:tc>
        <w:tc>
          <w:tcPr>
            <w:tcW w:type="dxa" w:w="5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IOB — active + absorbed insulin, BG reduction</w:t>
            </w:r>
          </w:p>
        </w:tc>
      </w:tr>
      <w:tr>
        <w:tc>
          <w:tcPr>
            <w:tcW w:type="dxa" w:w="1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GET</w:t>
            </w:r>
          </w:p>
        </w:tc>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/api/insulin-data</w:t>
            </w:r>
          </w:p>
        </w:tc>
        <w:tc>
          <w:tcPr>
            <w:tcW w:type="dxa" w:w="5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Historical dose data for visualisation</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GET</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/api/insulin-analytics</w:t>
            </w:r>
          </w:p>
        </w:tc>
        <w:tc>
          <w:tcPr>
            <w:tcW w:type="dxa" w:w="5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Aggregate insulin analytics</w:t>
            </w:r>
          </w:p>
        </w:tc>
      </w:tr>
      <w:tr>
        <w:tc>
          <w:tcPr>
            <w:tcW w:type="dxa" w:w="1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GET</w:t>
            </w:r>
          </w:p>
        </w:tc>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/api/cumulative-effects</w:t>
            </w:r>
          </w:p>
        </w:tc>
        <w:tc>
          <w:tcPr>
            <w:tcW w:type="dxa" w:w="5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Net cumulative glucose impact (MOB − IOB)</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GET</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/api/active-effects-full</w:t>
            </w:r>
          </w:p>
        </w:tc>
        <w:tc>
          <w:tcPr>
            <w:tcW w:type="dxa" w:w="5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Full combined MOB + IOB breakdown</w:t>
            </w:r>
          </w:p>
        </w:tc>
      </w:tr>
    </w:tbl>
    <w:p>
      <w:pPr>
        <w:spacing w:after="0" w:before="60"/>
      </w:pPr>
      <w:r>
        <w:t xml:space="preserve"/>
      </w:r>
    </w:p>
    <w:p>
      <w:pPr>
        <w:pStyle w:val="Heading2"/>
        <w:pBdr>
          <w:bottom w:val="single" w:color="2E86C1" w:sz="3" w:space="1"/>
        </w:pBdr>
        <w:spacing w:after="100" w:before="280"/>
      </w:pPr>
      <w:r>
        <w:rPr>
          <w:rFonts w:ascii="Arial" w:cs="Arial" w:eastAsia="Arial" w:hAnsi="Arial"/>
          <w:b/>
          <w:bCs/>
          <w:color w:val="1A5276"/>
          <w:sz w:val="26"/>
          <w:szCs w:val="26"/>
        </w:rPr>
        <w:t xml:space="preserve">8.4 LibreLinkUp CGM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8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516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POST</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/api/libre/connect</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{email, password, region} — store encrypted credentials</w:t>
            </w:r>
          </w:p>
        </w:tc>
      </w:tr>
      <w:tr>
        <w:tc>
          <w:tcPr>
            <w:tcW w:type="dxa" w:w="1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DELETE</w:t>
            </w:r>
          </w:p>
        </w:tc>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/api/libre/disconnect</w:t>
            </w:r>
          </w:p>
        </w:tc>
        <w:tc>
          <w:tcPr>
            <w:tcW w:type="dxa" w:w="51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?delete_readings=true also purges stored readings</w:t>
            </w:r>
          </w:p>
        </w:tc>
      </w:tr>
      <w:tr>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GET</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/api/libre/status</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Connection status + optional live reading (?fetch_latest=true)</w:t>
            </w:r>
          </w:p>
        </w:tc>
      </w:tr>
      <w:tr>
        <w:tc>
          <w:tcPr>
            <w:tcW w:type="dxa" w:w="1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POST</w:t>
            </w:r>
          </w:p>
        </w:tc>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/api/libre/sync</w:t>
            </w:r>
          </w:p>
        </w:tc>
        <w:tc>
          <w:tcPr>
            <w:tcW w:type="dxa" w:w="51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Manual pull of ~8 hours of readings</w:t>
            </w:r>
          </w:p>
        </w:tc>
      </w:tr>
      <w:tr>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PUT</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/api/libre/settings</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{auto_sync_enabled, sync_interval_minutes}</w:t>
            </w:r>
          </w:p>
        </w:tc>
      </w:tr>
      <w:tr>
        <w:tc>
          <w:tcPr>
            <w:tcW w:type="dxa" w:w="1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GET</w:t>
            </w:r>
          </w:p>
        </w:tc>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/api/libre/readings</w:t>
            </w:r>
          </w:p>
        </w:tc>
        <w:tc>
          <w:tcPr>
            <w:tcW w:type="dxa" w:w="51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Stored CGM readings (?hours=&amp;start_time=&amp;end_time=)</w:t>
            </w:r>
          </w:p>
        </w:tc>
      </w:tr>
    </w:tbl>
    <w:p>
      <w:pPr>
        <w:spacing w:after="0" w:before="60"/>
      </w:pPr>
      <w:r>
        <w:t xml:space="preserve"/>
      </w:r>
    </w:p>
    <w:p>
      <w:pPr>
        <w:pStyle w:val="Heading2"/>
        <w:pBdr>
          <w:bottom w:val="single" w:color="2E86C1" w:sz="3" w:space="1"/>
        </w:pBdr>
        <w:spacing w:after="100" w:before="280"/>
      </w:pPr>
      <w:r>
        <w:rPr>
          <w:rFonts w:ascii="Arial" w:cs="Arial" w:eastAsia="Arial" w:hAnsi="Arial"/>
          <w:b/>
          <w:bCs/>
          <w:color w:val="1A5276"/>
          <w:sz w:val="26"/>
          <w:szCs w:val="26"/>
        </w:rPr>
        <w:t xml:space="preserve">8.5 Doctor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8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516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GET</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/api/doctor/patients</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Patients authorized for this doctor</w:t>
            </w:r>
          </w:p>
        </w:tc>
      </w:tr>
      <w:tr>
        <w:tc>
          <w:tcPr>
            <w:tcW w:type="dxa" w:w="1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GET/PUT</w:t>
            </w:r>
          </w:p>
        </w:tc>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/api/doctor/patient/&lt;id&gt;/constants</w:t>
            </w:r>
          </w:p>
        </w:tc>
        <w:tc>
          <w:tcPr>
            <w:tcW w:type="dxa" w:w="51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View or edit patient PK/PD constants</w:t>
            </w:r>
          </w:p>
        </w:tc>
      </w:tr>
      <w:tr>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POST</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/api/doctor/patient/&lt;id&gt;/constants/reset</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Reset patient constants to defaults</w:t>
            </w:r>
          </w:p>
        </w:tc>
      </w:tr>
      <w:tr>
        <w:tc>
          <w:tcPr>
            <w:tcW w:type="dxa" w:w="1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GET</w:t>
            </w:r>
          </w:p>
        </w:tc>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/api/doctor/patient/&lt;id&gt;/blood-sugar</w:t>
            </w:r>
          </w:p>
        </w:tc>
        <w:tc>
          <w:tcPr>
            <w:tcW w:type="dxa" w:w="51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Doctor view of patient glucose history</w:t>
            </w:r>
          </w:p>
        </w:tc>
      </w:tr>
      <w:tr>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GET</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/api/doctor/patient/&lt;id&gt;/activity-history</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Doctor view of activity logs</w:t>
            </w:r>
          </w:p>
        </w:tc>
      </w:tr>
    </w:tbl>
    <w:p>
      <w:pPr>
        <w:spacing w:after="0" w:before="60"/>
      </w:pPr>
      <w:r>
        <w:t xml:space="preserve"/>
      </w:r>
    </w:p>
    <w:p>
      <w:pPr>
        <w:pStyle w:val="Heading1"/>
        <w:pBdr>
          <w:bottom w:val="single" w:color="148F77" w:sz="6" w:space="2"/>
        </w:pBdr>
        <w:shd w:fill="1A5276" w:val="clear"/>
        <w:spacing w:after="160" w:before="360"/>
        <w:ind w:left="200" w:right="200"/>
      </w:pPr>
      <w:r>
        <w:rPr>
          <w:rFonts w:ascii="Arial" w:cs="Arial" w:eastAsia="Arial" w:hAnsi="Arial"/>
          <w:b/>
          <w:bCs/>
          <w:color w:val="FFFFFF"/>
          <w:sz w:val="32"/>
          <w:szCs w:val="32"/>
        </w:rPr>
        <w:t xml:space="preserve">9. Data Models (MongoDB Collections)</w:t>
      </w:r>
    </w:p>
    <w:p>
      <w:pPr>
        <w:pStyle w:val="Heading2"/>
        <w:pBdr>
          <w:bottom w:val="single" w:color="2E86C1" w:sz="3" w:space="1"/>
        </w:pBdr>
        <w:spacing w:after="100" w:before="280"/>
      </w:pPr>
      <w:r>
        <w:rPr>
          <w:rFonts w:ascii="Arial" w:cs="Arial" w:eastAsia="Arial" w:hAnsi="Arial"/>
          <w:b/>
          <w:bCs/>
          <w:color w:val="1A5276"/>
          <w:sz w:val="26"/>
          <w:szCs w:val="26"/>
        </w:rPr>
        <w:t xml:space="preserve">9.1 Key Collection Schemas</w:t>
      </w:r>
    </w:p>
    <w:p>
      <w:pPr>
        <w:spacing w:after="80" w:before="80"/>
        <w:jc w:val="both"/>
      </w:pPr>
      <w:r>
        <w:rPr>
          <w:rFonts w:ascii="Arial" w:cs="Arial" w:eastAsia="Arial" w:hAnsi="Arial"/>
          <w:color w:val="1C2833"/>
          <w:sz w:val="22"/>
          <w:szCs w:val="22"/>
        </w:rPr>
        <w:t xml:space="preserve">MongoDB Atlas is used with no ORM or migration framework — collections are created implicitly on first write. The most critical collections are described below.</w:t>
      </w:r>
    </w:p>
    <w:p>
      <w:pPr>
        <w:spacing w:after="0" w:before="60"/>
      </w:pPr>
      <w:r>
        <w:t xml:space="preserve"/>
      </w:r>
    </w:p>
    <w:p>
      <w:pPr>
        <w:pStyle w:val="Heading3"/>
        <w:spacing w:after="80" w:before="200"/>
      </w:pPr>
      <w:r>
        <w:rPr>
          <w:rFonts w:ascii="Arial" w:cs="Arial" w:eastAsia="Arial" w:hAnsi="Arial"/>
          <w:b/>
          <w:bCs/>
          <w:color w:val="2E86C1"/>
          <w:sz w:val="22"/>
          <w:szCs w:val="22"/>
        </w:rPr>
        <w:t xml:space="preserve">users</w:t>
      </w:r>
    </w:p>
    <w:p>
      <w:pPr>
        <w:pStyle w:val="ListParagraph"/>
        <w:numPr>
          <w:ilvl w:val="0"/>
          <w:numId w:val="2"/>
        </w:numPr>
        <w:spacing w:after="60" w:before="60"/>
      </w:pPr>
      <w:r>
        <w:rPr>
          <w:rFonts w:ascii="Arial" w:cs="Arial" w:eastAsia="Arial" w:hAnsi="Arial"/>
          <w:color w:val="1C2833"/>
          <w:sz w:val="22"/>
          <w:szCs w:val="22"/>
        </w:rPr>
        <w:t xml:space="preserve">_id, username, email, password (bcrypt hash), user_type: patient | doctor | admin</w:t>
      </w:r>
    </w:p>
    <w:p>
      <w:pPr>
        <w:pStyle w:val="ListParagraph"/>
        <w:numPr>
          <w:ilvl w:val="0"/>
          <w:numId w:val="2"/>
        </w:numPr>
        <w:spacing w:after="60" w:before="60"/>
      </w:pPr>
      <w:r>
        <w:rPr>
          <w:rFonts w:ascii="Arial" w:cs="Arial" w:eastAsia="Arial" w:hAnsi="Arial"/>
          <w:color w:val="1C2833"/>
          <w:sz w:val="22"/>
          <w:szCs w:val="22"/>
        </w:rPr>
        <w:t xml:space="preserve">authorized_doctors: [str] — soft foreign key list of doctor _id strings (patient grants access)</w:t>
      </w:r>
    </w:p>
    <w:p>
      <w:pPr>
        <w:pStyle w:val="ListParagraph"/>
        <w:numPr>
          <w:ilvl w:val="0"/>
          <w:numId w:val="2"/>
        </w:numPr>
        <w:spacing w:after="60" w:before="60"/>
      </w:pPr>
      <w:r>
        <w:rPr>
          <w:rFonts w:ascii="Arial" w:cs="Arial" w:eastAsia="Arial" w:hAnsi="Arial"/>
          <w:color w:val="1C2833"/>
          <w:sz w:val="22"/>
          <w:szCs w:val="22"/>
        </w:rPr>
        <w:t xml:space="preserve">Per-patient PK/PD overrides: insulin_to_carb_ratio, correction_factor, target_glucose, carb_to_bg_factor, protein_factor, fat_factor</w:t>
      </w:r>
    </w:p>
    <w:p>
      <w:pPr>
        <w:pStyle w:val="ListParagraph"/>
        <w:numPr>
          <w:ilvl w:val="0"/>
          <w:numId w:val="2"/>
        </w:numPr>
        <w:spacing w:after="60" w:before="60"/>
      </w:pPr>
      <w:r>
        <w:rPr>
          <w:rFonts w:ascii="Arial" w:cs="Arial" w:eastAsia="Arial" w:hAnsi="Arial"/>
          <w:color w:val="1C2833"/>
          <w:sz w:val="22"/>
          <w:szCs w:val="22"/>
        </w:rPr>
        <w:t xml:space="preserve">circadian_profile: { anchors: [{hour, value}], source } — personalised 24-hour curve</w:t>
      </w:r>
    </w:p>
    <w:p>
      <w:pPr>
        <w:pStyle w:val="ListParagraph"/>
        <w:numPr>
          <w:ilvl w:val="0"/>
          <w:numId w:val="2"/>
        </w:numPr>
        <w:spacing w:after="60" w:before="60"/>
      </w:pPr>
      <w:r>
        <w:rPr>
          <w:rFonts w:ascii="Arial" w:cs="Arial" w:eastAsia="Arial" w:hAnsi="Arial"/>
          <w:color w:val="1C2833"/>
          <w:sz w:val="22"/>
          <w:szCs w:val="22"/>
        </w:rPr>
        <w:t xml:space="preserve">baseline_mode: 'circadian' | 'static', timezone_offset_minutes, daily_reset_hour</w:t>
      </w:r>
    </w:p>
    <w:p>
      <w:pPr>
        <w:spacing w:after="0" w:before="60"/>
      </w:pPr>
      <w:r>
        <w:t xml:space="preserve"/>
      </w:r>
    </w:p>
    <w:p>
      <w:pPr>
        <w:pStyle w:val="Heading3"/>
        <w:spacing w:after="80" w:before="200"/>
      </w:pPr>
      <w:r>
        <w:rPr>
          <w:rFonts w:ascii="Arial" w:cs="Arial" w:eastAsia="Arial" w:hAnsi="Arial"/>
          <w:b/>
          <w:bCs/>
          <w:color w:val="2E86C1"/>
          <w:sz w:val="22"/>
          <w:szCs w:val="22"/>
        </w:rPr>
        <w:t xml:space="preserve">meals</w:t>
      </w:r>
    </w:p>
    <w:p>
      <w:pPr>
        <w:pStyle w:val="ListParagraph"/>
        <w:numPr>
          <w:ilvl w:val="0"/>
          <w:numId w:val="2"/>
        </w:numPr>
        <w:spacing w:after="60" w:before="60"/>
      </w:pPr>
      <w:r>
        <w:rPr>
          <w:rFonts w:ascii="Arial" w:cs="Arial" w:eastAsia="Arial" w:hAnsi="Arial"/>
          <w:color w:val="1C2833"/>
          <w:sz w:val="22"/>
          <w:szCs w:val="22"/>
        </w:rPr>
        <w:t xml:space="preserve">meal_type: breakfast | lunch | dinner | snack, meal_time (UTC)</w:t>
      </w:r>
    </w:p>
    <w:p>
      <w:pPr>
        <w:pStyle w:val="ListParagraph"/>
        <w:numPr>
          <w:ilvl w:val="0"/>
          <w:numId w:val="2"/>
        </w:numPr>
        <w:spacing w:after="60" w:before="60"/>
      </w:pPr>
      <w:r>
        <w:rPr>
          <w:rFonts w:ascii="Arial" w:cs="Arial" w:eastAsia="Arial" w:hAnsi="Arial"/>
          <w:color w:val="1C2833"/>
          <w:sz w:val="22"/>
          <w:szCs w:val="22"/>
        </w:rPr>
        <w:t xml:space="preserve">food_items: [{ name, carbs, protein, fat, portion_size, category, ... }]</w:t>
      </w:r>
    </w:p>
    <w:p>
      <w:pPr>
        <w:pStyle w:val="ListParagraph"/>
        <w:numPr>
          <w:ilvl w:val="0"/>
          <w:numId w:val="2"/>
        </w:numPr>
        <w:spacing w:after="60" w:before="60"/>
      </w:pPr>
      <w:r>
        <w:rPr>
          <w:rFonts w:ascii="Arial" w:cs="Arial" w:eastAsia="Arial" w:hAnsi="Arial"/>
          <w:color w:val="1C2833"/>
          <w:sz w:val="22"/>
          <w:szCs w:val="22"/>
        </w:rPr>
        <w:t xml:space="preserve">nutrition: { total_carbs, total_protein, total_fat, absorption_type }</w:t>
      </w:r>
    </w:p>
    <w:p>
      <w:pPr>
        <w:pStyle w:val="ListParagraph"/>
        <w:numPr>
          <w:ilvl w:val="0"/>
          <w:numId w:val="2"/>
        </w:numPr>
        <w:spacing w:after="60" w:before="60"/>
      </w:pPr>
      <w:r>
        <w:rPr>
          <w:rFonts w:ascii="Arial" w:cs="Arial" w:eastAsia="Arial" w:hAnsi="Arial"/>
          <w:color w:val="1C2833"/>
          <w:sz w:val="22"/>
          <w:szCs w:val="22"/>
        </w:rPr>
        <w:t xml:space="preserve">calculation_summary: { total_carbs, absorption_type, recommended_insulin, ... }</w:t>
      </w:r>
    </w:p>
    <w:p>
      <w:pPr>
        <w:spacing w:after="0" w:before="60"/>
      </w:pPr>
      <w:r>
        <w:t xml:space="preserve"/>
      </w:r>
    </w:p>
    <w:p>
      <w:pPr>
        <w:pStyle w:val="Heading3"/>
        <w:spacing w:after="80" w:before="200"/>
      </w:pPr>
      <w:r>
        <w:rPr>
          <w:rFonts w:ascii="Arial" w:cs="Arial" w:eastAsia="Arial" w:hAnsi="Arial"/>
          <w:b/>
          <w:bCs/>
          <w:color w:val="2E86C1"/>
          <w:sz w:val="22"/>
          <w:szCs w:val="22"/>
        </w:rPr>
        <w:t xml:space="preserve">blood_sugar</w:t>
      </w:r>
    </w:p>
    <w:p>
      <w:pPr>
        <w:pStyle w:val="ListParagraph"/>
        <w:numPr>
          <w:ilvl w:val="0"/>
          <w:numId w:val="2"/>
        </w:numPr>
        <w:spacing w:after="60" w:before="60"/>
      </w:pPr>
      <w:r>
        <w:rPr>
          <w:rFonts w:ascii="Arial" w:cs="Arial" w:eastAsia="Arial" w:hAnsi="Arial"/>
          <w:color w:val="1C2833"/>
          <w:sz w:val="22"/>
          <w:szCs w:val="22"/>
        </w:rPr>
        <w:t xml:space="preserve">bloodSugar (mg/dL), bloodSugarTimestamp (UTC), status: low | normal | high | very_high</w:t>
      </w:r>
    </w:p>
    <w:p>
      <w:pPr>
        <w:pStyle w:val="ListParagraph"/>
        <w:numPr>
          <w:ilvl w:val="0"/>
          <w:numId w:val="2"/>
        </w:numPr>
        <w:spacing w:after="60" w:before="60"/>
      </w:pPr>
      <w:r>
        <w:rPr>
          <w:rFonts w:ascii="Arial" w:cs="Arial" w:eastAsia="Arial" w:hAnsi="Arial"/>
          <w:color w:val="1C2833"/>
          <w:sz w:val="22"/>
          <w:szCs w:val="22"/>
        </w:rPr>
        <w:t xml:space="preserve">source: fingerstick | libre_cgm</w:t>
      </w:r>
    </w:p>
    <w:p>
      <w:pPr>
        <w:pStyle w:val="ListParagraph"/>
        <w:numPr>
          <w:ilvl w:val="0"/>
          <w:numId w:val="2"/>
        </w:numPr>
        <w:spacing w:after="60" w:before="60"/>
      </w:pPr>
      <w:r>
        <w:rPr>
          <w:rFonts w:ascii="Arial" w:cs="Arial" w:eastAsia="Arial" w:hAnsi="Arial"/>
          <w:color w:val="1C2833"/>
          <w:sz w:val="22"/>
          <w:szCs w:val="22"/>
        </w:rPr>
        <w:t xml:space="preserve">baseline_calculation sub-document: { baseline, net_effect, meal_impact, insulin_impact, confidence: high|medium|low, calculation_time }</w:t>
      </w:r>
    </w:p>
    <w:p>
      <w:pPr>
        <w:spacing w:after="0" w:before="60"/>
      </w:pPr>
      <w:r>
        <w:t xml:space="preserve"/>
      </w:r>
    </w:p>
    <w:p>
      <w:pPr>
        <w:pStyle w:val="Heading3"/>
        <w:spacing w:after="80" w:before="200"/>
      </w:pPr>
      <w:r>
        <w:rPr>
          <w:rFonts w:ascii="Arial" w:cs="Arial" w:eastAsia="Arial" w:hAnsi="Arial"/>
          <w:b/>
          <w:bCs/>
          <w:color w:val="2E86C1"/>
          <w:sz w:val="22"/>
          <w:szCs w:val="22"/>
        </w:rPr>
        <w:t xml:space="preserve">activities</w:t>
      </w:r>
    </w:p>
    <w:p>
      <w:pPr>
        <w:pStyle w:val="ListParagraph"/>
        <w:numPr>
          <w:ilvl w:val="0"/>
          <w:numId w:val="2"/>
        </w:numPr>
        <w:spacing w:after="60" w:before="60"/>
      </w:pPr>
      <w:r>
        <w:rPr>
          <w:rFonts w:ascii="Arial" w:cs="Arial" w:eastAsia="Arial" w:hAnsi="Arial"/>
          <w:color w:val="1C2833"/>
          <w:sz w:val="22"/>
          <w:szCs w:val="22"/>
        </w:rPr>
        <w:t xml:space="preserve">activity_level: -2 to 2 (very sedentary → very active), duration_minutes, timestamp (UTC)</w:t>
      </w:r>
    </w:p>
    <w:p>
      <w:pPr>
        <w:spacing w:after="0" w:before="60"/>
      </w:pPr>
      <w:r>
        <w:t xml:space="preserve"/>
      </w:r>
    </w:p>
    <w:p>
      <w:pPr>
        <w:pStyle w:val="Heading3"/>
        <w:spacing w:after="80" w:before="200"/>
      </w:pPr>
      <w:r>
        <w:rPr>
          <w:rFonts w:ascii="Arial" w:cs="Arial" w:eastAsia="Arial" w:hAnsi="Arial"/>
          <w:b/>
          <w:bCs/>
          <w:color w:val="2E86C1"/>
          <w:sz w:val="22"/>
          <w:szCs w:val="22"/>
        </w:rPr>
        <w:t xml:space="preserve">libre_connections</w:t>
      </w:r>
    </w:p>
    <w:p>
      <w:pPr>
        <w:pStyle w:val="ListParagraph"/>
        <w:numPr>
          <w:ilvl w:val="0"/>
          <w:numId w:val="2"/>
        </w:numPr>
        <w:spacing w:after="60" w:before="60"/>
      </w:pPr>
      <w:r>
        <w:rPr>
          <w:rFonts w:ascii="Arial" w:cs="Arial" w:eastAsia="Arial" w:hAnsi="Arial"/>
          <w:color w:val="1C2833"/>
          <w:sz w:val="22"/>
          <w:szCs w:val="22"/>
        </w:rPr>
        <w:t xml:space="preserve">email_encrypted, password_encrypted (Fernet), auth_token, token_expires, region, base_url</w:t>
      </w:r>
    </w:p>
    <w:p>
      <w:pPr>
        <w:pStyle w:val="ListParagraph"/>
        <w:numPr>
          <w:ilvl w:val="0"/>
          <w:numId w:val="2"/>
        </w:numPr>
        <w:spacing w:after="60" w:before="60"/>
      </w:pPr>
      <w:r>
        <w:rPr>
          <w:rFonts w:ascii="Arial" w:cs="Arial" w:eastAsia="Arial" w:hAnsi="Arial"/>
          <w:color w:val="1C2833"/>
          <w:sz w:val="22"/>
          <w:szCs w:val="22"/>
        </w:rPr>
        <w:t xml:space="preserve">auto_sync_enabled (bool), sync_interval_minutes, last_sync</w:t>
      </w:r>
    </w:p>
    <w:p>
      <w:pPr>
        <w:spacing w:after="0" w:before="60"/>
      </w:pPr>
      <w:r>
        <w:t xml:space="preserve"/>
      </w:r>
    </w:p>
    <w:p>
      <w:pPr>
        <w:pStyle w:val="Heading1"/>
        <w:pBdr>
          <w:bottom w:val="single" w:color="148F77" w:sz="6" w:space="2"/>
        </w:pBdr>
        <w:shd w:fill="1A5276" w:val="clear"/>
        <w:spacing w:after="160" w:before="360"/>
        <w:ind w:left="200" w:right="200"/>
      </w:pPr>
      <w:r>
        <w:rPr>
          <w:rFonts w:ascii="Arial" w:cs="Arial" w:eastAsia="Arial" w:hAnsi="Arial"/>
          <w:b/>
          <w:bCs/>
          <w:color w:val="FFFFFF"/>
          <w:sz w:val="32"/>
          <w:szCs w:val="32"/>
        </w:rPr>
        <w:t xml:space="preserve">10. Simulation Model &amp; Scientific References</w:t>
      </w:r>
    </w:p>
    <w:p>
      <w:pPr>
        <w:pStyle w:val="Heading2"/>
        <w:pBdr>
          <w:bottom w:val="single" w:color="2E86C1" w:sz="3" w:space="1"/>
        </w:pBdr>
        <w:spacing w:after="100" w:before="280"/>
      </w:pPr>
      <w:r>
        <w:rPr>
          <w:rFonts w:ascii="Arial" w:cs="Arial" w:eastAsia="Arial" w:hAnsi="Arial"/>
          <w:b/>
          <w:bCs/>
          <w:color w:val="1A5276"/>
          <w:sz w:val="26"/>
          <w:szCs w:val="26"/>
        </w:rPr>
        <w:t xml:space="preserve">10.1 Meal PK/PD Simulation</w:t>
      </w:r>
    </w:p>
    <w:p>
      <w:pPr>
        <w:spacing w:after="80" w:before="80"/>
        <w:jc w:val="both"/>
      </w:pPr>
      <w:r>
        <w:rPr>
          <w:rFonts w:ascii="Arial" w:cs="Arial" w:eastAsia="Arial" w:hAnsi="Arial"/>
          <w:color w:val="1C2833"/>
          <w:sz w:val="22"/>
          <w:szCs w:val="22"/>
        </w:rPr>
        <w:t xml:space="preserve">Postprandial glucose appearance is modelled via a gamma distribution Ra(t) curve across five absorption profiles. Macronutrient intake — carbohydrates, protein (×0.5 gluconeogenesis factor), and fat (×0.2 glycerol factor) — is converted to a carbohydrate-equivalent load. The approach references the UVA/Padova GI subsystem across three simulator generations:</w:t>
      </w:r>
    </w:p>
    <w:p>
      <w:pPr>
        <w:pStyle w:val="ListParagraph"/>
        <w:numPr>
          <w:ilvl w:val="0"/>
          <w:numId w:val="2"/>
        </w:numPr>
        <w:spacing w:after="60" w:before="60"/>
      </w:pPr>
      <w:r>
        <w:rPr>
          <w:rFonts w:ascii="Arial" w:cs="Arial" w:eastAsia="Arial" w:hAnsi="Arial"/>
          <w:color w:val="1C2833"/>
          <w:sz w:val="22"/>
          <w:szCs w:val="22"/>
        </w:rPr>
        <w:t xml:space="preserve">S2008 meal absorption mechanics (Dalla Man et al., 2006)</w:t>
      </w:r>
    </w:p>
    <w:p>
      <w:pPr>
        <w:pStyle w:val="ListParagraph"/>
        <w:numPr>
          <w:ilvl w:val="0"/>
          <w:numId w:val="2"/>
        </w:numPr>
        <w:spacing w:after="60" w:before="60"/>
      </w:pPr>
      <w:r>
        <w:rPr>
          <w:rFonts w:ascii="Arial" w:cs="Arial" w:eastAsia="Arial" w:hAnsi="Arial"/>
          <w:color w:val="1C2833"/>
          <w:sz w:val="22"/>
          <w:szCs w:val="22"/>
        </w:rPr>
        <w:t xml:space="preserve">S2013 hypoglycaemic nonlinearity (Dalla Man et al., 2014)</w:t>
      </w:r>
    </w:p>
    <w:p>
      <w:pPr>
        <w:pStyle w:val="ListParagraph"/>
        <w:numPr>
          <w:ilvl w:val="0"/>
          <w:numId w:val="2"/>
        </w:numPr>
        <w:spacing w:after="60" w:before="60"/>
      </w:pPr>
      <w:r>
        <w:rPr>
          <w:rFonts w:ascii="Arial" w:cs="Arial" w:eastAsia="Arial" w:hAnsi="Arial"/>
          <w:color w:val="1C2833"/>
          <w:sz w:val="22"/>
          <w:szCs w:val="22"/>
        </w:rPr>
        <w:t xml:space="preserve">S2017 circadian insulin sensitivity (Visentin et al., 2018)</w:t>
      </w:r>
    </w:p>
    <w:p>
      <w:pPr>
        <w:pStyle w:val="ListParagraph"/>
        <w:numPr>
          <w:ilvl w:val="0"/>
          <w:numId w:val="2"/>
        </w:numPr>
        <w:spacing w:after="60" w:before="60"/>
      </w:pPr>
      <w:r>
        <w:rPr>
          <w:rFonts w:ascii="Arial" w:cs="Arial" w:eastAsia="Arial" w:hAnsi="Arial"/>
          <w:color w:val="1C2833"/>
          <w:sz w:val="22"/>
          <w:szCs w:val="22"/>
        </w:rPr>
        <w:t xml:space="preserve">Protein and fat modelling: consistent with macronutrient extension of Visentin et al. (2025)</w:t>
      </w:r>
    </w:p>
    <w:p>
      <w:pPr>
        <w:spacing w:after="0" w:before="60"/>
      </w:pPr>
      <w:r>
        <w:t xml:space="preserve"/>
      </w:r>
    </w:p>
    <w:p>
      <w:pPr>
        <w:pStyle w:val="Heading2"/>
        <w:pBdr>
          <w:bottom w:val="single" w:color="2E86C1" w:sz="3" w:space="1"/>
        </w:pBdr>
        <w:spacing w:after="100" w:before="280"/>
      </w:pPr>
      <w:r>
        <w:rPr>
          <w:rFonts w:ascii="Arial" w:cs="Arial" w:eastAsia="Arial" w:hAnsi="Arial"/>
          <w:b/>
          <w:bCs/>
          <w:color w:val="1A5276"/>
          <w:sz w:val="26"/>
          <w:szCs w:val="26"/>
        </w:rPr>
        <w:t xml:space="preserve">10.2 Insulin Pharmacokinetics</w:t>
      </w:r>
    </w:p>
    <w:p>
      <w:pPr>
        <w:spacing w:after="80" w:before="80"/>
        <w:jc w:val="both"/>
      </w:pPr>
      <w:r>
        <w:rPr>
          <w:rFonts w:ascii="Arial" w:cs="Arial" w:eastAsia="Arial" w:hAnsi="Arial"/>
          <w:color w:val="1C2833"/>
          <w:sz w:val="22"/>
          <w:szCs w:val="22"/>
        </w:rPr>
        <w:t xml:space="preserve">Insulin PK parameters (onset, peak, duration by analogue type) are based on the German S3 Guideline 'Therapie des Typ-1-Diabetes' Version 5.0 (AWMF-Registry 057-013, Table 9: Charakteristika der Insulinarten). Diabetol Stoffwechs 2024; 19: S155–S166. DOI: 10.1055/a-2312-0276.</w:t>
      </w:r>
    </w:p>
    <w:p>
      <w:pPr>
        <w:spacing w:after="0" w:before="60"/>
      </w:pPr>
      <w:r>
        <w:t xml:space="preserve"/>
      </w:r>
    </w:p>
    <w:p>
      <w:pPr>
        <w:pStyle w:val="Heading2"/>
        <w:pBdr>
          <w:bottom w:val="single" w:color="2E86C1" w:sz="3" w:space="1"/>
        </w:pBdr>
        <w:spacing w:after="100" w:before="280"/>
      </w:pPr>
      <w:r>
        <w:rPr>
          <w:rFonts w:ascii="Arial" w:cs="Arial" w:eastAsia="Arial" w:hAnsi="Arial"/>
          <w:b/>
          <w:bCs/>
          <w:color w:val="1A5276"/>
          <w:sz w:val="26"/>
          <w:szCs w:val="26"/>
        </w:rPr>
        <w:t xml:space="preserve">10.3 Physical Activity Modelling</w:t>
      </w:r>
    </w:p>
    <w:p>
      <w:pPr>
        <w:spacing w:after="80" w:before="80"/>
        <w:jc w:val="both"/>
      </w:pPr>
      <w:r>
        <w:rPr>
          <w:rFonts w:ascii="Arial" w:cs="Arial" w:eastAsia="Arial" w:hAnsi="Arial"/>
          <w:color w:val="1C2833"/>
          <w:sz w:val="22"/>
          <w:szCs w:val="22"/>
        </w:rPr>
        <w:t xml:space="preserve">Exercise effects are modelled via a three-state ODE (Y/Z/W) following Dalla Man, Breton &amp; Cobelli (J Diabetes Sci Technol, 2009). Heart rate above resting baseline — from wearable input or synthesised from categorical intensity — drives:</w:t>
      </w:r>
    </w:p>
    <w:p>
      <w:pPr>
        <w:pStyle w:val="ListParagraph"/>
        <w:numPr>
          <w:ilvl w:val="0"/>
          <w:numId w:val="2"/>
        </w:numPr>
        <w:spacing w:after="60" w:before="60"/>
      </w:pPr>
      <w:r>
        <w:rPr>
          <w:rFonts w:ascii="Arial" w:cs="Arial" w:eastAsia="Arial" w:hAnsi="Arial"/>
          <w:color w:val="1C2833"/>
          <w:sz w:val="22"/>
          <w:szCs w:val="22"/>
        </w:rPr>
        <w:t xml:space="preserve">Fast acute-uptake state (Z, τ = 10 min) — GLUT4-independent glucose uptake</w:t>
      </w:r>
    </w:p>
    <w:p>
      <w:pPr>
        <w:pStyle w:val="ListParagraph"/>
        <w:numPr>
          <w:ilvl w:val="0"/>
          <w:numId w:val="2"/>
        </w:numPr>
        <w:spacing w:after="60" w:before="60"/>
      </w:pPr>
      <w:r>
        <w:rPr>
          <w:rFonts w:ascii="Arial" w:cs="Arial" w:eastAsia="Arial" w:hAnsi="Arial"/>
          <w:color w:val="1C2833"/>
          <w:sz w:val="22"/>
          <w:szCs w:val="22"/>
        </w:rPr>
        <w:t xml:space="preserve">Slow cumulative-load state (W, τ = 90 min) — prolonged post-exercise sensitivity</w:t>
      </w:r>
    </w:p>
    <w:p>
      <w:pPr>
        <w:pStyle w:val="ListParagraph"/>
        <w:numPr>
          <w:ilvl w:val="0"/>
          <w:numId w:val="2"/>
        </w:numPr>
        <w:spacing w:after="60" w:before="60"/>
      </w:pPr>
      <w:r>
        <w:rPr>
          <w:rFonts w:ascii="Arial" w:cs="Arial" w:eastAsia="Arial" w:hAnsi="Arial"/>
          <w:color w:val="1C2833"/>
          <w:sz w:val="22"/>
          <w:szCs w:val="22"/>
        </w:rPr>
        <w:t xml:space="preserve">Two outputs: Activity-on-Board (AOB) term reducing real-time BG estimates; post-exercise ISF/ICR sensitivity multiplier applied for an 8-hour window</w:t>
      </w:r>
    </w:p>
    <w:p>
      <w:pPr>
        <w:pStyle w:val="ListParagraph"/>
        <w:numPr>
          <w:ilvl w:val="0"/>
          <w:numId w:val="2"/>
        </w:numPr>
        <w:spacing w:after="60" w:before="60"/>
      </w:pPr>
      <w:r>
        <w:rPr>
          <w:rFonts w:ascii="Arial" w:cs="Arial" w:eastAsia="Arial" w:hAnsi="Arial"/>
          <w:color w:val="1C2833"/>
          <w:sz w:val="22"/>
          <w:szCs w:val="22"/>
        </w:rPr>
        <w:t xml:space="preserve">HR as exercise proxy follows Breton (2008); free-living ODE parameters calibrated per Romeres et al. (J Clin Endocrinol Metab, 2021)</w:t>
      </w:r>
    </w:p>
    <w:p>
      <w:pPr>
        <w:spacing w:after="0" w:before="60"/>
      </w:pPr>
      <w:r>
        <w:t xml:space="preserve"/>
      </w:r>
    </w:p>
    <w:p>
      <w:pPr>
        <w:pStyle w:val="Heading1"/>
        <w:pBdr>
          <w:bottom w:val="single" w:color="148F77" w:sz="6" w:space="2"/>
        </w:pBdr>
        <w:shd w:fill="1A5276" w:val="clear"/>
        <w:spacing w:after="160" w:before="360"/>
        <w:ind w:left="200" w:right="200"/>
      </w:pPr>
      <w:r>
        <w:rPr>
          <w:rFonts w:ascii="Arial" w:cs="Arial" w:eastAsia="Arial" w:hAnsi="Arial"/>
          <w:b/>
          <w:bCs/>
          <w:color w:val="FFFFFF"/>
          <w:sz w:val="32"/>
          <w:szCs w:val="32"/>
        </w:rPr>
        <w:t xml:space="preserve">11. Security Architecture</w:t>
      </w:r>
    </w:p>
    <w:p>
      <w:pPr>
        <w:pStyle w:val="Heading2"/>
        <w:pBdr>
          <w:bottom w:val="single" w:color="2E86C1" w:sz="3" w:space="1"/>
        </w:pBdr>
        <w:spacing w:after="100" w:before="280"/>
      </w:pPr>
      <w:r>
        <w:rPr>
          <w:rFonts w:ascii="Arial" w:cs="Arial" w:eastAsia="Arial" w:hAnsi="Arial"/>
          <w:b/>
          <w:bCs/>
          <w:color w:val="1A5276"/>
          <w:sz w:val="26"/>
          <w:szCs w:val="26"/>
        </w:rPr>
        <w:t xml:space="preserve">11.1 Authentication &amp; Authorisation</w:t>
      </w:r>
    </w:p>
    <w:p>
      <w:pPr>
        <w:pStyle w:val="ListParagraph"/>
        <w:numPr>
          <w:ilvl w:val="0"/>
          <w:numId w:val="2"/>
        </w:numPr>
        <w:spacing w:after="60" w:before="60"/>
      </w:pPr>
      <w:r>
        <w:rPr>
          <w:rFonts w:ascii="Arial" w:cs="Arial" w:eastAsia="Arial" w:hAnsi="Arial"/>
          <w:color w:val="1C2833"/>
          <w:sz w:val="22"/>
          <w:szCs w:val="22"/>
        </w:rPr>
        <w:t xml:space="preserve">JWT HS256 signed with SECRET_KEY. 24-hour TTL for web; 90-day TTL for mobile (detected via X-Client-Type: mobile header)</w:t>
      </w:r>
    </w:p>
    <w:p>
      <w:pPr>
        <w:pStyle w:val="ListParagraph"/>
        <w:numPr>
          <w:ilvl w:val="0"/>
          <w:numId w:val="2"/>
        </w:numPr>
        <w:spacing w:after="60" w:before="60"/>
      </w:pPr>
      <w:r>
        <w:rPr>
          <w:rFonts w:ascii="Arial" w:cs="Arial" w:eastAsia="Arial" w:hAnsi="Arial"/>
          <w:color w:val="1C2833"/>
          <w:sz w:val="22"/>
          <w:szCs w:val="22"/>
        </w:rPr>
        <w:t xml:space="preserve">@token_required decorator on all protected routes — decodes JWT, fetches user from MongoDB, rejects expired/invalid tokens with HTTP 401</w:t>
      </w:r>
    </w:p>
    <w:p>
      <w:pPr>
        <w:pStyle w:val="ListParagraph"/>
        <w:numPr>
          <w:ilvl w:val="0"/>
          <w:numId w:val="2"/>
        </w:numPr>
        <w:spacing w:after="60" w:before="60"/>
      </w:pPr>
      <w:r>
        <w:rPr>
          <w:rFonts w:ascii="Arial" w:cs="Arial" w:eastAsia="Arial" w:hAnsi="Arial"/>
          <w:color w:val="1C2833"/>
          <w:sz w:val="22"/>
          <w:szCs w:val="22"/>
        </w:rPr>
        <w:t xml:space="preserve">CORS allowlist in config.py — specific localhost ports + Render + Vercel origins</w:t>
      </w:r>
    </w:p>
    <w:p>
      <w:pPr>
        <w:pStyle w:val="ListParagraph"/>
        <w:numPr>
          <w:ilvl w:val="0"/>
          <w:numId w:val="2"/>
        </w:numPr>
        <w:spacing w:after="60" w:before="60"/>
      </w:pPr>
      <w:r>
        <w:rPr>
          <w:rFonts w:ascii="Arial" w:cs="Arial" w:eastAsia="Arial" w:hAnsi="Arial"/>
          <w:color w:val="1C2833"/>
          <w:sz w:val="22"/>
          <w:szCs w:val="22"/>
        </w:rPr>
        <w:t xml:space="preserve">Doctor–patient access enforced via check_doctor_patient_access() — patients must explicitly authorise a doctor in their authorized_doctors list</w:t>
      </w:r>
    </w:p>
    <w:p>
      <w:pPr>
        <w:spacing w:after="0" w:before="60"/>
      </w:pPr>
      <w:r>
        <w:t xml:space="preserve"/>
      </w:r>
    </w:p>
    <w:p>
      <w:pPr>
        <w:pStyle w:val="Heading2"/>
        <w:pBdr>
          <w:bottom w:val="single" w:color="2E86C1" w:sz="3" w:space="1"/>
        </w:pBdr>
        <w:spacing w:after="100" w:before="280"/>
      </w:pPr>
      <w:r>
        <w:rPr>
          <w:rFonts w:ascii="Arial" w:cs="Arial" w:eastAsia="Arial" w:hAnsi="Arial"/>
          <w:b/>
          <w:bCs/>
          <w:color w:val="1A5276"/>
          <w:sz w:val="26"/>
          <w:szCs w:val="26"/>
        </w:rPr>
        <w:t xml:space="preserve">11.2 Sensitive Data Handling</w:t>
      </w:r>
    </w:p>
    <w:p>
      <w:pPr>
        <w:pStyle w:val="ListParagraph"/>
        <w:numPr>
          <w:ilvl w:val="0"/>
          <w:numId w:val="2"/>
        </w:numPr>
        <w:spacing w:after="60" w:before="60"/>
      </w:pPr>
      <w:r>
        <w:rPr>
          <w:rFonts w:ascii="Arial" w:cs="Arial" w:eastAsia="Arial" w:hAnsi="Arial"/>
          <w:color w:val="1C2833"/>
          <w:sz w:val="22"/>
          <w:szCs w:val="22"/>
        </w:rPr>
        <w:t xml:space="preserve">LibreLinkUp credentials (email + password) encrypted at rest using Fernet symmetric encryption; key derived from SECRET_KEY via SHA-256</w:t>
      </w:r>
    </w:p>
    <w:p>
      <w:pPr>
        <w:pStyle w:val="ListParagraph"/>
        <w:numPr>
          <w:ilvl w:val="0"/>
          <w:numId w:val="2"/>
        </w:numPr>
        <w:spacing w:after="60" w:before="60"/>
      </w:pPr>
      <w:r>
        <w:rPr>
          <w:rFonts w:ascii="Arial" w:cs="Arial" w:eastAsia="Arial" w:hAnsi="Arial"/>
          <w:color w:val="1C2833"/>
          <w:sz w:val="22"/>
          <w:szCs w:val="22"/>
        </w:rPr>
        <w:t xml:space="preserve">JWT tokens on mobile stored in expo-secure-store (iOS Keychain / Android Keystore)</w:t>
      </w:r>
    </w:p>
    <w:p>
      <w:pPr>
        <w:pStyle w:val="ListParagraph"/>
        <w:numPr>
          <w:ilvl w:val="0"/>
          <w:numId w:val="2"/>
        </w:numPr>
        <w:spacing w:after="60" w:before="60"/>
      </w:pPr>
      <w:r>
        <w:rPr>
          <w:rFonts w:ascii="Arial" w:cs="Arial" w:eastAsia="Arial" w:hAnsi="Arial"/>
          <w:color w:val="1C2833"/>
          <w:sz w:val="22"/>
          <w:szCs w:val="22"/>
        </w:rPr>
        <w:t xml:space="preserve">Web tokens stored in localStorage — improvement with httpOnly cookies is planned</w:t>
      </w:r>
    </w:p>
    <w:p>
      <w:pPr>
        <w:pStyle w:val="ListParagraph"/>
        <w:numPr>
          <w:ilvl w:val="0"/>
          <w:numId w:val="2"/>
        </w:numPr>
        <w:spacing w:after="60" w:before="60"/>
      </w:pPr>
      <w:r>
        <w:rPr>
          <w:rFonts w:ascii="Arial" w:cs="Arial" w:eastAsia="Arial" w:hAnsi="Arial"/>
          <w:color w:val="1C2833"/>
          <w:sz w:val="22"/>
          <w:szCs w:val="22"/>
        </w:rPr>
        <w:t xml:space="preserve">Food scan endpoint enforces 5 MB upload limit and content-type validation</w:t>
      </w:r>
    </w:p>
    <w:p>
      <w:pPr>
        <w:spacing w:after="0" w:before="60"/>
      </w:pPr>
      <w:r>
        <w:t xml:space="preserve"/>
      </w:r>
    </w:p>
    <w:p>
      <w:pPr>
        <w:pStyle w:val="Heading1"/>
        <w:pBdr>
          <w:bottom w:val="single" w:color="148F77" w:sz="6" w:space="2"/>
        </w:pBdr>
        <w:shd w:fill="1A5276" w:val="clear"/>
        <w:spacing w:after="160" w:before="360"/>
        <w:ind w:left="200" w:right="200"/>
      </w:pPr>
      <w:r>
        <w:rPr>
          <w:rFonts w:ascii="Arial" w:cs="Arial" w:eastAsia="Arial" w:hAnsi="Arial"/>
          <w:b/>
          <w:bCs/>
          <w:color w:val="FFFFFF"/>
          <w:sz w:val="32"/>
          <w:szCs w:val="32"/>
        </w:rPr>
        <w:t xml:space="preserve">12. Current Status &amp; Proposed Collaboration</w:t>
      </w:r>
    </w:p>
    <w:p>
      <w:pPr>
        <w:pStyle w:val="Heading2"/>
        <w:pBdr>
          <w:bottom w:val="single" w:color="2E86C1" w:sz="3" w:space="1"/>
        </w:pBdr>
        <w:spacing w:after="100" w:before="280"/>
      </w:pPr>
      <w:r>
        <w:rPr>
          <w:rFonts w:ascii="Arial" w:cs="Arial" w:eastAsia="Arial" w:hAnsi="Arial"/>
          <w:b/>
          <w:bCs/>
          <w:color w:val="1A5276"/>
          <w:sz w:val="26"/>
          <w:szCs w:val="26"/>
        </w:rPr>
        <w:t xml:space="preserve">12.1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tcPr>
          <w:p>
            <w:r>
              <w:rPr>
                <w:rFonts w:ascii="Arial" w:cs="Arial" w:eastAsia="Arial" w:hAnsi="Arial"/>
                <w:b/>
                <w:bCs/>
                <w:color w:val="1A5276"/>
                <w:sz w:val="20"/>
                <w:szCs w:val="20"/>
              </w:rPr>
              <w:t xml:space="preserve">Prototype</w:t>
            </w:r>
          </w:p>
        </w:tc>
        <w:tc>
          <w:tcPr>
            <w:tcW w:type="dxa" w:w="6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Live web app + Android app — deployable, demo-ready at dia-twin.vercel.app</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tcPr>
          <w:p>
            <w:r>
              <w:rPr>
                <w:rFonts w:ascii="Arial" w:cs="Arial" w:eastAsia="Arial" w:hAnsi="Arial"/>
                <w:b/>
                <w:bCs/>
                <w:color w:val="1A5276"/>
                <w:sz w:val="20"/>
                <w:szCs w:val="20"/>
              </w:rPr>
              <w:t xml:space="preserve">Academic</w:t>
            </w:r>
          </w:p>
        </w:tc>
        <w:tc>
          <w:tcPr>
            <w:tcW w:type="dxa" w:w="6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M.Sc. Digital Health, DIT Germany — Grade 1.6 (Excellent, 2025)</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tcPr>
          <w:p>
            <w:r>
              <w:rPr>
                <w:rFonts w:ascii="Arial" w:cs="Arial" w:eastAsia="Arial" w:hAnsi="Arial"/>
                <w:b/>
                <w:bCs/>
                <w:color w:val="1A5276"/>
                <w:sz w:val="20"/>
                <w:szCs w:val="20"/>
              </w:rPr>
              <w:t xml:space="preserve">Clinical advisory</w:t>
            </w:r>
          </w:p>
        </w:tc>
        <w:tc>
          <w:tcPr>
            <w:tcW w:type="dxa" w:w="6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Prof. Dr. Klaus Parhofer, LMU Munich (Medizinische Klinik IV) — thesis supervisor</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tcPr>
          <w:p>
            <w:r>
              <w:rPr>
                <w:rFonts w:ascii="Arial" w:cs="Arial" w:eastAsia="Arial" w:hAnsi="Arial"/>
                <w:b/>
                <w:bCs/>
                <w:color w:val="1A5276"/>
                <w:sz w:val="20"/>
                <w:szCs w:val="20"/>
              </w:rPr>
              <w:t xml:space="preserve">Training data</w:t>
            </w:r>
          </w:p>
        </w:tc>
        <w:tc>
          <w:tcPr>
            <w:tcW w:type="dxa" w:w="6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Engine pre-trained on 50,000+ real meal-outcome pairs; validated on AZT1D dataset (25 T1D patients, CGM + bolus + carbohydrate data across both pen-based MDI and AID therapy periods)</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tcPr>
          <w:p>
            <w:r>
              <w:rPr>
                <w:rFonts w:ascii="Arial" w:cs="Arial" w:eastAsia="Arial" w:hAnsi="Arial"/>
                <w:b/>
                <w:bCs/>
                <w:color w:val="1A5276"/>
                <w:sz w:val="20"/>
                <w:szCs w:val="20"/>
              </w:rPr>
              <w:t xml:space="preserve">Researcher</w:t>
            </w:r>
          </w:p>
        </w:tc>
        <w:tc>
          <w:tcPr>
            <w:tcW w:type="dxa" w:w="6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Pharmacist (§11 BApO), M.Sc. Digital Health, Senior Clinical Informatics (HL7-FHIR R4)</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tcPr>
          <w:p>
            <w:r>
              <w:rPr>
                <w:rFonts w:ascii="Arial" w:cs="Arial" w:eastAsia="Arial" w:hAnsi="Arial"/>
                <w:b/>
                <w:bCs/>
                <w:color w:val="1A5276"/>
                <w:sz w:val="20"/>
                <w:szCs w:val="20"/>
              </w:rPr>
              <w:t xml:space="preserve">Testing</w:t>
            </w:r>
          </w:p>
        </w:tc>
        <w:tc>
          <w:tcPr>
            <w:tcW w:type="dxa" w:w="6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Backend: pytest structural validation; Web: CRA smoke test; Mobile: no test suite (planned)</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tcPr>
          <w:p>
            <w:r>
              <w:rPr>
                <w:rFonts w:ascii="Arial" w:cs="Arial" w:eastAsia="Arial" w:hAnsi="Arial"/>
                <w:b/>
                <w:bCs/>
                <w:color w:val="1A5276"/>
                <w:sz w:val="20"/>
                <w:szCs w:val="20"/>
              </w:rPr>
              <w:t xml:space="preserve">CI/CD</w:t>
            </w:r>
          </w:p>
        </w:tc>
        <w:tc>
          <w:tcPr>
            <w:tcW w:type="dxa" w:w="6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No automated pipeline — manual Render Git integration; EAS Build not yet configured</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tcPr>
          <w:p>
            <w:r>
              <w:rPr>
                <w:rFonts w:ascii="Arial" w:cs="Arial" w:eastAsia="Arial" w:hAnsi="Arial"/>
                <w:b/>
                <w:bCs/>
                <w:color w:val="1A5276"/>
                <w:sz w:val="20"/>
                <w:szCs w:val="20"/>
              </w:rPr>
              <w:t xml:space="preserve">Maturity</w:t>
            </w:r>
          </w:p>
        </w:tc>
        <w:tc>
          <w:tcPr>
            <w:tcW w:type="dxa" w:w="6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Late beta / pre-production. Core features functional and deployed.</w:t>
            </w:r>
          </w:p>
        </w:tc>
      </w:tr>
    </w:tbl>
    <w:p>
      <w:pPr>
        <w:spacing w:after="0" w:before="60"/>
      </w:pPr>
      <w:r>
        <w:t xml:space="preserve"/>
      </w:r>
    </w:p>
    <w:p>
      <w:pPr>
        <w:pStyle w:val="Heading2"/>
        <w:pBdr>
          <w:bottom w:val="single" w:color="2E86C1" w:sz="3" w:space="1"/>
        </w:pBdr>
        <w:spacing w:after="100" w:before="280"/>
      </w:pPr>
      <w:r>
        <w:rPr>
          <w:rFonts w:ascii="Arial" w:cs="Arial" w:eastAsia="Arial" w:hAnsi="Arial"/>
          <w:b/>
          <w:bCs/>
          <w:color w:val="1A5276"/>
          <w:sz w:val="26"/>
          <w:szCs w:val="26"/>
        </w:rPr>
        <w:t xml:space="preserve">12.2 Proposed Collaboration</w:t>
      </w:r>
    </w:p>
    <w:p>
      <w:pPr>
        <w:spacing w:after="80" w:before="80"/>
        <w:jc w:val="both"/>
      </w:pPr>
      <w:r>
        <w:rPr>
          <w:rFonts w:ascii="Arial" w:cs="Arial" w:eastAsia="Arial" w:hAnsi="Arial"/>
          <w:color w:val="1C2833"/>
          <w:sz w:val="22"/>
          <w:szCs w:val="22"/>
        </w:rPr>
        <w:t xml:space="preserve">The researcher is seeking a PhD supervision context to design and execute a prospective Pilot RCT (N = 30, 6 months) validating circadian ML adaptation against standard-of-care pen dosing. The proposed trial would provide the first prospective evidence for circadian personalisation in pen-based MDI therapy.</w:t>
      </w:r>
    </w:p>
    <w:p>
      <w:pPr>
        <w:spacing w:after="0" w:before="60"/>
      </w:pPr>
      <w:r>
        <w:t xml:space="preserve"/>
      </w:r>
    </w:p>
    <w:p>
      <w:pPr>
        <w:pStyle w:val="ListParagraph"/>
        <w:numPr>
          <w:ilvl w:val="0"/>
          <w:numId w:val="2"/>
        </w:numPr>
        <w:spacing w:after="60" w:before="60"/>
      </w:pPr>
      <w:r>
        <w:rPr>
          <w:rFonts w:ascii="Arial" w:cs="Arial" w:eastAsia="Arial" w:hAnsi="Arial"/>
          <w:color w:val="1C2833"/>
          <w:sz w:val="22"/>
          <w:szCs w:val="22"/>
        </w:rPr>
        <w:t xml:space="preserve">Supervision and clinical trial infrastructure</w:t>
      </w:r>
    </w:p>
    <w:p>
      <w:pPr>
        <w:pStyle w:val="ListParagraph"/>
        <w:numPr>
          <w:ilvl w:val="0"/>
          <w:numId w:val="2"/>
        </w:numPr>
        <w:spacing w:after="60" w:before="60"/>
      </w:pPr>
      <w:r>
        <w:rPr>
          <w:rFonts w:ascii="Arial" w:cs="Arial" w:eastAsia="Arial" w:hAnsi="Arial"/>
          <w:color w:val="1C2833"/>
          <w:sz w:val="22"/>
          <w:szCs w:val="22"/>
        </w:rPr>
        <w:t xml:space="preserve">Grant co-development (DiGA, EU Horizon, BMBF)</w:t>
      </w:r>
    </w:p>
    <w:p>
      <w:pPr>
        <w:pStyle w:val="ListParagraph"/>
        <w:numPr>
          <w:ilvl w:val="0"/>
          <w:numId w:val="2"/>
        </w:numPr>
        <w:spacing w:after="60" w:before="60"/>
      </w:pPr>
      <w:r>
        <w:rPr>
          <w:rFonts w:ascii="Arial" w:cs="Arial" w:eastAsia="Arial" w:hAnsi="Arial"/>
          <w:color w:val="1C2833"/>
          <w:sz w:val="22"/>
          <w:szCs w:val="22"/>
        </w:rPr>
        <w:t xml:space="preserve">Regulatory pathway support (CE Class IIa, UKCA)</w:t>
      </w:r>
    </w:p>
    <w:p>
      <w:pPr>
        <w:pStyle w:val="ListParagraph"/>
        <w:numPr>
          <w:ilvl w:val="0"/>
          <w:numId w:val="2"/>
        </w:numPr>
        <w:spacing w:after="60" w:before="60"/>
      </w:pPr>
      <w:r>
        <w:rPr>
          <w:rFonts w:ascii="Arial" w:cs="Arial" w:eastAsia="Arial" w:hAnsi="Arial"/>
          <w:color w:val="1C2833"/>
          <w:sz w:val="22"/>
          <w:szCs w:val="22"/>
        </w:rPr>
        <w:t xml:space="preserve">LMIC deployment arm (planned; CGM-free mode operational)</w:t>
      </w:r>
    </w:p>
    <w:p>
      <w:pPr>
        <w:spacing w:after="0" w:before="60"/>
      </w:pPr>
      <w:r>
        <w:t xml:space="preserve"/>
      </w:r>
    </w:p>
    <w:p>
      <w:pPr>
        <w:pStyle w:val="Heading1"/>
        <w:pBdr>
          <w:bottom w:val="single" w:color="148F77" w:sz="6" w:space="2"/>
        </w:pBdr>
        <w:shd w:fill="1A5276" w:val="clear"/>
        <w:spacing w:after="160" w:before="360"/>
        <w:ind w:left="200" w:right="200"/>
      </w:pPr>
      <w:r>
        <w:rPr>
          <w:rFonts w:ascii="Arial" w:cs="Arial" w:eastAsia="Arial" w:hAnsi="Arial"/>
          <w:b/>
          <w:bCs/>
          <w:color w:val="FFFFFF"/>
          <w:sz w:val="32"/>
          <w:szCs w:val="32"/>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960"/>
            <w:tcBorders>
              <w:top w:val="single" w:color="AED6F1" w:sz="1"/>
              <w:left w:val="single" w:color="AED6F1" w:sz="1"/>
              <w:bottom w:val="single" w:color="AED6F1" w:sz="1"/>
              <w:right w:val="single" w:color="AED6F1"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T1D</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Type 1 Diabetes — autoimmune condition requiring exogenous insulin for blood glucose regulation</w:t>
            </w:r>
          </w:p>
        </w:tc>
      </w:tr>
      <w:tr>
        <w:tc>
          <w:tcPr>
            <w:tcW w:type="dxa" w:w="2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IOB</w:t>
            </w:r>
          </w:p>
        </w:tc>
        <w:tc>
          <w:tcPr>
            <w:tcW w:type="dxa" w:w="69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Insulin on Board — insulin (units) still actively lowering BG, computed by integrating remaining area under the activity-time curve</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MOB</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Meal on Board (Carbs on Board) — grams of carbohydrate still being absorbed from recent meals</w:t>
            </w:r>
          </w:p>
        </w:tc>
      </w:tr>
      <w:tr>
        <w:tc>
          <w:tcPr>
            <w:tcW w:type="dxa" w:w="2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ISF / Correction Factor</w:t>
            </w:r>
          </w:p>
        </w:tc>
        <w:tc>
          <w:tcPr>
            <w:tcW w:type="dxa" w:w="69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Insulin Sensitivity Factor — how much 1 unit of insulin lowers BG (default: 50 mg/dL/unit)</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ICR / Carb Ratio</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Insulin-to-Carb Ratio — how many grams of carbs 1 unit of insulin covers (e.g., 1:10)</w:t>
            </w:r>
          </w:p>
        </w:tc>
      </w:tr>
      <w:tr>
        <w:tc>
          <w:tcPr>
            <w:tcW w:type="dxa" w:w="2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PK / Pharmacokinetics</w:t>
            </w:r>
          </w:p>
        </w:tc>
        <w:tc>
          <w:tcPr>
            <w:tcW w:type="dxa" w:w="69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How a drug is absorbed, distributed, metabolised, and excreted over time</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PD / Pharmacodynamics</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The biological effect of a drug — here, how insulin or carbs affect blood glucose</w:t>
            </w:r>
          </w:p>
        </w:tc>
      </w:tr>
      <w:tr>
        <w:tc>
          <w:tcPr>
            <w:tcW w:type="dxa" w:w="2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Gamma distribution</w:t>
            </w:r>
          </w:p>
        </w:tc>
        <w:tc>
          <w:tcPr>
            <w:tcW w:type="dxa" w:w="69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Probability distribution used to model absorption curves; parameterised by shape_param (k) and scale_param (θ)</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Circadian profile</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A 24-hour curve of expected baseline BG encoding physiological patterns like the dawn phenomenon</w:t>
            </w:r>
          </w:p>
        </w:tc>
      </w:tr>
      <w:tr>
        <w:tc>
          <w:tcPr>
            <w:tcW w:type="dxa" w:w="2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Dawn phenomenon</w:t>
            </w:r>
          </w:p>
        </w:tc>
        <w:tc>
          <w:tcPr>
            <w:tcW w:type="dxa" w:w="69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Natural BG rise in early morning (~5–8 AM) caused by counter-regulatory hormones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Somogyi nadir</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Physiological overnight BG low point (~3 AM) encoded in the circadian profile</w:t>
            </w:r>
          </w:p>
        </w:tc>
      </w:tr>
      <w:tr>
        <w:tc>
          <w:tcPr>
            <w:tcW w:type="dxa" w:w="2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LibreLinkUp</w:t>
            </w:r>
          </w:p>
        </w:tc>
        <w:tc>
          <w:tcPr>
            <w:tcW w:type="dxa" w:w="69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Abbott's CGM cloud sharing service; DiaTwin uses the unofficial reverse-engineered API</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CGM</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Continuous Glucose Monitor — sensor worn on the body measuring interstitial glucose every few minutes</w:t>
            </w:r>
          </w:p>
        </w:tc>
      </w:tr>
      <w:tr>
        <w:tc>
          <w:tcPr>
            <w:tcW w:type="dxa" w:w="2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Fernet</w:t>
            </w:r>
          </w:p>
        </w:tc>
        <w:tc>
          <w:tcPr>
            <w:tcW w:type="dxa" w:w="69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Symmetric authenticated encryption scheme (Python cryptography library) for LibreLinkUp credentials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Stacking risk</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Danger of overlapping insulin doses; assessed by calculate_stacked_insulin_effect()</w:t>
            </w:r>
          </w:p>
        </w:tc>
      </w:tr>
      <w:tr>
        <w:tc>
          <w:tcPr>
            <w:tcW w:type="dxa" w:w="2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Trapezoidal integration</w:t>
            </w:r>
          </w:p>
        </w:tc>
        <w:tc>
          <w:tcPr>
            <w:tcW w:type="dxa" w:w="69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Numerical method for IOB/MOB — remaining area under activity curve approximated with 100 trapezoids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19"/>
                <w:szCs w:val="19"/>
              </w:rPr>
              <w:t xml:space="preserve">AOB</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Activity on Board — glucose-lowering effect of recent physical activity, computed via three-state ODE model</w:t>
            </w:r>
          </w:p>
        </w:tc>
      </w:tr>
      <w:tr>
        <w:tc>
          <w:tcPr>
            <w:tcW w:type="dxa" w:w="2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19"/>
                <w:szCs w:val="19"/>
              </w:rPr>
              <w:t xml:space="preserve">DiaTwin</w:t>
            </w:r>
          </w:p>
        </w:tc>
        <w:tc>
          <w:tcPr>
            <w:tcW w:type="dxa" w:w="69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Platform name (diabetes + digital twin) — a digital representation of the patient's metabolic state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240"/>
              <w:left w:type="dxa" w:w="400"/>
              <w:bottom w:type="dxa" w:w="240"/>
              <w:right w:type="dxa" w:w="400"/>
            </w:tcMar>
          </w:tcPr>
          <w:p>
            <w:pPr>
              <w:jc w:val="center"/>
            </w:pPr>
            <w:r>
              <w:rPr>
                <w:rFonts w:ascii="Arial" w:cs="Arial" w:eastAsia="Arial" w:hAnsi="Arial"/>
                <w:b/>
                <w:bCs/>
                <w:color w:val="FFFFFF"/>
                <w:sz w:val="28"/>
                <w:szCs w:val="28"/>
              </w:rPr>
              <w:t xml:space="preserve">Ali Attia</w:t>
            </w:r>
          </w:p>
          <w:p>
            <w:pPr>
              <w:jc w:val="center"/>
            </w:pPr>
            <w:r>
              <w:rPr>
                <w:rFonts w:ascii="Arial" w:cs="Arial" w:eastAsia="Arial" w:hAnsi="Arial"/>
                <w:color w:val="AED6F1"/>
                <w:sz w:val="20"/>
                <w:szCs w:val="20"/>
              </w:rPr>
              <w:t xml:space="preserve">M.Sc. Digital Health  ·  German Pharmacist (§11 BApO)  ·  Senior Clinical Informatics (HL7-FHIR R4)</w:t>
            </w:r>
          </w:p>
          <w:p>
            <w:pPr>
              <w:jc w:val="center"/>
            </w:pPr>
            <w:r>
              <w:rPr>
                <w:rFonts w:ascii="Arial" w:cs="Arial" w:eastAsia="Arial" w:hAnsi="Arial"/>
                <w:color w:val="D6EAF8"/>
                <w:sz w:val="20"/>
                <w:szCs w:val="20"/>
              </w:rPr>
              <w:t xml:space="preserve">dia-twin.vercel.app  ·  linkedin.com/in/ali-attia-74748bb4  ·  github.com/aliattia2</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rFonts w:ascii="Arial" w:cs="Arial" w:eastAsia="Arial" w:hAnsi="Arial"/>
        <w:color w:val="2E86C1"/>
      </w:r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527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2026-04-15T13:26:16.751Z</dcterms:created>
  <dcterms:modified xsi:type="dcterms:W3CDTF">2026-04-15T13:26:16.752Z</dcterms:modified>
</cp:coreProperties>
</file>

<file path=docProps/custom.xml><?xml version="1.0" encoding="utf-8"?>
<Properties xmlns="http://schemas.openxmlformats.org/officeDocument/2006/custom-properties" xmlns:vt="http://schemas.openxmlformats.org/officeDocument/2006/docPropsVTypes"/>
</file>