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720" w:after="80"/>
        <w:jc w:val="center"/>
      </w:pPr>
      <w:r>
        <w:rPr>
          <w:rFonts w:ascii="Arial" w:cs="Arial" w:eastAsia="Arial" w:hAnsi="Arial"/>
          <w:b/>
          <w:bCs/>
          <w:color w:val="1B4F72"/>
          <w:sz w:val="72"/>
          <w:szCs w:val="72"/>
        </w:rPr>
        <w:t xml:space="preserve">DiaTwin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2E86C1"/>
          <w:sz w:val="28"/>
          <w:szCs w:val="28"/>
        </w:rPr>
        <w:t xml:space="preserve">Diabetes Digital Twin Platform</w:t>
      </w:r>
    </w:p>
    <w:p>
      <w:pPr>
        <w:pBdr>
          <w:bottom w:val="single" w:color="2E86C1" w:sz="6" w:space="2"/>
        </w:pBdr>
        <w:spacing w:before="80" w:after="40"/>
        <w:jc w:val="center"/>
      </w:pPr>
      <w:r>
        <w:rPr>
          <w:sz w:val="4"/>
          <w:szCs w:val="4"/>
        </w:rPr>
        <w:t xml:space="preserve"> </w:t>
      </w:r>
    </w:p>
    <w:p>
      <w:pPr>
        <w:spacing w:before="60" w:after="60"/>
      </w:pPr>
      <w:r>
        <w:t xml:space="preserve"/>
      </w:r>
    </w:p>
    <w:p>
      <w:pPr>
        <w:spacing w:before="120" w:after="40"/>
        <w:jc w:val="center"/>
      </w:pPr>
      <w:r>
        <w:rPr>
          <w:rFonts w:ascii="Arial" w:cs="Arial" w:eastAsia="Arial" w:hAnsi="Arial"/>
          <w:b/>
          <w:bCs/>
          <w:color w:val="566573"/>
          <w:sz w:val="36"/>
          <w:szCs w:val="36"/>
        </w:rPr>
        <w:t xml:space="preserve">Clinical Reference Document</w:t>
      </w:r>
    </w:p>
    <w:p>
      <w:pPr>
        <w:spacing w:before="40" w:after="40"/>
        <w:jc w:val="center"/>
      </w:pPr>
      <w:r>
        <w:rPr>
          <w:rFonts w:ascii="Arial" w:cs="Arial" w:eastAsia="Arial" w:hAnsi="Arial"/>
          <w:i/>
          <w:iCs/>
          <w:color w:val="566573"/>
          <w:sz w:val="24"/>
          <w:szCs w:val="24"/>
        </w:rPr>
        <w:t xml:space="preserve">Based on: أنا بطل سُكَر (I Am a Diabetes Hero) — Part 3</w:t>
      </w:r>
    </w:p>
    <w:p>
      <w:pPr>
        <w:spacing w:before="20" w:after="20"/>
        <w:jc w:val="center"/>
      </w:pPr>
      <w:r>
        <w:rPr>
          <w:rFonts w:ascii="Arial" w:cs="Arial" w:eastAsia="Arial" w:hAnsi="Arial"/>
          <w:color w:val="566573"/>
          <w:sz w:val="22"/>
          <w:szCs w:val="22"/>
        </w:rPr>
        <w:t xml:space="preserve">By Dr. Amro Mohammed Omar &amp; A. Marwa Yassin</w:t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8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Document Type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Clinical Engineering Reference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Primary Use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DiaTwin Pharmacodynamics Engine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Clinical Scope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Type 1 Diabetes (T1D) — Pediatric &amp; Adult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Source Book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أنا بطل سُكَر — Part 3 (Arabic)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Complements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German S3 Guideline (AWMF 057-013)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v1.0 — 2025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Purpose &amp; Scope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reference document extracts the clinically actionable protocols from the Arabic pediatric diabetes handbook أنا بطل سُكَر (I Am a Diabetes Hero — Part 3) and maps each concept directly to a DiaTwin engine component, API endpoint, or patient constant. The book was authored for Arabic-speaking patients and caregivers managing Type 1 Diabetes, and covers the same physiological territory as the German S3 Guideline that DiaTwin's pharmacodynamics engine is built on — making it an ideal validation source and patient-facing calibration reference.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Use this document to: validate engine outputs against real clinical protocols · initialize patient constants for the Arab/Egyptian patient population · populate the food database with Egyptian dietary patterns · understand the clinical rationale behind each formula used in pharmacodynamics.py and medication_routes.py.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Insulin Types &amp; Pharmacodynamics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distinguishes two functional classes of insulin. Both map directly to the IOB gamma-distribution curves in DiaTwin's pharmacodynamics engine. The duration column is the key parameter controlling how long the IOB tail extends.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2000"/>
        <w:gridCol w:w="2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Insulin Class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Brand Names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Onset / Active Time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DiaTwin IOB Gamma Duration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Ultra-rapid (سريع المفعول)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Apidra · NovoRapid · Humalog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 min onset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2–3 h (Humalog) · 3–4 h (NovoRapid/Apidra)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Regular (عادي المفعول)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Actrapid · Humulin R · Insuman Rapid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30–60 min onset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5–6 h (avg 6 h)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Children — irregular eating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Rapid analogues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During / after meal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Inject at meal start or immediately after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Pre-meal timing — Rapid: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Give 10–15 minutes before meal. For children with irregular eating: inject during or immediately after meal.</w:t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Pre-meal timing — Regular: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Give exactly 30 minutes before meal. Never inject Regular insulin at meal start.</w:t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DiaTwin mapping: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The medication_factor entry for each insulin type sets the gamma curve duration. Confirm these match the values above for the Egyptian patient population.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Insulin Dose Calculation Formulas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All formulas below are patient-level calculations used in the book to teach caregivers how to dose insulin. They are equivalent to the algorithms in DiaTwin's /api/calculate-insulin endpoint. Use this as a clinical sanity-check against engine output.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DiaTwin Constant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Carb (Meal) Dose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Carbs (g)  ÷  Carb Ratio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insulin_to_carb_ratio (ICR)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Carb Ratio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500  ÷  Total Daily Dose (TDD)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Derived from TDD on setup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Correction Factor (CF)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1700 or 1800  ÷  TDD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correction_factor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Correction Dose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(Current BG − 120)  ÷  CF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target_glucose = 120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Pre-meal Total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Meal Dose  +  Correction Dose  −  IOB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IOB subtracted automatically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Raise Factor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CF  ÷  Carb Ratio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Used in hypo treatment calc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Hypo Carb Need (g)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(Target BG − Current BG)  ÷  Raise Factor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hypo target = 90–100 mg/dL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3.1 Key Targets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Correction target BG:  120 mg/dL  (bring elevated BG back to this level)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Hypo treatment target: 90–100 mg/dL  (raise low BG to this safe minimum)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TDD (Total Daily Dose): patient-specific; set by physician on DiaTwin onboarding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3.2 Example Calculation (30 g carb meal, BG = 200)</w:t>
      </w:r>
    </w:p>
    <w:p>
      <w:pPr>
        <w:pBdr>
          <w:top w:val="single" w:color="BDC3C7" w:sz="1"/>
          <w:left w:val="single" w:color="2E86C1" w:sz="8"/>
          <w:bottom w:val="single" w:color="BDC3C7" w:sz="1"/>
          <w:right w:val="none" w:color="FFFFFF" w:sz="0"/>
        </w:pBdr>
        <w:shd w:fill="EBF5FB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Carb Dose  =  30 ÷ 15  =  2 units</w:t>
      </w:r>
    </w:p>
    <w:p>
      <w:pPr>
        <w:pBdr>
          <w:top w:val="single" w:color="BDC3C7" w:sz="1"/>
          <w:left w:val="single" w:color="2E86C1" w:sz="8"/>
          <w:bottom w:val="single" w:color="BDC3C7" w:sz="1"/>
          <w:right w:val="none" w:color="FFFFFF" w:sz="0"/>
        </w:pBdr>
        <w:shd w:fill="EBF5FB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Correction =  (200 − 120) ÷ 40  =  2 units</w:t>
      </w:r>
    </w:p>
    <w:p>
      <w:pPr>
        <w:pBdr>
          <w:top w:val="single" w:color="BDC3C7" w:sz="1"/>
          <w:left w:val="single" w:color="2E86C1" w:sz="8"/>
          <w:bottom w:val="single" w:color="BDC3C7" w:sz="1"/>
          <w:right w:val="none" w:color="FFFFFF" w:sz="0"/>
        </w:pBdr>
        <w:shd w:fill="EBF5FB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Total Pre-meal Dose  =  2 + 2 − IOB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If IOB = 1 unit remaining from a previous dose, final injected dose = 3 units. DiaTwin's engine performs this calculation automatically when a meal is logged with a concurrent BG reading.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Insulin On Board (IOB) — Clinical Decay Reference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provides a simplified linear decay model that clinical teams use when a gamma-distribution engine is unavailable. DiaTwin's IOB engine uses the more accurate gamma distribution, but the table below serves as a validation baseline — engine outputs should be within ±15% of these reference values at each checkpoint.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1 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1.5 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2 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After 3 h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h (Humalog)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½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¼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h (NovoRapid)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⅔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½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⅓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 h (Regular)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¾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½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¼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h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⅘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⅗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⅖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⅕ dose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h (Actrapid)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5/6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⅔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½ dose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⅓ dose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4.1 Two-Hour Check Decision Logic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When a patient checks BG two hours after their last injection, the following rules apply. DiaTwin implements these as the 2-hour IOB comparison in /api/active-effects-full: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Condition at 2-hour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(Book)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DiaTwin Behaviour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in target range; no new meal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 snack matching remaining IOB in carbs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MOB recommendation shown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== new meal dose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 full new meal dose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No IOB offset applied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&gt; new meal dose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new injection; add extra carbs instead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Negative dose offset; add-carbs flag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&lt; new meal dose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 (meal dose − IOB)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Partial dose suggestion shown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BG still high (IOB &lt; correction)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Give (correction − IOB)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Residual correction calculated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&gt; correction needed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 injection; monitor every 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Warning flag: 'IOB sufficient, monitor'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Pre-Meal Blood Glucose Decision Tree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defines five BG scenarios that determine how insulin should be dosed before a meal. This decision tree is the core of DiaTwin's meal logging + insulin calculation flow. Implement as a state machine with these exact thresholds.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760"/>
        <w:gridCol w:w="36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Pre-meal BG (mg/dL)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Clinical Action (Book)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DiaTwin Engine Behaviour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1E8449"/>
                <w:sz w:val="18"/>
                <w:szCs w:val="18"/>
              </w:rPr>
              <w:t xml:space="preserve">100–120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Meal dose only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Meal dose, no correction; standard pre-injection 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120–250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Meal dose + Correction dose; extend wait before eating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Adds correction dose; increases recommended pre-injection wait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D35400"/>
                <w:sz w:val="18"/>
                <w:szCs w:val="18"/>
              </w:rPr>
              <w:t xml:space="preserve">&gt; 250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DO NOT eat. Correction dose only. Check urine ketones. Eat only after BG stabilizes.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Flags ketone check required; suppresses meal logging until BG confirmed stable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2E86C1"/>
                <w:sz w:val="18"/>
                <w:szCs w:val="18"/>
              </w:rPr>
              <w:t xml:space="preserve">65–99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Reduce meal dose (negative correction) OR give full dose + extra carbs via Raise Factor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Applies negative correction; shows extra-carb recommendation based on Raise Factor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922B21"/>
                <w:sz w:val="18"/>
                <w:szCs w:val="18"/>
              </w:rPr>
              <w:t xml:space="preserve">≤ 65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Hypo emergency. Treat with fast carbs first. Plan meal after BG ≥ 90.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Triggers hypo alert; blocks insulin calculation until BG recovered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Critical safety rule: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BG &gt; 250 mg/dL must trigger a ketone check prompt in the DiaTwin UI before any meal logging is permitted. The book is explicit: do not eat with high sugar in this range.</w:t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Negative correction: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When BG = 65–99, compute negative correction as: (70 − BG) ÷ CF. Subtract from meal dose. If result goes negative, instead add extra carbs using Raise Factor.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Protein &amp; Fat Effects on Blood Glucose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6.1 Protein Conversion Rules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Normal mixed meal (carbs present): protein glucose effect is masked — no separate dose needed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Low-carb meal: treat 35% of protein grams as carbohydrate-equivalent for dosing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Zero-carb / keto meal: treat 50% of protein grams as carbohydrate-equivalent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Protein injection timing: 30–60 minutes AFTER meal (protein digests much slower than carbs)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DiaTwin constant: protein_factor (default 0.5, adjustable per patient in constants)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6.2 When to Calculate Protein Dose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specifies three triggers — all of which should activate protein-dose calculation in the DiaTwin meal logging flow: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Observed slow digestion with delayed high BG (2-hour check still rising)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2-hour BG elevated despite correct carb dose, with normal pre-meal BG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Patient following a low-carbohydrate dietary pattern</w:t>
      </w:r>
    </w:p>
    <w:p>
      <w:pPr>
        <w:spacing w:before="60" w:after="60"/>
      </w:pPr>
      <w:r>
        <w:t xml:space="preserve"/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MOB gamma shape: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For protein-dominant meals, extend the MOB gamma curve's time-to-peak parameter. A high-protein meal with 35–50% conversion should use Slow or Very Slow absorption regardless of carb content.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Glycaemic Index Factors — Absorption Speed Mapping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details how cooking method, food composition, and meal context alter the speed at which carbohydrates raise blood glucose. These factors drive the absorption_type selector in DiaTwin's meal logging UI, which in turn determines the gamma distribution curve shape used by the MOB engine.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1680"/>
        <w:gridCol w:w="168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 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Food Examples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Onset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Peak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 / Gamma Tail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Very Fast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Glucose tabs, juice, carbonated drinks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 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~30 min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 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White bread, ripe fruit, white rice (hot)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~5 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 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Mixed meals, pasta al dente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~10 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~1.5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~4 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Whole grains, dairy, cooled starch (GI −37%)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~15 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~6 h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Very Slow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Legumes, high-fat meals (&gt;20 g fat)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~20 min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~3 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~8 h</w:t>
            </w:r>
          </w:p>
        </w:tc>
      </w:tr>
    </w:tbl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Effect on BG Rise Speed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DiaTwin Absorption Modifier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Long cooking time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Higher GI — baked/mashed potato = near-sugar speed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Shift absorption to Fast or Very Fast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Cooled starch (pasta, rice, potato)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 drops ~37% when cooled before eating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Shift absorption to Slow or Medium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Fiber &gt; 5 g per meal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Slows absorption; subtract fiber from total carbs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ADA rule: deduct fiber from carb count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Vinegar / acid (2 tbsp with meal)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Reduces 1-hour post-meal spike up to 50%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Can be logged as absorption modifier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Fat &gt; 20 g in meal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Delays peak 3–4 h; causes late high readings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Extend MOB gamma tail; use Very Slow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 protein ratio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Lowers overall meal GI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Apply protein_factor (25–50% as carb-equiv.)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Fruit ripeness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More ripe = higher GI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Use Fast vs. Slow for unripe fruit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Sugar alcohols (Xylitol, Sorbitol, etc.)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Only 50% of quantity raises BG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Halve carb count before dose calculation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7.1 Egyptian Dietary Patterns — Key Notes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Ful medames (فول مدمس): Very Slow absorption — legume base, typically mixed with oils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Koshari (كشري): Medium absorption — mixed lentils/rice/pasta; fat from fried onions adds delay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Egyptian bread (عيش بلدي): whole wheat base — Slow to Medium depending on freshness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Om Ali / Kunafa: Very Fast — high sugar content with pastry; treat as Very Fast absorption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Rice (Egyptian short-grain): Fast when hot, Medium when cooled (apply −37% GI cooling rule)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Nutrition Points System &amp; Pediatric Daily Targets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8.1 Points System Definition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Carb 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Measurement 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Nutritional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g carbohydrates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ADA exchange standard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tsp (level)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g carbs = ⅓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ml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tbsp (level)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g carbs = 1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ml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cup (240 ml)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g carbs = 1 point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Standard liquid measure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8.2 Daily Calorie &amp; Carb Targets by Age</w:t>
      </w:r>
    </w:p>
    <w:p>
      <w:pPr>
        <w:pBdr>
          <w:top w:val="single" w:color="BDC3C7" w:sz="1"/>
          <w:left w:val="single" w:color="2E86C1" w:sz="8"/>
          <w:bottom w:val="single" w:color="BDC3C7" w:sz="1"/>
          <w:right w:val="none" w:color="FFFFFF" w:sz="0"/>
        </w:pBdr>
        <w:shd w:fill="EBF5FB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Boys:  Total Calories = 1000 + (125 × age in years)</w:t>
      </w:r>
    </w:p>
    <w:p>
      <w:pPr>
        <w:pBdr>
          <w:top w:val="single" w:color="BDC3C7" w:sz="1"/>
          <w:left w:val="single" w:color="2E86C1" w:sz="8"/>
          <w:bottom w:val="single" w:color="BDC3C7" w:sz="1"/>
          <w:right w:val="none" w:color="FFFFFF" w:sz="0"/>
        </w:pBdr>
        <w:shd w:fill="EBF5FB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Girls: Total Calories = 1000 + (100 × age in years)</w:t>
      </w:r>
    </w:p>
    <w:p>
      <w:pPr>
        <w:pBdr>
          <w:top w:val="single" w:color="BDC3C7" w:sz="1"/>
          <w:left w:val="single" w:color="2E86C1" w:sz="8"/>
          <w:bottom w:val="single" w:color="BDC3C7" w:sz="1"/>
          <w:right w:val="none" w:color="FFFFFF" w:sz="0"/>
        </w:pBdr>
        <w:shd w:fill="EBF5FB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Daily Carb (g) = (Total Calories × 0.47) ÷ 4  [using 47% midpoint of 45–50% range]</w:t>
      </w:r>
    </w:p>
    <w:p>
      <w:pPr>
        <w:pBdr>
          <w:top w:val="single" w:color="BDC3C7" w:sz="1"/>
          <w:left w:val="single" w:color="2E86C1" w:sz="8"/>
          <w:bottom w:val="single" w:color="BDC3C7" w:sz="1"/>
          <w:right w:val="none" w:color="FFFFFF" w:sz="0"/>
        </w:pBdr>
        <w:shd w:fill="EBF5FB" w:val="clear"/>
        <w:spacing w:before="120" w:after="120"/>
        <w:ind w:left="360" w:right="360"/>
        <w:jc w:val="center"/>
      </w:pPr>
      <w:r>
        <w:rPr>
          <w:rFonts w:ascii="Courier New" w:cs="Courier New" w:eastAsia="Courier New" w:hAnsi="Courier New"/>
          <w:b/>
          <w:bCs/>
          <w:color w:val="1B4F72"/>
          <w:sz w:val="20"/>
          <w:szCs w:val="20"/>
        </w:rPr>
        <w:t xml:space="preserve">Daily Points = Daily Carb (g) ÷ 15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8.3 Age-Based Meal Distribution (Boys reference; Girls −10%)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100"/>
        <w:gridCol w:w="1400"/>
        <w:gridCol w:w="1000"/>
        <w:gridCol w:w="1260"/>
        <w:gridCol w:w="1100"/>
        <w:gridCol w:w="1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Age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 pts/day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Breakfast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Snack AM (school)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Lunch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Snack PM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Dinner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Bedtime snack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 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 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 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 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18–20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22–25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6.5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18+ y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Bedtime snack rule: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Required for children &lt; 6 years old AND for any patient whose pre-sleep BG is below 140 mg/dL (or 160 mg/dL for children under 4). Use complex carb + protein to prevent nocturnal hypo.</w:t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Weight adjustment: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Underweight / growth delay: add 10% to daily points. Overweight: subtract 10%.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Hypoglycaemia Treatment Protocol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book provides a clear protocol for treating low blood glucose. DiaTwin should implement this as the hypo alert pathway, triggered when BG ≤ 65–70 mg/dL.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844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for Acute Hypo (≤ 65)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354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Use AFTER Recovery (Rebound Prevention)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22B2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AVOID during acute hypo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Glucose tablets / gel
Sugar
Juice
Carbonated drinks
Jam / marmalade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Complex carb + protein snack
(crackers + cheese, toast + egg)
Fruit (apple, banana)
Milk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Chocolate / ice cream
Banana (alone)
Nuts
Honey (unreliable speed)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86C1"/>
          <w:sz w:val="24"/>
          <w:szCs w:val="24"/>
        </w:rPr>
        <w:t xml:space="preserve">9.1 Step-by-Step Protocol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1 — Calculate carbs needed: (Target BG − Current BG) ÷ Raise Factor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2 — Give ONLY fast carbs from the green column above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3 — Recheck BG after exactly 10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4 — If BG still below 90, repeat fast-carb dose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5 — Once BG ≥ 90: give complex carb + protein to prevent rebound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Step 6 — Do NOT take meal insulin until BG is stable and meal is planned</w:t>
      </w:r>
    </w:p>
    <w:p>
      <w:pPr>
        <w:spacing w:before="60" w:after="60"/>
      </w:pPr>
      <w:r>
        <w:t xml:space="preserve"/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Honey warning: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The book explicitly states honey is NOT reliable for hypo treatment — absorption speed varies widely. Do not suggest honey in the DiaTwin hypo protocol.</w:t>
      </w:r>
    </w:p>
    <w:p>
      <w:pPr>
        <w:pBdr>
          <w:top w:val="none"/>
          <w:left w:val="single" w:color="2E86C1" w:sz="12" w:space="4"/>
          <w:bottom w:val="none"/>
          <w:right w:val="none"/>
        </w:pBdr>
        <w:spacing w:before="80" w:after="80"/>
        <w:ind w:left="360"/>
      </w:pPr>
      <w:r>
        <w:rPr>
          <w:rFonts w:ascii="Arial" w:cs="Arial" w:eastAsia="Arial" w:hAnsi="Arial"/>
          <w:b/>
          <w:bCs/>
          <w:color w:val="2E86C1"/>
          <w:sz w:val="18"/>
          <w:szCs w:val="18"/>
        </w:rPr>
        <w:t xml:space="preserve">DiaTwin implementation: </w:t>
      </w:r>
      <w:r>
        <w:rPr>
          <w:rFonts w:ascii="Arial" w:cs="Arial" w:eastAsia="Arial" w:hAnsi="Arial"/>
          <w:color w:val="566573"/>
          <w:sz w:val="18"/>
          <w:szCs w:val="18"/>
        </w:rPr>
        <w:t xml:space="preserve">Block insulin calculation and meal logging when BG ≤ 65. Surface the hypo carb-need calculation using the patient's Raise Factor constant. Unlock meal logging only after user confirms BG recovery.</w:t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Egyptian Food Carbohydrate Reference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The following carbohydrate values are sourced directly from the book's food tables and are calibrated for Egyptian dietary portions. These should populate the Egyptian Dishes category in DiaTwin's food database.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800"/>
        <w:gridCol w:w="1800"/>
        <w:gridCol w:w="25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Food Item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Portion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Carbs (g)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Absorption Type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Egyptian bread (عيش بلدي) — whole loaf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90 g (⅓ loaf)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Fino bread (فينو)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 g (½ roll)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 medames (فول مدمس)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tbsp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Very Slow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Lentil soup (شوربة عدس) concentrated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cup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Rice — Egyptian short-grain (hot)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cup (240 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Rice — Egyptian short-grain (cooled)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cup (240 ml)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38–42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Pasta / macaroni (cooked)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tbsp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Koshari (كشري) — standard serving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cup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45–60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Falafel / Ta'ameya (طعمية) small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pieces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Very Slow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Potato — medium boiled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medium (120g)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Potato — baked / very hot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 → Very 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Potato — cooled boiled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medium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15–20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Slow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French fries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 fingers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 (delayed tail)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Mango (½ fruit)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Banana (small)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65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Dates / Balah (بلح)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 dates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Very 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Watermelon (بطيخ)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large slices (200g)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Om Ali / Kunafa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100 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35–45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Very Fast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Honey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tbsp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Fast (unreliable)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Sugar (white)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 tbsp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Very Fast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DiaTwin Integration Map</w:t>
      </w:r>
    </w:p>
    <w:p>
      <w:pPr>
        <w:spacing w:before="60" w:after="100"/>
        <w:jc w:val="left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Complete cross-reference between book clinical concepts and DiaTwin code components. Use this table during code review, QA testing, and new-feature development to ensure clinical alignment.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Book Clinical Concept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DiaTwin Module / Constant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 / Endpoint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Carb Ratio (500 ÷ TDD)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insulin_to_carb_ratio (ICR)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patient_constants · /api/calculate-insulin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Correction Factor (1700–1800 ÷ TDD)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correction_factor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pharmacodynamics.py · patient_constants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Raise Factor (CF ÷ Carb Ratio)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Hypo carb calc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medication_routes.py · hypo alert logic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linear decay table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gamma curve (duration-specific)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pharmacodynamics.py · IOB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Protein 35–50% carb-equivalent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protein_factor (default 0.5)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meal_routes.py · insulin calc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GI / absorption speed factors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absorption_type → gamma curve shape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pharmacodynamics.py · MOB engine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5-scenario BG decision tree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Pre-meal insulin recommendation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/api/calculate-insulin · BG branching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Ketone flag &gt; 250 mg/dL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Clinical safety warning UI flag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Frontend BloodSugarVisualization.js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Age-based daily point tables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Pediatric onboarding defaults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patient_constants · onboarding wizard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2-hour IOB vs correction logic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stacking + correction comparison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medication_routes.py · /api/active-effects-full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Vinegar / acid reduces spike 50%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absorption_modifier param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meal_routes.py · absorption speed picker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Fat &gt; 20 g → delayed peak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Very Slow absorption 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pharmacodynamics.py · gamma tail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Sugar alcohol = 50% carbs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Carb count halved before dose calc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566573"/>
                <w:sz w:val="18"/>
                <w:szCs w:val="18"/>
              </w:rPr>
              <w:t xml:space="preserve">meal_routes.py · custom food logging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2E86C1" w:sz="6" w:space="1"/>
        </w:pBdr>
        <w:spacing w:before="360" w:after="16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Quick Formula Reference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Formula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Expression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Carb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500 ÷ TDD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Correction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1700–1800 ÷ TDD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Meal Dose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Carbs (g) ÷ Carb Ratio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Correction Dose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(BG − 120) ÷ Correction Factor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Total Pre-meal Dose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Meal Dose + Correction Dose − IOB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Raise Factor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Correction Factor ÷ Carb Ratio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Hypo Carb Need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(Target BG − Current BG) ÷ Raise Factor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IOB remaining (linear)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(Dose ÷ Duration h) × Remaining 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Protein carb-equiv.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Protein (g) × 0.35–0.50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Daily Carbs — Boys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B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[(1000 + 125×age) × 0.47] ÷ 4 (g)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Daily 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B4F72"/>
                <w:sz w:val="17"/>
                <w:szCs w:val="17"/>
              </w:rPr>
              <w:t xml:space="preserve">Daily Carbs ÷ 15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Bdr>
          <w:top w:val="single" w:color="2E86C1" w:sz="6" w:space="4"/>
        </w:pBdr>
        <w:spacing w:before="240" w:after="40"/>
        <w:jc w:val="center"/>
      </w:pPr>
      <w:r>
        <w:rPr>
          <w:rFonts w:ascii="Arial" w:cs="Arial" w:eastAsia="Arial" w:hAnsi="Arial"/>
          <w:i/>
          <w:iCs/>
          <w:color w:val="566573"/>
          <w:sz w:val="18"/>
          <w:szCs w:val="18"/>
        </w:rPr>
        <w:t xml:space="preserve">DiaTwin Clinical Reference — أنا بطل سُكَر Mapping Document  |  Internal Use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C1" w:sz="4" w:space="1"/>
      </w:pBdr>
      <w:spacing w:before="80" w:after="0"/>
      <w:jc w:val="center"/>
    </w:pPr>
    <w:r>
      <w:rPr>
        <w:rFonts w:ascii="Arial" w:cs="Arial" w:eastAsia="Arial" w:hAnsi="Arial"/>
        <w:color w:val="566573"/>
        <w:sz w:val="16"/>
        <w:szCs w:val="16"/>
      </w:rPr>
      <w:t xml:space="preserve">DiaTwin Pharmacodynamics Engine — Clinical Reference  |  Internal Use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C1" w:sz="4" w:space="1"/>
      </w:pBdr>
      <w:spacing w:before="0" w:after="80"/>
      <w:jc w:val="right"/>
    </w:pPr>
    <w:r>
      <w:rPr>
        <w:rFonts w:ascii="Arial" w:cs="Arial" w:eastAsia="Arial" w:hAnsi="Arial"/>
        <w:color w:val="566573"/>
        <w:sz w:val="16"/>
        <w:szCs w:val="16"/>
      </w:rPr>
      <w:t xml:space="preserve">DiaTwin  |  </w:t>
    </w:r>
    <w:r>
      <w:rPr>
        <w:rFonts w:ascii="Arial" w:cs="Arial" w:eastAsia="Arial" w:hAnsi="Arial"/>
        <w:b/>
        <w:bCs/>
        <w:color w:val="1B4F72"/>
        <w:sz w:val="16"/>
        <w:szCs w:val="16"/>
      </w:rPr>
      <w:t xml:space="preserve">أنا بطل سُكَر — Clinical Reference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E86C1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color w:val="566573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2026-03-21T01:17:56.266Z</dcterms:created>
  <dcterms:modified xsi:type="dcterms:W3CDTF">2026-03-21T01:17:56.267Z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