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50C14">
      <w:pPr>
        <w:keepNext w:val="0"/>
        <w:keepLines w:val="0"/>
        <w:pageBreakBefore w:val="0"/>
        <w:widowControl/>
        <w:shd w:val="clear" w:fill="1F4E79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64" w:lineRule="auto"/>
        <w:textAlignment w:val="auto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 xml:space="preserve">DiaTwin  </w:t>
      </w:r>
      <w:r>
        <w:rPr>
          <w:rFonts w:ascii="Arial" w:hAnsi="Arial" w:eastAsia="Arial" w:cs="Arial"/>
          <w:color w:val="AACCEE"/>
          <w:sz w:val="20"/>
          <w:szCs w:val="20"/>
        </w:rPr>
        <w:t>Forschungskonzept-Brief  |  TRL 4–5  |  dia-twin.vercel.app</w:t>
      </w:r>
    </w:p>
    <w:p w14:paraId="7B0FCBF0">
      <w:pPr>
        <w:keepNext w:val="0"/>
        <w:keepLines w:val="0"/>
        <w:pageBreakBefore w:val="0"/>
        <w:widowControl/>
        <w:shd w:val="clear" w:fill="1F4E79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64" w:lineRule="auto"/>
        <w:textAlignment w:val="auto"/>
      </w:pPr>
      <w:r>
        <w:rPr>
          <w:rFonts w:ascii="Arial" w:hAnsi="Arial" w:eastAsia="Arial" w:cs="Arial"/>
          <w:i/>
          <w:iCs/>
          <w:color w:val="CCDDEE"/>
          <w:sz w:val="20"/>
          <w:szCs w:val="20"/>
        </w:rPr>
        <w:t>Personalisierte Insulindosierung durch zirkadian-bewusstes Reinforcement Learning</w:t>
      </w:r>
    </w:p>
    <w:p w14:paraId="1DF3B65B">
      <w:pPr>
        <w:keepNext w:val="0"/>
        <w:keepLines w:val="0"/>
        <w:pageBreakBefore w:val="0"/>
        <w:widowControl/>
        <w:pBdr>
          <w:bottom w:val="single" w:color="2E75B6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DAS PROBLEM</w:t>
      </w:r>
    </w:p>
    <w:p w14:paraId="2FC84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color w:val="333333"/>
          <w:sz w:val="20"/>
          <w:szCs w:val="20"/>
        </w:rPr>
        <w:t>Über 8 Millionen Menschen mit Typ-1-Diabetes weltweit sind auf Insulinpens angewiesen. Trotz weit verbreiteter CGM-Nutzung existiert kein bezahlbares Entscheidungsunterstützungstool, das gleichzeitig Insulin-Pharmakodynamik, Mahlzeitenabsorption, körperliche Aktivität und zirkadiane Variabilität berücksichtigt. Starre Korrekturfaktoren führen zu chronischen Dosierungsfehlern, erhöhtem Hypoglykämierisiko und hoher kognitiver Belastung.</w:t>
      </w:r>
    </w:p>
    <w:p w14:paraId="30A45138">
      <w:pPr>
        <w:keepNext w:val="0"/>
        <w:keepLines w:val="0"/>
        <w:pageBreakBefore w:val="0"/>
        <w:widowControl/>
        <w:pBdr>
          <w:bottom w:val="single" w:color="2E75B6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FUNKTIONSWEISE – KONTEXTUELLE DOSIERUNGSPIPELINE</w:t>
      </w:r>
    </w:p>
    <w:p w14:paraId="7BA60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64" w:lineRule="auto"/>
        <w:textAlignment w:val="auto"/>
        <w:rPr>
          <w:sz w:val="20"/>
          <w:szCs w:val="20"/>
        </w:rPr>
      </w:pPr>
    </w:p>
    <w:tbl>
      <w:tblPr>
        <w:tblStyle w:val="9"/>
        <w:tblW w:w="10467" w:type="dxa"/>
        <w:tblInd w:w="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7"/>
        <w:gridCol w:w="8310"/>
      </w:tblGrid>
      <w:tr w14:paraId="701C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E4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Mahlzeitenfoto → KH</w:t>
            </w:r>
          </w:p>
        </w:tc>
        <w:tc>
          <w:tcPr>
            <w:tcW w:w="8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98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Kamerabasierte Lebensmittelerkennung extrahiert Makronährstoffe (KH, Eiweiß, Fett) und weist automatisch ein Absorptionsprofil zu (sehr schnell → sehr langsam)</w:t>
            </w:r>
          </w:p>
        </w:tc>
      </w:tr>
      <w:tr w14:paraId="2B32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FA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PK/PD-Modellierung</w:t>
            </w:r>
          </w:p>
        </w:tc>
        <w:tc>
          <w:tcPr>
            <w:tcW w:w="8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3C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IOB</w:t>
            </w:r>
            <w:r>
              <w:rPr>
                <w:rFonts w:hint="default" w:cs="Arial"/>
                <w:color w:val="333333"/>
                <w:sz w:val="20"/>
                <w:szCs w:val="20"/>
                <w:lang w:val="de-DE"/>
              </w:rPr>
              <w:t>(insulin on board)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und MOB </w:t>
            </w:r>
            <w:r>
              <w:rPr>
                <w:rFonts w:hint="default" w:cs="Arial"/>
                <w:color w:val="333333"/>
                <w:sz w:val="20"/>
                <w:szCs w:val="20"/>
                <w:lang w:val="de-DE"/>
              </w:rPr>
              <w:t xml:space="preserve">(meal on board)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werden über Gamma-Verteilungskurven berechnet; kumulative Tageseffekte und prädiktive Peaküberschneidungen eingeschlossen</w:t>
            </w:r>
          </w:p>
        </w:tc>
      </w:tr>
      <w:tr w14:paraId="1198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7C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Aktivitätsanpassung</w:t>
            </w:r>
          </w:p>
        </w:tc>
        <w:tc>
          <w:tcPr>
            <w:tcW w:w="8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36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Protokollierte und wearable-basierte Aktivität modifiziert die Insulinsensitivität in Echtzeit  akute Aufnahme (GLUT4-unabhängig) und prolongierter Post-Exercise-Effekt</w:t>
            </w:r>
          </w:p>
        </w:tc>
      </w:tr>
      <w:tr w14:paraId="37D6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E5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BZ + zirkadianer Ausgangswert</w:t>
            </w:r>
          </w:p>
        </w:tc>
        <w:tc>
          <w:tcPr>
            <w:tcW w:w="8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31D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Aktueller Glukosewert (CGM oder Fingerstich) korrigiert gegen 24-Stunden-Anker: nächtliches Nadir, Dawn-Phänomen, Tagesplateau</w:t>
            </w:r>
          </w:p>
        </w:tc>
      </w:tr>
      <w:tr w14:paraId="53D6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B7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Dosis + Insulintyp</w:t>
            </w:r>
          </w:p>
        </w:tc>
        <w:tc>
          <w:tcPr>
            <w:tcW w:w="8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05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Empfohlene Einheiten (0,1 IE gerundet, Untergrenze 0,5 IE) plus passendes Analogon (schnellwirkend vs. Standard) entsprechend Absorptionsprofil</w:t>
            </w:r>
          </w:p>
        </w:tc>
      </w:tr>
      <w:tr w14:paraId="39C2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CB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Kliniker-geführte Personalisierung</w:t>
            </w:r>
          </w:p>
        </w:tc>
        <w:tc>
          <w:tcPr>
            <w:tcW w:w="83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07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Alle Mahlzeit–Insulin–Aktivität–Ergebnis-Tupel protokolliert und in Patientenakten für betreuende Ärzte sichtbar. Direktes ISF/ICR-Update möglich. Vollautomatische ML-Parameterrefinierung pro 2-Stunden-Block in nächster Phase geplant.</w:t>
            </w:r>
          </w:p>
        </w:tc>
      </w:tr>
    </w:tbl>
    <w:p w14:paraId="0F24BF24">
      <w:pPr>
        <w:keepNext w:val="0"/>
        <w:keepLines w:val="0"/>
        <w:pageBreakBefore w:val="0"/>
        <w:widowControl/>
        <w:pBdr>
          <w:bottom w:val="single" w:color="2E75B6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ALLEINSTELLUNGSMERKMALE</w:t>
      </w:r>
    </w:p>
    <w:p w14:paraId="1E4A5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264" w:lineRule="auto"/>
        <w:textAlignment w:val="auto"/>
        <w:rPr>
          <w:sz w:val="20"/>
          <w:szCs w:val="20"/>
        </w:rPr>
      </w:pPr>
    </w:p>
    <w:tbl>
      <w:tblPr>
        <w:tblStyle w:val="9"/>
        <w:tblW w:w="105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5"/>
        <w:gridCol w:w="8076"/>
      </w:tblGrid>
      <w:tr w14:paraId="03CC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05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Foto-zur-Dosis</w:t>
            </w:r>
          </w:p>
        </w:tc>
        <w:tc>
          <w:tcPr>
            <w:tcW w:w="80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B8F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Kamera auf Mahlzeit → KH-Schätzung → Insulinempfehlung. Keine manuelle Eingabe</w:t>
            </w:r>
          </w:p>
        </w:tc>
      </w:tr>
      <w:tr w14:paraId="6C7E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23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Vollst. Kontextfenster</w:t>
            </w:r>
          </w:p>
        </w:tc>
        <w:tc>
          <w:tcPr>
            <w:tcW w:w="80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00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Mahlzeiten, Dosen, Aktivität und BZ-Werte fließen in jede Empfehlung ein</w:t>
            </w:r>
          </w:p>
        </w:tc>
      </w:tr>
      <w:tr w14:paraId="365D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60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Zirkadiane Anpassung</w:t>
            </w:r>
          </w:p>
        </w:tc>
        <w:tc>
          <w:tcPr>
            <w:tcW w:w="80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DC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Tageszeit-ISF/ICR-Personalisierung via RL – in keinem aktuellen Pen-Tool vorhanden</w:t>
            </w:r>
          </w:p>
        </w:tc>
      </w:tr>
      <w:tr w14:paraId="53A2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E9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Kein Pumpe nötig</w:t>
            </w:r>
          </w:p>
        </w:tc>
        <w:tc>
          <w:tcPr>
            <w:tcW w:w="80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4D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Funktioniert mit Standard-Insulinpens und Fingerstich- oder CGM-Daten</w:t>
            </w:r>
          </w:p>
        </w:tc>
      </w:tr>
      <w:tr w14:paraId="4BF7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C4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Equity by Design</w:t>
            </w:r>
          </w:p>
        </w:tc>
        <w:tc>
          <w:tcPr>
            <w:tcW w:w="80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DF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Konzipiert für Umgebungen mit eingeschränktem CGM-Zugang – LMIC-Arm geplant</w:t>
            </w:r>
          </w:p>
        </w:tc>
      </w:tr>
    </w:tbl>
    <w:p w14:paraId="37062A95">
      <w:pPr>
        <w:keepNext w:val="0"/>
        <w:keepLines w:val="0"/>
        <w:pageBreakBefore w:val="0"/>
        <w:widowControl/>
        <w:pBdr>
          <w:bottom w:val="single" w:color="2E75B6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AKTUELLER STAND &amp; QUALIFIKATIONEN</w:t>
      </w:r>
    </w:p>
    <w:p w14:paraId="7EB7E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264" w:lineRule="auto"/>
        <w:textAlignment w:val="auto"/>
        <w:rPr>
          <w:sz w:val="20"/>
          <w:szCs w:val="20"/>
        </w:rPr>
      </w:pPr>
    </w:p>
    <w:tbl>
      <w:tblPr>
        <w:tblStyle w:val="9"/>
        <w:tblW w:w="10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406"/>
      </w:tblGrid>
      <w:tr w14:paraId="295D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E9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Prototyp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E9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Live Web-App + Android-App – einsatzbereit, demo-fähig (dia-twin.vercel.app)</w:t>
            </w:r>
          </w:p>
        </w:tc>
      </w:tr>
      <w:tr w14:paraId="6524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F8B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Akademisch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F4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M.Sc. Digital Health, DIT Deutschland – Note 1,6 (Ausgezeichnet, 2025)</w:t>
            </w:r>
          </w:p>
        </w:tc>
      </w:tr>
      <w:tr w14:paraId="715C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7A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Klin. Beratung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C8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Prof. Dr. Klaus Parhofer, LMU München (Medizinische Klinik IV) – Betreuer</w:t>
            </w:r>
          </w:p>
        </w:tc>
      </w:tr>
      <w:tr w14:paraId="3FE4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63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Trainingsdaten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646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hint="default"/>
                <w:sz w:val="18"/>
                <w:szCs w:val="18"/>
              </w:rPr>
              <w:t>RL-Engine vortrainiert auf 50.000+ reale Mahlzeit-Ergebnis-Datenpaare; Out-of-Sample-Stresstests mit dem AZT1D-Datensatz (25 T1D-Patienten, CGM + Bolusdaten + Kohlenhydrataufnahme, erfasst über pen-basierte MDI- und automatisierte Insulinabgabe-Therapiephasen)</w:t>
            </w:r>
          </w:p>
        </w:tc>
      </w:tr>
      <w:tr w14:paraId="6620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E3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Forscher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57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Apotheker (§11 BApO), M.Sc. Digital Health, Senior Clinical Informatics (HL7-FHIR R4)</w:t>
            </w:r>
          </w:p>
        </w:tc>
      </w:tr>
    </w:tbl>
    <w:p w14:paraId="494C683E">
      <w:pPr>
        <w:keepNext w:val="0"/>
        <w:keepLines w:val="0"/>
        <w:pageBreakBefore w:val="0"/>
        <w:widowControl/>
        <w:pBdr>
          <w:bottom w:val="single" w:color="2E75B6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VORGESCHLAGENE ZUSAMMENARBEIT</w:t>
      </w:r>
    </w:p>
    <w:p w14:paraId="11D55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264" w:lineRule="auto"/>
        <w:textAlignment w:val="auto"/>
        <w:rPr>
          <w:sz w:val="20"/>
          <w:szCs w:val="20"/>
        </w:rPr>
      </w:pPr>
      <w:r>
        <w:rPr>
          <w:rFonts w:ascii="Arial" w:hAnsi="Arial" w:eastAsia="Arial" w:cs="Arial"/>
          <w:color w:val="333333"/>
          <w:sz w:val="20"/>
          <w:szCs w:val="20"/>
        </w:rPr>
        <w:t>Ich suche einen PhD-Betreuungskontext, um eine prospektive Pilot-RCT (N = 30, 6 Monate) zu konzipieren und durchzuführen, die die zirkadiane ML-Anpassung gegen die Standard-Versorgung mit Insulinpens validiert. Ich freue mich über Gespräche zu Betreuung, klinischer Studieninfrastruktur und gemeinsamer Förderantragsentwicklung.</w:t>
      </w:r>
    </w:p>
    <w:p w14:paraId="38E63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0" w:line="264" w:lineRule="auto"/>
        <w:textAlignment w:val="auto"/>
        <w:rPr>
          <w:sz w:val="20"/>
          <w:szCs w:val="20"/>
        </w:rPr>
      </w:pPr>
    </w:p>
    <w:tbl>
      <w:tblPr>
        <w:tblStyle w:val="9"/>
        <w:tblW w:w="10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7806"/>
      </w:tblGrid>
      <w:tr w14:paraId="5B0F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74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Ali Attia</w:t>
            </w:r>
          </w:p>
        </w:tc>
        <w:tc>
          <w:tcPr>
            <w:tcW w:w="780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3F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ACCEE"/>
                <w:sz w:val="20"/>
                <w:szCs w:val="20"/>
              </w:rPr>
              <w:t>dia-twin.vercel.app  |  linkedin.com/in/ali-attia-74748bb4</w:t>
            </w:r>
          </w:p>
          <w:p w14:paraId="51468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4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ACCEE"/>
                <w:sz w:val="20"/>
                <w:szCs w:val="20"/>
              </w:rPr>
              <w:t>M.Sc. Digital Health  |  Apotheker (§11 BApO)  |  github.com/aliattia2</w:t>
            </w:r>
          </w:p>
        </w:tc>
      </w:tr>
    </w:tbl>
    <w:p w14:paraId="4EEF8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sz w:val="20"/>
          <w:szCs w:val="20"/>
        </w:rPr>
      </w:pPr>
    </w:p>
    <w:sectPr>
      <w:pgSz w:w="11906" w:h="16838"/>
      <w:pgMar w:top="600" w:right="700" w:bottom="60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154DB3"/>
    <w:rsid w:val="58EB4451"/>
    <w:rsid w:val="713448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2026-04-08T01:23:00Z</dcterms:created>
  <dc:creator>Un-named</dc:creator>
  <cp:lastModifiedBy>aliat</cp:lastModifiedBy>
  <cp:lastPrinted>2026-04-08T01:29:00Z</cp:lastPrinted>
  <dcterms:modified xsi:type="dcterms:W3CDTF">2026-04-08T22:58:39Z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1D4E5F320F9F43289D9B67C6A879E666_12</vt:lpwstr>
  </property>
</Properties>
</file>