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30381">
      <w:pPr>
        <w:spacing w:before="0" w:after="70"/>
        <w:rPr>
          <w:rFonts w:hint="default" w:ascii="Arial" w:hAnsi="Arial" w:cs="Arial"/>
          <w:sz w:val="18"/>
          <w:szCs w:val="18"/>
          <w:lang w:val="de-DE"/>
        </w:rPr>
      </w:pPr>
      <w:r>
        <w:rPr>
          <w:rFonts w:hint="default" w:ascii="Arial" w:hAnsi="Arial" w:eastAsia="Arial" w:cs="Arial"/>
          <w:b/>
          <w:bCs/>
          <w:color w:val="1A3F6F"/>
          <w:sz w:val="52"/>
          <w:szCs w:val="52"/>
        </w:rPr>
        <w:t>DiaTwin</w:t>
      </w:r>
      <w:r>
        <w:rPr>
          <w:rFonts w:hint="default" w:ascii="Arial" w:hAnsi="Arial" w:cs="Arial"/>
          <w:b/>
          <w:bCs/>
          <w:color w:val="1A3F6F"/>
          <w:sz w:val="52"/>
          <w:szCs w:val="52"/>
          <w:lang w:val="de-DE"/>
        </w:rPr>
        <w:t xml:space="preserve">  </w:t>
      </w:r>
      <w:r>
        <w:rPr>
          <w:rFonts w:hint="default" w:ascii="Arial" w:hAnsi="Arial" w:eastAsia="Arial" w:cs="Arial"/>
          <w:color w:val="555555"/>
          <w:sz w:val="16"/>
          <w:szCs w:val="16"/>
        </w:rPr>
        <w:t>Research Concept Brief  |  TRL 4–5  |  dia-twin.vercel.app</w:t>
      </w:r>
    </w:p>
    <w:p w14:paraId="4AC98218">
      <w:pPr>
        <w:spacing w:before="0" w:after="50"/>
        <w:rPr>
          <w:rFonts w:hint="default" w:ascii="Arial" w:hAnsi="Arial" w:cs="Arial"/>
          <w:sz w:val="18"/>
          <w:szCs w:val="18"/>
        </w:rPr>
      </w:pPr>
      <w:r>
        <w:rPr>
          <w:rFonts w:hint="default" w:ascii="Arial" w:hAnsi="Arial" w:eastAsia="Arial" w:cs="Arial"/>
          <w:i/>
          <w:iCs/>
          <w:color w:val="2E75B6"/>
          <w:sz w:val="22"/>
          <w:szCs w:val="22"/>
        </w:rPr>
        <w:t>Personalised Insulin Dosing Through Circadian-Aware Reinforcement Learning</w:t>
      </w:r>
    </w:p>
    <w:p w14:paraId="54C77E02">
      <w:pPr>
        <w:spacing w:before="140" w:after="50"/>
        <w:rPr>
          <w:rFonts w:hint="default" w:ascii="Arial" w:hAnsi="Arial" w:cs="Arial"/>
          <w:sz w:val="18"/>
          <w:szCs w:val="18"/>
        </w:rPr>
      </w:pPr>
      <w:r>
        <w:rPr>
          <w:rFonts w:hint="default" w:ascii="Arial" w:hAnsi="Arial" w:eastAsia="Arial" w:cs="Arial"/>
          <w:b/>
          <w:bCs/>
          <w:color w:val="2E75B6"/>
          <w:sz w:val="18"/>
          <w:szCs w:val="18"/>
        </w:rPr>
        <w:t>THE PROBLEM</w:t>
      </w:r>
    </w:p>
    <w:p w14:paraId="57E09F58">
      <w:pPr>
        <w:keepNext w:val="0"/>
        <w:keepLines w:val="0"/>
        <w:pageBreakBefore w:val="0"/>
        <w:widowControl/>
        <w:kinsoku/>
        <w:wordWrap/>
        <w:overflowPunct/>
        <w:topLinePunct w:val="0"/>
        <w:autoSpaceDE/>
        <w:autoSpaceDN/>
        <w:bidi w:val="0"/>
        <w:adjustRightInd/>
        <w:snapToGrid/>
        <w:spacing w:before="30" w:after="30" w:line="288" w:lineRule="auto"/>
        <w:textAlignment w:val="auto"/>
        <w:rPr>
          <w:rFonts w:hint="default" w:ascii="Arial" w:hAnsi="Arial" w:cs="Arial"/>
          <w:sz w:val="20"/>
          <w:szCs w:val="20"/>
        </w:rPr>
      </w:pPr>
      <w:r>
        <w:rPr>
          <w:rFonts w:hint="default" w:ascii="Arial" w:hAnsi="Arial" w:eastAsia="Arial" w:cs="Arial"/>
          <w:color w:val="555555"/>
          <w:sz w:val="20"/>
          <w:szCs w:val="20"/>
        </w:rPr>
        <w:t>Over 8 million people with Type 1 Diabetes world</w:t>
      </w:r>
      <w:r>
        <w:rPr>
          <w:rFonts w:hint="default" w:ascii="Arial" w:hAnsi="Arial" w:cs="Arial"/>
          <w:color w:val="555555"/>
          <w:sz w:val="20"/>
          <w:szCs w:val="20"/>
          <w:lang w:val="de-DE"/>
        </w:rPr>
        <w:t>-w</w:t>
      </w:r>
      <w:r>
        <w:rPr>
          <w:rFonts w:hint="default" w:ascii="Arial" w:hAnsi="Arial" w:eastAsia="Arial" w:cs="Arial"/>
          <w:color w:val="555555"/>
          <w:sz w:val="20"/>
          <w:szCs w:val="20"/>
        </w:rPr>
        <w:t>ide rely on insulin pens. Despite widespread CGM adoption, no affordable decision-support tool simultaneously accounts for insulin pharmacodynamics, meal absorption, physical activity, and the time-of-day variation in insulin sensitivity (circadian variability). Fixed correction ratios prescribed by clinicians cannot adapt, leading to chronic dosing errors, elevated hypoglycaemia risk, and high cognitive burden for patients and care teams.</w:t>
      </w:r>
    </w:p>
    <w:p w14:paraId="44E0530D">
      <w:pPr>
        <w:spacing w:before="50" w:after="0"/>
        <w:rPr>
          <w:rFonts w:hint="default" w:ascii="Arial" w:hAnsi="Arial" w:cs="Arial"/>
          <w:sz w:val="18"/>
          <w:szCs w:val="18"/>
        </w:rPr>
      </w:pPr>
    </w:p>
    <w:p w14:paraId="3B06E77B">
      <w:pPr>
        <w:spacing w:before="140" w:after="50"/>
        <w:rPr>
          <w:rFonts w:hint="default" w:ascii="Arial" w:hAnsi="Arial" w:cs="Arial"/>
          <w:sz w:val="21"/>
          <w:szCs w:val="21"/>
        </w:rPr>
      </w:pPr>
      <w:r>
        <w:rPr>
          <w:rFonts w:hint="default" w:ascii="Arial" w:hAnsi="Arial" w:eastAsia="Arial" w:cs="Arial"/>
          <w:b/>
          <w:bCs/>
          <w:color w:val="2E75B6"/>
          <w:sz w:val="21"/>
          <w:szCs w:val="21"/>
        </w:rPr>
        <w:t xml:space="preserve">HOW IT WORKS </w:t>
      </w:r>
      <w:r>
        <w:rPr>
          <w:rFonts w:hint="default" w:ascii="Arial" w:hAnsi="Arial" w:cs="Arial"/>
          <w:b/>
          <w:bCs/>
          <w:color w:val="2E75B6"/>
          <w:sz w:val="21"/>
          <w:szCs w:val="21"/>
          <w:lang w:val="de-DE"/>
        </w:rPr>
        <w:t>,</w:t>
      </w:r>
      <w:r>
        <w:rPr>
          <w:rFonts w:hint="default" w:ascii="Arial" w:hAnsi="Arial" w:eastAsia="Arial" w:cs="Arial"/>
          <w:b/>
          <w:bCs/>
          <w:color w:val="2E75B6"/>
          <w:sz w:val="21"/>
          <w:szCs w:val="21"/>
        </w:rPr>
        <w:t xml:space="preserve"> THE CONTEXTUAL DOSING PIPELINE</w:t>
      </w:r>
    </w:p>
    <w:p w14:paraId="5AA9A1E7">
      <w:pPr>
        <w:spacing w:before="30" w:after="30"/>
        <w:rPr>
          <w:rFonts w:hint="default" w:ascii="Arial" w:hAnsi="Arial" w:cs="Arial"/>
          <w:sz w:val="18"/>
          <w:szCs w:val="18"/>
        </w:rPr>
      </w:pPr>
      <w:r>
        <w:rPr>
          <w:rFonts w:hint="default" w:ascii="Arial" w:hAnsi="Arial" w:eastAsia="Arial" w:cs="Arial"/>
          <w:color w:val="555555"/>
          <w:sz w:val="18"/>
          <w:szCs w:val="18"/>
        </w:rPr>
        <w:t>Every insulin recommendation integrates all available patient context in a single on-device calculation:</w:t>
      </w:r>
    </w:p>
    <w:p w14:paraId="5F445EE9">
      <w:pPr>
        <w:spacing w:before="40" w:after="0"/>
        <w:rPr>
          <w:rFonts w:hint="default" w:ascii="Arial" w:hAnsi="Arial" w:cs="Arial"/>
          <w:sz w:val="18"/>
          <w:szCs w:val="18"/>
        </w:rPr>
      </w:pPr>
    </w:p>
    <w:tbl>
      <w:tblPr>
        <w:tblStyle w:val="9"/>
        <w:tblW w:w="10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55"/>
        <w:gridCol w:w="7584"/>
      </w:tblGrid>
      <w:tr w14:paraId="556E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6F4A88CE">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tcPr>
          <w:p w14:paraId="1E8D2A43">
            <w:pPr>
              <w:rPr>
                <w:rFonts w:hint="default" w:ascii="Arial" w:hAnsi="Arial" w:cs="Arial"/>
                <w:sz w:val="18"/>
                <w:szCs w:val="18"/>
              </w:rPr>
            </w:pPr>
            <w:r>
              <w:rPr>
                <w:rFonts w:hint="default" w:ascii="Arial" w:hAnsi="Arial" w:eastAsia="Arial" w:cs="Arial"/>
                <w:b/>
                <w:bCs/>
                <w:color w:val="222222"/>
                <w:sz w:val="16"/>
                <w:szCs w:val="16"/>
              </w:rPr>
              <w:t>Meal photo → carbs</w:t>
            </w:r>
          </w:p>
        </w:tc>
        <w:tc>
          <w:tcPr>
            <w:tcW w:w="7584" w:type="dxa"/>
            <w:tcBorders>
              <w:top w:val="nil"/>
              <w:left w:val="nil"/>
              <w:bottom w:val="nil"/>
              <w:right w:val="nil"/>
            </w:tcBorders>
            <w:shd w:val="clear" w:color="auto" w:fill="FAFBFC"/>
            <w:tcMar>
              <w:top w:w="60" w:type="dxa"/>
              <w:left w:w="110" w:type="dxa"/>
              <w:bottom w:w="60" w:type="dxa"/>
              <w:right w:w="80" w:type="dxa"/>
            </w:tcMar>
          </w:tcPr>
          <w:p w14:paraId="48422159">
            <w:pPr>
              <w:spacing w:line="240" w:lineRule="auto"/>
              <w:rPr>
                <w:rFonts w:hint="default" w:ascii="Arial" w:hAnsi="Arial" w:cs="Arial"/>
                <w:sz w:val="20"/>
                <w:szCs w:val="20"/>
              </w:rPr>
            </w:pPr>
            <w:r>
              <w:rPr>
                <w:rFonts w:hint="default" w:ascii="Arial" w:hAnsi="Arial" w:eastAsia="Arial" w:cs="Arial"/>
                <w:color w:val="555555"/>
                <w:sz w:val="18"/>
                <w:szCs w:val="18"/>
              </w:rPr>
              <w:t>Camera-based food recognition extracts macronutrients (carbs, protein, fat) and assigns an absorption profile (very fast → very slow) automatically</w:t>
            </w:r>
          </w:p>
        </w:tc>
      </w:tr>
      <w:tr w14:paraId="3A91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9" w:type="dxa"/>
            <w:gridSpan w:val="3"/>
            <w:tcBorders>
              <w:top w:val="nil"/>
              <w:left w:val="nil"/>
              <w:bottom w:val="single" w:color="EEEEEE" w:sz="0" w:space="0"/>
              <w:right w:val="nil"/>
            </w:tcBorders>
          </w:tcPr>
          <w:p w14:paraId="157E5557">
            <w:pPr>
              <w:spacing w:line="240" w:lineRule="auto"/>
              <w:rPr>
                <w:rFonts w:hint="default" w:ascii="Arial" w:hAnsi="Arial" w:cs="Arial"/>
                <w:sz w:val="20"/>
                <w:szCs w:val="20"/>
              </w:rPr>
            </w:pPr>
          </w:p>
        </w:tc>
      </w:tr>
      <w:tr w14:paraId="2B7A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5370A39B">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tcPr>
          <w:p w14:paraId="125555AB">
            <w:pPr>
              <w:rPr>
                <w:rFonts w:hint="default" w:ascii="Arial" w:hAnsi="Arial" w:cs="Arial"/>
                <w:sz w:val="18"/>
                <w:szCs w:val="18"/>
              </w:rPr>
            </w:pPr>
            <w:r>
              <w:rPr>
                <w:rFonts w:hint="default" w:ascii="Arial" w:hAnsi="Arial" w:eastAsia="Arial" w:cs="Arial"/>
                <w:b/>
                <w:bCs/>
                <w:color w:val="222222"/>
                <w:sz w:val="16"/>
                <w:szCs w:val="16"/>
              </w:rPr>
              <w:t>PK/PD modelling</w:t>
            </w:r>
          </w:p>
        </w:tc>
        <w:tc>
          <w:tcPr>
            <w:tcW w:w="7584" w:type="dxa"/>
            <w:tcBorders>
              <w:top w:val="nil"/>
              <w:left w:val="nil"/>
              <w:bottom w:val="nil"/>
              <w:right w:val="nil"/>
            </w:tcBorders>
            <w:shd w:val="clear" w:color="auto" w:fill="FAFBFC"/>
            <w:tcMar>
              <w:top w:w="60" w:type="dxa"/>
              <w:left w:w="110" w:type="dxa"/>
              <w:bottom w:w="60" w:type="dxa"/>
              <w:right w:w="80" w:type="dxa"/>
            </w:tcMar>
          </w:tcPr>
          <w:p w14:paraId="28CD8718">
            <w:pPr>
              <w:spacing w:line="240" w:lineRule="auto"/>
              <w:rPr>
                <w:rFonts w:hint="default" w:ascii="Arial" w:hAnsi="Arial" w:cs="Arial"/>
                <w:sz w:val="20"/>
                <w:szCs w:val="20"/>
              </w:rPr>
            </w:pPr>
            <w:r>
              <w:rPr>
                <w:rFonts w:hint="default" w:ascii="Arial" w:hAnsi="Arial" w:eastAsia="Arial" w:cs="Arial"/>
                <w:color w:val="555555"/>
                <w:sz w:val="18"/>
                <w:szCs w:val="18"/>
              </w:rPr>
              <w:t>IOB (Insulin-on-Board) and MOB (Meal-on-Board) computed via gamma-distribution curves; cumulative daily effects and predictive peak-overlap included</w:t>
            </w:r>
          </w:p>
        </w:tc>
      </w:tr>
      <w:tr w14:paraId="649A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9" w:type="dxa"/>
            <w:gridSpan w:val="3"/>
            <w:tcBorders>
              <w:top w:val="nil"/>
              <w:left w:val="nil"/>
              <w:bottom w:val="single" w:color="EEEEEE" w:sz="0" w:space="0"/>
              <w:right w:val="nil"/>
            </w:tcBorders>
          </w:tcPr>
          <w:p w14:paraId="76730FF3">
            <w:pPr>
              <w:spacing w:line="240" w:lineRule="auto"/>
              <w:rPr>
                <w:rFonts w:hint="default" w:ascii="Arial" w:hAnsi="Arial" w:cs="Arial"/>
                <w:sz w:val="20"/>
                <w:szCs w:val="20"/>
              </w:rPr>
            </w:pPr>
          </w:p>
        </w:tc>
      </w:tr>
      <w:tr w14:paraId="12C6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0C11004A">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tcPr>
          <w:p w14:paraId="3028F9D3">
            <w:pPr>
              <w:rPr>
                <w:rFonts w:hint="default" w:ascii="Arial" w:hAnsi="Arial" w:cs="Arial"/>
                <w:sz w:val="18"/>
                <w:szCs w:val="18"/>
              </w:rPr>
            </w:pPr>
            <w:r>
              <w:rPr>
                <w:rFonts w:hint="default" w:ascii="Arial" w:hAnsi="Arial" w:eastAsia="Arial" w:cs="Arial"/>
                <w:b/>
                <w:bCs/>
                <w:color w:val="222222"/>
                <w:sz w:val="16"/>
                <w:szCs w:val="16"/>
              </w:rPr>
              <w:t>Activity adjustment</w:t>
            </w:r>
          </w:p>
        </w:tc>
        <w:tc>
          <w:tcPr>
            <w:tcW w:w="7584" w:type="dxa"/>
            <w:tcBorders>
              <w:top w:val="nil"/>
              <w:left w:val="nil"/>
              <w:bottom w:val="nil"/>
              <w:right w:val="nil"/>
            </w:tcBorders>
            <w:shd w:val="clear" w:color="auto" w:fill="FAFBFC"/>
            <w:tcMar>
              <w:top w:w="60" w:type="dxa"/>
              <w:left w:w="110" w:type="dxa"/>
              <w:bottom w:w="60" w:type="dxa"/>
              <w:right w:w="80" w:type="dxa"/>
            </w:tcMar>
          </w:tcPr>
          <w:p w14:paraId="492579A3">
            <w:pPr>
              <w:spacing w:line="240" w:lineRule="auto"/>
              <w:rPr>
                <w:rFonts w:hint="default" w:ascii="Arial" w:hAnsi="Arial" w:cs="Arial"/>
                <w:sz w:val="20"/>
                <w:szCs w:val="20"/>
              </w:rPr>
            </w:pPr>
            <w:r>
              <w:rPr>
                <w:rFonts w:hint="default" w:ascii="Arial" w:hAnsi="Arial" w:eastAsia="Arial" w:cs="Arial"/>
                <w:color w:val="555555"/>
                <w:sz w:val="18"/>
                <w:szCs w:val="18"/>
              </w:rPr>
              <w:t xml:space="preserve">Logged and wearable-derived activity modifies insulin sensitivity in real time </w:t>
            </w:r>
            <w:r>
              <w:rPr>
                <w:rFonts w:hint="default" w:ascii="Arial" w:hAnsi="Arial" w:cs="Arial"/>
                <w:color w:val="555555"/>
                <w:sz w:val="18"/>
                <w:szCs w:val="18"/>
                <w:lang w:val="de-DE"/>
              </w:rPr>
              <w:t>,</w:t>
            </w:r>
            <w:r>
              <w:rPr>
                <w:rFonts w:hint="default" w:ascii="Arial" w:hAnsi="Arial" w:eastAsia="Arial" w:cs="Arial"/>
                <w:color w:val="555555"/>
                <w:sz w:val="18"/>
                <w:szCs w:val="18"/>
              </w:rPr>
              <w:t xml:space="preserve"> both acute uptake (GLUT4-independent) and prolonged post-exercise effect</w:t>
            </w:r>
          </w:p>
        </w:tc>
      </w:tr>
      <w:tr w14:paraId="65FF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9" w:type="dxa"/>
            <w:gridSpan w:val="3"/>
            <w:tcBorders>
              <w:top w:val="nil"/>
              <w:left w:val="nil"/>
              <w:bottom w:val="single" w:color="EEEEEE" w:sz="0" w:space="0"/>
              <w:right w:val="nil"/>
            </w:tcBorders>
          </w:tcPr>
          <w:p w14:paraId="4022C057">
            <w:pPr>
              <w:spacing w:line="240" w:lineRule="auto"/>
              <w:rPr>
                <w:rFonts w:hint="default" w:ascii="Arial" w:hAnsi="Arial" w:cs="Arial"/>
                <w:sz w:val="20"/>
                <w:szCs w:val="20"/>
              </w:rPr>
            </w:pPr>
          </w:p>
        </w:tc>
      </w:tr>
      <w:tr w14:paraId="5330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483A7D2D">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tcPr>
          <w:p w14:paraId="1120DD58">
            <w:pPr>
              <w:rPr>
                <w:rFonts w:hint="default" w:ascii="Arial" w:hAnsi="Arial" w:cs="Arial"/>
                <w:sz w:val="18"/>
                <w:szCs w:val="18"/>
              </w:rPr>
            </w:pPr>
            <w:r>
              <w:rPr>
                <w:rFonts w:hint="default" w:ascii="Arial" w:hAnsi="Arial" w:eastAsia="Arial" w:cs="Arial"/>
                <w:b/>
                <w:bCs/>
                <w:color w:val="222222"/>
                <w:sz w:val="16"/>
                <w:szCs w:val="16"/>
              </w:rPr>
              <w:t>BG + circadian baseline</w:t>
            </w:r>
          </w:p>
        </w:tc>
        <w:tc>
          <w:tcPr>
            <w:tcW w:w="7584" w:type="dxa"/>
            <w:tcBorders>
              <w:top w:val="nil"/>
              <w:left w:val="nil"/>
              <w:bottom w:val="nil"/>
              <w:right w:val="nil"/>
            </w:tcBorders>
            <w:shd w:val="clear" w:color="auto" w:fill="FAFBFC"/>
            <w:tcMar>
              <w:top w:w="60" w:type="dxa"/>
              <w:left w:w="110" w:type="dxa"/>
              <w:bottom w:w="60" w:type="dxa"/>
              <w:right w:w="80" w:type="dxa"/>
            </w:tcMar>
          </w:tcPr>
          <w:p w14:paraId="6D5A8439">
            <w:pPr>
              <w:spacing w:line="240" w:lineRule="auto"/>
              <w:rPr>
                <w:rFonts w:hint="default" w:ascii="Arial" w:hAnsi="Arial" w:cs="Arial"/>
                <w:sz w:val="20"/>
                <w:szCs w:val="20"/>
              </w:rPr>
            </w:pPr>
            <w:r>
              <w:rPr>
                <w:rFonts w:hint="default" w:ascii="Arial" w:hAnsi="Arial" w:eastAsia="Arial" w:cs="Arial"/>
                <w:color w:val="555555"/>
                <w:sz w:val="18"/>
                <w:szCs w:val="18"/>
              </w:rPr>
              <w:t>Current glucose (CGM or finger-prick) corrected against a 24-hour circadian anchor: overnight nadir, dawn phenomenon, and daytime plateau</w:t>
            </w:r>
          </w:p>
        </w:tc>
      </w:tr>
      <w:tr w14:paraId="76A2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9" w:type="dxa"/>
            <w:gridSpan w:val="3"/>
            <w:tcBorders>
              <w:top w:val="nil"/>
              <w:left w:val="nil"/>
              <w:bottom w:val="single" w:color="EEEEEE" w:sz="0" w:space="0"/>
              <w:right w:val="nil"/>
            </w:tcBorders>
          </w:tcPr>
          <w:p w14:paraId="49A7E462">
            <w:pPr>
              <w:spacing w:line="240" w:lineRule="auto"/>
              <w:rPr>
                <w:rFonts w:hint="default" w:ascii="Arial" w:hAnsi="Arial" w:cs="Arial"/>
                <w:sz w:val="20"/>
                <w:szCs w:val="20"/>
              </w:rPr>
            </w:pPr>
          </w:p>
        </w:tc>
      </w:tr>
      <w:tr w14:paraId="5B37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4E549126">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tcPr>
          <w:p w14:paraId="1116776B">
            <w:pPr>
              <w:rPr>
                <w:rFonts w:hint="default" w:ascii="Arial" w:hAnsi="Arial" w:cs="Arial"/>
                <w:sz w:val="18"/>
                <w:szCs w:val="18"/>
              </w:rPr>
            </w:pPr>
            <w:r>
              <w:rPr>
                <w:rFonts w:hint="default" w:ascii="Arial" w:hAnsi="Arial" w:eastAsia="Arial" w:cs="Arial"/>
                <w:b/>
                <w:bCs/>
                <w:color w:val="222222"/>
                <w:sz w:val="16"/>
                <w:szCs w:val="16"/>
              </w:rPr>
              <w:t>Dose + insulin type</w:t>
            </w:r>
          </w:p>
        </w:tc>
        <w:tc>
          <w:tcPr>
            <w:tcW w:w="7584" w:type="dxa"/>
            <w:tcBorders>
              <w:top w:val="nil"/>
              <w:left w:val="nil"/>
              <w:bottom w:val="nil"/>
              <w:right w:val="nil"/>
            </w:tcBorders>
            <w:shd w:val="clear" w:color="auto" w:fill="FAFBFC"/>
            <w:tcMar>
              <w:top w:w="60" w:type="dxa"/>
              <w:left w:w="110" w:type="dxa"/>
              <w:bottom w:w="60" w:type="dxa"/>
              <w:right w:w="80" w:type="dxa"/>
            </w:tcMar>
          </w:tcPr>
          <w:p w14:paraId="167A4571">
            <w:pPr>
              <w:spacing w:line="240" w:lineRule="auto"/>
              <w:rPr>
                <w:rFonts w:hint="default" w:ascii="Arial" w:hAnsi="Arial" w:cs="Arial"/>
                <w:sz w:val="20"/>
                <w:szCs w:val="20"/>
              </w:rPr>
            </w:pPr>
            <w:r>
              <w:rPr>
                <w:rFonts w:hint="default" w:ascii="Arial" w:hAnsi="Arial" w:eastAsia="Arial" w:cs="Arial"/>
                <w:color w:val="555555"/>
                <w:sz w:val="18"/>
                <w:szCs w:val="18"/>
              </w:rPr>
              <w:t>Suggested units (rounded to 0.1u, 0.5u safety floor) plus the appropriate insulin analogue (rapid vs standard) matched to the meal's absorption profile</w:t>
            </w:r>
          </w:p>
        </w:tc>
      </w:tr>
      <w:tr w14:paraId="354C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39" w:type="dxa"/>
            <w:gridSpan w:val="3"/>
            <w:tcBorders>
              <w:top w:val="nil"/>
              <w:left w:val="nil"/>
              <w:bottom w:val="single" w:color="EEEEEE" w:sz="0" w:space="0"/>
              <w:right w:val="nil"/>
            </w:tcBorders>
          </w:tcPr>
          <w:p w14:paraId="78B3C3AF">
            <w:pPr>
              <w:spacing w:line="240" w:lineRule="auto"/>
              <w:rPr>
                <w:rFonts w:hint="default" w:ascii="Arial" w:hAnsi="Arial" w:cs="Arial"/>
                <w:sz w:val="20"/>
                <w:szCs w:val="20"/>
              </w:rPr>
            </w:pPr>
          </w:p>
        </w:tc>
      </w:tr>
      <w:tr w14:paraId="43E0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2E75B6"/>
            <w:tcMar>
              <w:top w:w="60" w:type="dxa"/>
              <w:left w:w="80" w:type="dxa"/>
              <w:bottom w:w="60" w:type="dxa"/>
              <w:right w:w="80" w:type="dxa"/>
            </w:tcMar>
            <w:vAlign w:val="center"/>
          </w:tcPr>
          <w:p w14:paraId="1C02378C">
            <w:pPr>
              <w:jc w:val="center"/>
              <w:rPr>
                <w:rFonts w:hint="default" w:ascii="Arial" w:hAnsi="Arial" w:cs="Arial"/>
                <w:sz w:val="18"/>
                <w:szCs w:val="18"/>
              </w:rPr>
            </w:pPr>
            <w:r>
              <w:rPr>
                <w:rFonts w:hint="default" w:ascii="Arial" w:hAnsi="Arial" w:eastAsia="Arial" w:cs="Arial"/>
                <w:b/>
                <w:bCs/>
                <w:color w:val="FFFFFF"/>
                <w:sz w:val="16"/>
                <w:szCs w:val="16"/>
              </w:rPr>
              <w:t>🤖</w:t>
            </w:r>
          </w:p>
        </w:tc>
        <w:tc>
          <w:tcPr>
            <w:tcW w:w="1855" w:type="dxa"/>
            <w:tcBorders>
              <w:top w:val="nil"/>
              <w:left w:val="nil"/>
              <w:bottom w:val="nil"/>
              <w:right w:val="nil"/>
            </w:tcBorders>
            <w:shd w:val="clear" w:color="auto" w:fill="F0F4FA"/>
            <w:tcMar>
              <w:top w:w="60" w:type="dxa"/>
              <w:left w:w="110" w:type="dxa"/>
              <w:bottom w:w="60" w:type="dxa"/>
              <w:right w:w="80" w:type="dxa"/>
            </w:tcMar>
            <w:vAlign w:val="top"/>
          </w:tcPr>
          <w:p w14:paraId="022A1C52">
            <w:pPr>
              <w:rPr>
                <w:rFonts w:hint="default" w:ascii="Arial" w:hAnsi="Arial" w:eastAsia="Arial" w:cs="Arial"/>
                <w:sz w:val="18"/>
                <w:szCs w:val="18"/>
              </w:rPr>
            </w:pPr>
            <w:r>
              <w:rPr>
                <w:rFonts w:hint="default" w:ascii="Arial" w:hAnsi="Arial" w:eastAsia="Arial" w:cs="Arial"/>
                <w:b/>
                <w:bCs/>
                <w:color w:val="222222"/>
                <w:sz w:val="16"/>
                <w:szCs w:val="16"/>
              </w:rPr>
              <w:t>Clinician-guided personalisation</w:t>
            </w:r>
          </w:p>
        </w:tc>
        <w:tc>
          <w:tcPr>
            <w:tcW w:w="7584" w:type="dxa"/>
            <w:tcBorders>
              <w:top w:val="nil"/>
              <w:left w:val="nil"/>
              <w:bottom w:val="nil"/>
              <w:right w:val="nil"/>
            </w:tcBorders>
            <w:shd w:val="clear" w:color="auto" w:fill="FAFBFC"/>
            <w:tcMar>
              <w:top w:w="60" w:type="dxa"/>
              <w:left w:w="110" w:type="dxa"/>
              <w:bottom w:w="60" w:type="dxa"/>
              <w:right w:w="80" w:type="dxa"/>
            </w:tcMar>
          </w:tcPr>
          <w:p w14:paraId="764D5293">
            <w:pPr>
              <w:spacing w:line="240" w:lineRule="auto"/>
              <w:rPr>
                <w:rFonts w:hint="default" w:ascii="Arial" w:hAnsi="Arial" w:cs="Arial"/>
                <w:sz w:val="20"/>
                <w:szCs w:val="20"/>
              </w:rPr>
            </w:pPr>
            <w:r>
              <w:rPr>
                <w:rFonts w:hint="default" w:ascii="Arial" w:hAnsi="Arial" w:eastAsia="Arial" w:cs="Arial"/>
                <w:color w:val="555555"/>
                <w:sz w:val="18"/>
                <w:szCs w:val="18"/>
              </w:rPr>
              <w:t>All meal–insulin–activity–outcome tuples are logged and displayed in patient charts accessible to supervising clinicians. Doctors review glucose trend graphs and can propose ISF/ICR factor updates directly within the platform. Full ML-driven automated parameter refinement per 2-hour circadian block is planned for the next development phase.</w:t>
            </w:r>
          </w:p>
        </w:tc>
      </w:tr>
    </w:tbl>
    <w:p w14:paraId="24763259">
      <w:pPr>
        <w:spacing w:before="140" w:after="50"/>
        <w:rPr>
          <w:rFonts w:hint="default" w:ascii="Arial" w:hAnsi="Arial" w:cs="Arial"/>
          <w:sz w:val="18"/>
          <w:szCs w:val="18"/>
        </w:rPr>
      </w:pPr>
      <w:r>
        <w:rPr>
          <w:rFonts w:hint="default" w:ascii="Arial" w:hAnsi="Arial" w:eastAsia="Arial" w:cs="Arial"/>
          <w:b/>
          <w:bCs/>
          <w:color w:val="2E75B6"/>
          <w:sz w:val="18"/>
          <w:szCs w:val="18"/>
        </w:rPr>
        <w:t>WHAT SETS IT APART</w:t>
      </w:r>
    </w:p>
    <w:tbl>
      <w:tblPr>
        <w:tblStyle w:val="9"/>
        <w:tblW w:w="10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1"/>
        <w:gridCol w:w="8028"/>
      </w:tblGrid>
      <w:tr w14:paraId="3CCD1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41" w:type="dxa"/>
            <w:tcBorders>
              <w:top w:val="single" w:color="CCCCCC" w:sz="0" w:space="0"/>
              <w:left w:val="single" w:color="CCCCCC" w:sz="0" w:space="0"/>
              <w:bottom w:val="single" w:color="CCCCCC" w:sz="0" w:space="0"/>
              <w:right w:val="single" w:color="CCCCCC" w:sz="0" w:space="0"/>
            </w:tcBorders>
            <w:shd w:val="clear" w:color="auto" w:fill="D4EDDA"/>
            <w:tcMar>
              <w:top w:w="70" w:type="dxa"/>
              <w:left w:w="110" w:type="dxa"/>
              <w:bottom w:w="70" w:type="dxa"/>
              <w:right w:w="110" w:type="dxa"/>
            </w:tcMar>
          </w:tcPr>
          <w:p w14:paraId="4921354C">
            <w:pPr>
              <w:rPr>
                <w:rFonts w:hint="default" w:ascii="Arial" w:hAnsi="Arial" w:cs="Arial"/>
                <w:sz w:val="20"/>
                <w:szCs w:val="20"/>
              </w:rPr>
            </w:pPr>
            <w:r>
              <w:rPr>
                <w:rFonts w:hint="default" w:ascii="Arial" w:hAnsi="Arial" w:eastAsia="Arial" w:cs="Arial"/>
                <w:b/>
                <w:bCs/>
                <w:color w:val="1A3F6F"/>
                <w:sz w:val="18"/>
                <w:szCs w:val="18"/>
              </w:rPr>
              <w:t>Photo-to-dose</w:t>
            </w:r>
          </w:p>
        </w:tc>
        <w:tc>
          <w:tcPr>
            <w:tcW w:w="8028" w:type="dxa"/>
            <w:tcBorders>
              <w:top w:val="single" w:color="CCCCCC" w:sz="0" w:space="0"/>
              <w:left w:val="single" w:color="CCCCCC" w:sz="0" w:space="0"/>
              <w:bottom w:val="single" w:color="CCCCCC" w:sz="0" w:space="0"/>
              <w:right w:val="single" w:color="CCCCCC" w:sz="0" w:space="0"/>
            </w:tcBorders>
            <w:shd w:val="clear" w:color="auto" w:fill="F0FFF4"/>
            <w:tcMar>
              <w:top w:w="70" w:type="dxa"/>
              <w:left w:w="110" w:type="dxa"/>
              <w:bottom w:w="70" w:type="dxa"/>
              <w:right w:w="110" w:type="dxa"/>
            </w:tcMar>
          </w:tcPr>
          <w:p w14:paraId="5A402C72">
            <w:pPr>
              <w:rPr>
                <w:rFonts w:hint="default" w:ascii="Arial" w:hAnsi="Arial" w:cs="Arial"/>
                <w:sz w:val="20"/>
                <w:szCs w:val="20"/>
              </w:rPr>
            </w:pPr>
            <w:r>
              <w:rPr>
                <w:rFonts w:hint="default" w:ascii="Arial" w:hAnsi="Arial" w:eastAsia="Arial" w:cs="Arial"/>
                <w:color w:val="555555"/>
                <w:sz w:val="18"/>
                <w:szCs w:val="18"/>
              </w:rPr>
              <w:t>Point camera at a meal → carb estimate → insulin suggestion. No manual entry required</w:t>
            </w:r>
          </w:p>
        </w:tc>
      </w:tr>
      <w:tr w14:paraId="30A0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1B84DEBF">
            <w:pPr>
              <w:rPr>
                <w:rFonts w:hint="default" w:ascii="Arial" w:hAnsi="Arial" w:cs="Arial"/>
                <w:sz w:val="20"/>
                <w:szCs w:val="20"/>
              </w:rPr>
            </w:pPr>
            <w:r>
              <w:rPr>
                <w:rFonts w:hint="default" w:ascii="Arial" w:hAnsi="Arial" w:eastAsia="Arial" w:cs="Arial"/>
                <w:b/>
                <w:bCs/>
                <w:color w:val="1A3F6F"/>
                <w:sz w:val="18"/>
                <w:szCs w:val="18"/>
              </w:rPr>
              <w:t>Full context window</w:t>
            </w:r>
          </w:p>
        </w:tc>
        <w:tc>
          <w:tcPr>
            <w:tcW w:w="8028"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B0208F8">
            <w:pPr>
              <w:rPr>
                <w:rFonts w:hint="default" w:ascii="Arial" w:hAnsi="Arial" w:cs="Arial"/>
                <w:sz w:val="20"/>
                <w:szCs w:val="20"/>
              </w:rPr>
            </w:pPr>
            <w:r>
              <w:rPr>
                <w:rFonts w:hint="default" w:ascii="Arial" w:hAnsi="Arial" w:eastAsia="Arial" w:cs="Arial"/>
                <w:color w:val="555555"/>
                <w:sz w:val="18"/>
                <w:szCs w:val="18"/>
              </w:rPr>
              <w:t>Saved meals, doses, activity logs, and BG readings all contribute to every new recommendation — not just the current meal</w:t>
            </w:r>
          </w:p>
        </w:tc>
      </w:tr>
      <w:tr w14:paraId="1436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1" w:type="dxa"/>
            <w:tcBorders>
              <w:top w:val="single" w:color="CCCCCC" w:sz="0" w:space="0"/>
              <w:left w:val="single" w:color="CCCCCC" w:sz="0" w:space="0"/>
              <w:bottom w:val="single" w:color="CCCCCC" w:sz="0" w:space="0"/>
              <w:right w:val="single" w:color="CCCCCC" w:sz="0" w:space="0"/>
            </w:tcBorders>
            <w:shd w:val="clear" w:color="auto" w:fill="D4EDDA"/>
            <w:tcMar>
              <w:top w:w="70" w:type="dxa"/>
              <w:left w:w="110" w:type="dxa"/>
              <w:bottom w:w="70" w:type="dxa"/>
              <w:right w:w="110" w:type="dxa"/>
            </w:tcMar>
          </w:tcPr>
          <w:p w14:paraId="00E60950">
            <w:pPr>
              <w:rPr>
                <w:rFonts w:hint="default" w:ascii="Arial" w:hAnsi="Arial" w:cs="Arial"/>
                <w:sz w:val="20"/>
                <w:szCs w:val="20"/>
              </w:rPr>
            </w:pPr>
            <w:r>
              <w:rPr>
                <w:rFonts w:hint="default" w:ascii="Arial" w:hAnsi="Arial" w:eastAsia="Arial" w:cs="Arial"/>
                <w:b/>
                <w:bCs/>
                <w:color w:val="1A3F6F"/>
                <w:sz w:val="18"/>
                <w:szCs w:val="18"/>
              </w:rPr>
              <w:t>Circadian adaptation</w:t>
            </w:r>
          </w:p>
        </w:tc>
        <w:tc>
          <w:tcPr>
            <w:tcW w:w="8028" w:type="dxa"/>
            <w:tcBorders>
              <w:top w:val="single" w:color="CCCCCC" w:sz="0" w:space="0"/>
              <w:left w:val="single" w:color="CCCCCC" w:sz="0" w:space="0"/>
              <w:bottom w:val="single" w:color="CCCCCC" w:sz="0" w:space="0"/>
              <w:right w:val="single" w:color="CCCCCC" w:sz="0" w:space="0"/>
            </w:tcBorders>
            <w:shd w:val="clear" w:color="auto" w:fill="F0FFF4"/>
            <w:tcMar>
              <w:top w:w="70" w:type="dxa"/>
              <w:left w:w="110" w:type="dxa"/>
              <w:bottom w:w="70" w:type="dxa"/>
              <w:right w:w="110" w:type="dxa"/>
            </w:tcMar>
          </w:tcPr>
          <w:p w14:paraId="41C6124D">
            <w:pPr>
              <w:rPr>
                <w:rFonts w:hint="default" w:ascii="Arial" w:hAnsi="Arial" w:cs="Arial"/>
                <w:sz w:val="20"/>
                <w:szCs w:val="20"/>
              </w:rPr>
            </w:pPr>
            <w:r>
              <w:rPr>
                <w:rFonts w:hint="default" w:ascii="Arial" w:hAnsi="Arial" w:eastAsia="Arial" w:cs="Arial"/>
                <w:color w:val="555555"/>
                <w:sz w:val="18"/>
                <w:szCs w:val="18"/>
              </w:rPr>
              <w:t>Time-of-day ISF/ICR personalisation via RL  absent from all current pen-user tools</w:t>
            </w:r>
          </w:p>
        </w:tc>
      </w:tr>
      <w:tr w14:paraId="5E34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10" w:type="dxa"/>
              <w:bottom w:w="70" w:type="dxa"/>
              <w:right w:w="110" w:type="dxa"/>
            </w:tcMar>
          </w:tcPr>
          <w:p w14:paraId="4FCB1928">
            <w:pPr>
              <w:rPr>
                <w:rFonts w:hint="default" w:ascii="Arial" w:hAnsi="Arial" w:cs="Arial"/>
                <w:sz w:val="20"/>
                <w:szCs w:val="20"/>
              </w:rPr>
            </w:pPr>
            <w:r>
              <w:rPr>
                <w:rFonts w:hint="default" w:ascii="Arial" w:hAnsi="Arial" w:eastAsia="Arial" w:cs="Arial"/>
                <w:b/>
                <w:bCs/>
                <w:color w:val="1A3F6F"/>
                <w:sz w:val="18"/>
                <w:szCs w:val="18"/>
              </w:rPr>
              <w:t>No pump required</w:t>
            </w:r>
          </w:p>
        </w:tc>
        <w:tc>
          <w:tcPr>
            <w:tcW w:w="8028"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C76B863">
            <w:pPr>
              <w:rPr>
                <w:rFonts w:hint="default" w:ascii="Arial" w:hAnsi="Arial" w:cs="Arial"/>
                <w:sz w:val="20"/>
                <w:szCs w:val="20"/>
              </w:rPr>
            </w:pPr>
            <w:r>
              <w:rPr>
                <w:rFonts w:hint="default" w:ascii="Arial" w:hAnsi="Arial" w:eastAsia="Arial" w:cs="Arial"/>
                <w:color w:val="555555"/>
                <w:sz w:val="18"/>
                <w:szCs w:val="18"/>
              </w:rPr>
              <w:t>Operates entirely with standard insulin pens and finger-prick or CGM data</w:t>
            </w:r>
          </w:p>
        </w:tc>
      </w:tr>
      <w:tr w14:paraId="3BB4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1" w:type="dxa"/>
            <w:tcBorders>
              <w:top w:val="single" w:color="CCCCCC" w:sz="0" w:space="0"/>
              <w:left w:val="single" w:color="CCCCCC" w:sz="0" w:space="0"/>
              <w:bottom w:val="single" w:color="CCCCCC" w:sz="0" w:space="0"/>
              <w:right w:val="single" w:color="CCCCCC" w:sz="0" w:space="0"/>
            </w:tcBorders>
            <w:shd w:val="clear" w:color="auto" w:fill="D4EDDA"/>
            <w:tcMar>
              <w:top w:w="70" w:type="dxa"/>
              <w:left w:w="110" w:type="dxa"/>
              <w:bottom w:w="70" w:type="dxa"/>
              <w:right w:w="110" w:type="dxa"/>
            </w:tcMar>
          </w:tcPr>
          <w:p w14:paraId="112BCF97">
            <w:pPr>
              <w:rPr>
                <w:rFonts w:hint="default" w:ascii="Arial" w:hAnsi="Arial" w:cs="Arial"/>
                <w:sz w:val="20"/>
                <w:szCs w:val="20"/>
              </w:rPr>
            </w:pPr>
            <w:r>
              <w:rPr>
                <w:rFonts w:hint="default" w:ascii="Arial" w:hAnsi="Arial" w:eastAsia="Arial" w:cs="Arial"/>
                <w:b/>
                <w:bCs/>
                <w:color w:val="1A3F6F"/>
                <w:sz w:val="18"/>
                <w:szCs w:val="18"/>
              </w:rPr>
              <w:t>Equity by design</w:t>
            </w:r>
          </w:p>
        </w:tc>
        <w:tc>
          <w:tcPr>
            <w:tcW w:w="8028" w:type="dxa"/>
            <w:tcBorders>
              <w:top w:val="single" w:color="CCCCCC" w:sz="0" w:space="0"/>
              <w:left w:val="single" w:color="CCCCCC" w:sz="0" w:space="0"/>
              <w:bottom w:val="single" w:color="CCCCCC" w:sz="0" w:space="0"/>
              <w:right w:val="single" w:color="CCCCCC" w:sz="0" w:space="0"/>
            </w:tcBorders>
            <w:shd w:val="clear" w:color="auto" w:fill="F0FFF4"/>
            <w:tcMar>
              <w:top w:w="70" w:type="dxa"/>
              <w:left w:w="110" w:type="dxa"/>
              <w:bottom w:w="70" w:type="dxa"/>
              <w:right w:w="110" w:type="dxa"/>
            </w:tcMar>
          </w:tcPr>
          <w:p w14:paraId="74916F39">
            <w:pPr>
              <w:rPr>
                <w:rFonts w:hint="default" w:ascii="Arial" w:hAnsi="Arial" w:cs="Arial"/>
                <w:sz w:val="20"/>
                <w:szCs w:val="20"/>
              </w:rPr>
            </w:pPr>
            <w:r>
              <w:rPr>
                <w:rFonts w:hint="default" w:ascii="Arial" w:hAnsi="Arial" w:cs="Arial"/>
                <w:color w:val="555555"/>
                <w:sz w:val="18"/>
                <w:szCs w:val="18"/>
                <w:lang w:val="de-DE"/>
              </w:rPr>
              <w:t xml:space="preserve">Designed </w:t>
            </w:r>
            <w:r>
              <w:rPr>
                <w:rFonts w:hint="default" w:ascii="Arial" w:hAnsi="Arial" w:eastAsia="Arial" w:cs="Arial"/>
                <w:color w:val="555555"/>
                <w:sz w:val="18"/>
                <w:szCs w:val="18"/>
              </w:rPr>
              <w:t xml:space="preserve">for settings with limited CGM access </w:t>
            </w:r>
            <w:r>
              <w:rPr>
                <w:rFonts w:hint="default" w:ascii="Arial" w:hAnsi="Arial" w:cs="Arial"/>
                <w:color w:val="555555"/>
                <w:sz w:val="18"/>
                <w:szCs w:val="18"/>
                <w:lang w:val="de-DE"/>
              </w:rPr>
              <w:t>,</w:t>
            </w:r>
            <w:r>
              <w:rPr>
                <w:rFonts w:hint="default" w:ascii="Arial" w:hAnsi="Arial" w:eastAsia="Arial" w:cs="Arial"/>
                <w:color w:val="555555"/>
                <w:sz w:val="18"/>
                <w:szCs w:val="18"/>
              </w:rPr>
              <w:t xml:space="preserve"> a planned LMIC arm</w:t>
            </w:r>
          </w:p>
        </w:tc>
      </w:tr>
    </w:tbl>
    <w:p w14:paraId="1BF54FBF">
      <w:pPr>
        <w:spacing w:before="140" w:after="50"/>
        <w:rPr>
          <w:rFonts w:hint="default" w:ascii="Arial" w:hAnsi="Arial" w:cs="Arial"/>
          <w:sz w:val="18"/>
          <w:szCs w:val="18"/>
        </w:rPr>
      </w:pPr>
      <w:r>
        <w:rPr>
          <w:rFonts w:hint="default" w:ascii="Arial" w:hAnsi="Arial" w:eastAsia="Arial" w:cs="Arial"/>
          <w:b/>
          <w:bCs/>
          <w:color w:val="2E75B6"/>
          <w:sz w:val="18"/>
          <w:szCs w:val="18"/>
        </w:rPr>
        <w:t>CURRENT STATUS &amp; CREDENTIALS</w:t>
      </w:r>
      <w:bookmarkStart w:id="0" w:name="_GoBack"/>
      <w:bookmarkEnd w:id="0"/>
    </w:p>
    <w:tbl>
      <w:tblPr>
        <w:tblStyle w:val="9"/>
        <w:tblW w:w="9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3"/>
        <w:gridCol w:w="8376"/>
      </w:tblGrid>
      <w:tr w14:paraId="50BE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3" w:type="dxa"/>
            <w:tcBorders>
              <w:top w:val="nil"/>
              <w:left w:val="nil"/>
              <w:bottom w:val="nil"/>
              <w:right w:val="nil"/>
            </w:tcBorders>
            <w:tcMar>
              <w:top w:w="35" w:type="dxa"/>
              <w:left w:w="0" w:type="dxa"/>
              <w:bottom w:w="35" w:type="dxa"/>
              <w:right w:w="80" w:type="dxa"/>
            </w:tcMar>
          </w:tcPr>
          <w:p w14:paraId="2C4C0004">
            <w:pPr>
              <w:rPr>
                <w:rFonts w:hint="default" w:ascii="Arial" w:hAnsi="Arial" w:cs="Arial"/>
                <w:sz w:val="20"/>
                <w:szCs w:val="20"/>
              </w:rPr>
            </w:pPr>
            <w:r>
              <w:rPr>
                <w:rFonts w:hint="default" w:ascii="Arial" w:hAnsi="Arial" w:eastAsia="Arial" w:cs="Arial"/>
                <w:b/>
                <w:bCs/>
                <w:color w:val="1A3F6F"/>
                <w:sz w:val="18"/>
                <w:szCs w:val="18"/>
              </w:rPr>
              <w:t>Prototype</w:t>
            </w:r>
          </w:p>
        </w:tc>
        <w:tc>
          <w:tcPr>
            <w:tcW w:w="8376" w:type="dxa"/>
            <w:tcBorders>
              <w:top w:val="nil"/>
              <w:left w:val="nil"/>
              <w:bottom w:val="nil"/>
              <w:right w:val="nil"/>
            </w:tcBorders>
            <w:tcMar>
              <w:top w:w="35" w:type="dxa"/>
              <w:left w:w="0" w:type="dxa"/>
              <w:bottom w:w="35" w:type="dxa"/>
              <w:right w:w="0" w:type="dxa"/>
            </w:tcMar>
          </w:tcPr>
          <w:p w14:paraId="2BA25868">
            <w:pPr>
              <w:ind w:left="196" w:leftChars="103" w:firstLine="3" w:firstLineChars="0"/>
              <w:rPr>
                <w:rFonts w:hint="default" w:ascii="Arial" w:hAnsi="Arial" w:cs="Arial"/>
                <w:sz w:val="20"/>
                <w:szCs w:val="20"/>
              </w:rPr>
            </w:pPr>
            <w:r>
              <w:rPr>
                <w:rFonts w:hint="default" w:ascii="Arial" w:hAnsi="Arial" w:eastAsia="Arial" w:cs="Arial"/>
                <w:color w:val="555555"/>
                <w:sz w:val="18"/>
                <w:szCs w:val="18"/>
              </w:rPr>
              <w:t>Live web app + Android app — deployable, demo-ready (dia-twin.vercel.app)</w:t>
            </w:r>
          </w:p>
        </w:tc>
      </w:tr>
      <w:tr w14:paraId="0458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7" w:hRule="atLeast"/>
        </w:trPr>
        <w:tc>
          <w:tcPr>
            <w:tcW w:w="1583" w:type="dxa"/>
            <w:tcBorders>
              <w:top w:val="nil"/>
              <w:left w:val="nil"/>
              <w:bottom w:val="nil"/>
              <w:right w:val="nil"/>
            </w:tcBorders>
            <w:tcMar>
              <w:top w:w="35" w:type="dxa"/>
              <w:left w:w="0" w:type="dxa"/>
              <w:bottom w:w="35" w:type="dxa"/>
              <w:right w:w="80" w:type="dxa"/>
            </w:tcMar>
          </w:tcPr>
          <w:p w14:paraId="47A1A5C6">
            <w:pPr>
              <w:rPr>
                <w:rFonts w:hint="default" w:ascii="Arial" w:hAnsi="Arial" w:cs="Arial"/>
                <w:sz w:val="20"/>
                <w:szCs w:val="20"/>
              </w:rPr>
            </w:pPr>
            <w:r>
              <w:rPr>
                <w:rFonts w:hint="default" w:ascii="Arial" w:hAnsi="Arial" w:eastAsia="Arial" w:cs="Arial"/>
                <w:b/>
                <w:bCs/>
                <w:color w:val="1A3F6F"/>
                <w:sz w:val="18"/>
                <w:szCs w:val="18"/>
              </w:rPr>
              <w:t>Academic</w:t>
            </w:r>
          </w:p>
        </w:tc>
        <w:tc>
          <w:tcPr>
            <w:tcW w:w="8376" w:type="dxa"/>
            <w:tcBorders>
              <w:top w:val="nil"/>
              <w:left w:val="nil"/>
              <w:bottom w:val="nil"/>
              <w:right w:val="nil"/>
            </w:tcBorders>
            <w:tcMar>
              <w:top w:w="35" w:type="dxa"/>
              <w:left w:w="0" w:type="dxa"/>
              <w:bottom w:w="35" w:type="dxa"/>
              <w:right w:w="0" w:type="dxa"/>
            </w:tcMar>
          </w:tcPr>
          <w:p w14:paraId="0FC3C8EB">
            <w:pPr>
              <w:ind w:left="196" w:leftChars="103" w:firstLine="3" w:firstLineChars="0"/>
              <w:rPr>
                <w:rFonts w:hint="default" w:ascii="Arial" w:hAnsi="Arial" w:cs="Arial"/>
                <w:sz w:val="20"/>
                <w:szCs w:val="20"/>
              </w:rPr>
            </w:pPr>
            <w:r>
              <w:rPr>
                <w:rFonts w:hint="default" w:ascii="Arial" w:hAnsi="Arial" w:cs="Arial"/>
                <w:color w:val="555555"/>
                <w:sz w:val="18"/>
                <w:szCs w:val="18"/>
                <w:lang w:val="de-DE"/>
              </w:rPr>
              <w:t xml:space="preserve"> </w:t>
            </w:r>
            <w:r>
              <w:rPr>
                <w:rFonts w:hint="default" w:ascii="Arial" w:hAnsi="Arial" w:eastAsia="Arial" w:cs="Arial"/>
                <w:color w:val="555555"/>
                <w:sz w:val="18"/>
                <w:szCs w:val="18"/>
              </w:rPr>
              <w:t>M.Sc. Digital Health, DIT Germany — grade 1.6 (Excellent, 2025)</w:t>
            </w:r>
          </w:p>
        </w:tc>
      </w:tr>
      <w:tr w14:paraId="742A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3" w:type="dxa"/>
            <w:tcBorders>
              <w:top w:val="nil"/>
              <w:left w:val="nil"/>
              <w:bottom w:val="nil"/>
              <w:right w:val="nil"/>
            </w:tcBorders>
            <w:tcMar>
              <w:top w:w="35" w:type="dxa"/>
              <w:left w:w="0" w:type="dxa"/>
              <w:bottom w:w="35" w:type="dxa"/>
              <w:right w:w="80" w:type="dxa"/>
            </w:tcMar>
          </w:tcPr>
          <w:p w14:paraId="44A2BC2B">
            <w:pPr>
              <w:rPr>
                <w:rFonts w:hint="default" w:ascii="Arial" w:hAnsi="Arial" w:cs="Arial"/>
                <w:sz w:val="20"/>
                <w:szCs w:val="20"/>
              </w:rPr>
            </w:pPr>
            <w:r>
              <w:rPr>
                <w:rFonts w:hint="default" w:ascii="Arial" w:hAnsi="Arial" w:eastAsia="Arial" w:cs="Arial"/>
                <w:b/>
                <w:bCs/>
                <w:color w:val="1A3F6F"/>
                <w:sz w:val="18"/>
                <w:szCs w:val="18"/>
              </w:rPr>
              <w:t>Clinical advisory</w:t>
            </w:r>
          </w:p>
        </w:tc>
        <w:tc>
          <w:tcPr>
            <w:tcW w:w="8376" w:type="dxa"/>
            <w:tcBorders>
              <w:top w:val="nil"/>
              <w:left w:val="nil"/>
              <w:bottom w:val="nil"/>
              <w:right w:val="nil"/>
            </w:tcBorders>
            <w:tcMar>
              <w:top w:w="35" w:type="dxa"/>
              <w:left w:w="0" w:type="dxa"/>
              <w:bottom w:w="35" w:type="dxa"/>
              <w:right w:w="0" w:type="dxa"/>
            </w:tcMar>
          </w:tcPr>
          <w:p w14:paraId="065D1F36">
            <w:pPr>
              <w:ind w:left="196" w:leftChars="103" w:firstLine="3" w:firstLineChars="0"/>
              <w:rPr>
                <w:rFonts w:hint="default" w:ascii="Arial" w:hAnsi="Arial" w:cs="Arial"/>
                <w:sz w:val="20"/>
                <w:szCs w:val="20"/>
              </w:rPr>
            </w:pPr>
            <w:r>
              <w:rPr>
                <w:rFonts w:hint="default" w:ascii="Arial" w:hAnsi="Arial" w:eastAsia="Arial" w:cs="Arial"/>
                <w:color w:val="555555"/>
                <w:sz w:val="18"/>
                <w:szCs w:val="18"/>
              </w:rPr>
              <w:t xml:space="preserve">Prof. Dr. Klaus Parhofer, LMU Munich (Medizinische Klinik IV) — thesis supervisor; </w:t>
            </w:r>
          </w:p>
        </w:tc>
      </w:tr>
      <w:tr w14:paraId="77A8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3" w:type="dxa"/>
            <w:tcBorders>
              <w:top w:val="nil"/>
              <w:left w:val="nil"/>
              <w:bottom w:val="nil"/>
              <w:right w:val="nil"/>
            </w:tcBorders>
            <w:tcMar>
              <w:top w:w="35" w:type="dxa"/>
              <w:left w:w="0" w:type="dxa"/>
              <w:bottom w:w="35" w:type="dxa"/>
              <w:right w:w="80" w:type="dxa"/>
            </w:tcMar>
          </w:tcPr>
          <w:p w14:paraId="7B823E02">
            <w:pPr>
              <w:rPr>
                <w:rFonts w:hint="default" w:ascii="Arial" w:hAnsi="Arial" w:cs="Arial"/>
                <w:sz w:val="20"/>
                <w:szCs w:val="20"/>
              </w:rPr>
            </w:pPr>
            <w:r>
              <w:rPr>
                <w:rFonts w:hint="default" w:ascii="Arial" w:hAnsi="Arial" w:eastAsia="Arial" w:cs="Arial"/>
                <w:b/>
                <w:bCs/>
                <w:color w:val="1A3F6F"/>
                <w:sz w:val="18"/>
                <w:szCs w:val="18"/>
              </w:rPr>
              <w:t>Training data</w:t>
            </w:r>
          </w:p>
        </w:tc>
        <w:tc>
          <w:tcPr>
            <w:tcW w:w="8376" w:type="dxa"/>
            <w:tcBorders>
              <w:top w:val="nil"/>
              <w:left w:val="nil"/>
              <w:bottom w:val="nil"/>
              <w:right w:val="nil"/>
            </w:tcBorders>
            <w:tcMar>
              <w:top w:w="35" w:type="dxa"/>
              <w:left w:w="0" w:type="dxa"/>
              <w:bottom w:w="35" w:type="dxa"/>
              <w:right w:w="0" w:type="dxa"/>
            </w:tcMar>
          </w:tcPr>
          <w:p w14:paraId="41D19C87">
            <w:pPr>
              <w:ind w:left="196" w:leftChars="103" w:firstLine="3" w:firstLineChars="0"/>
              <w:rPr>
                <w:rFonts w:hint="default" w:ascii="Arial" w:hAnsi="Arial" w:cs="Arial"/>
                <w:sz w:val="20"/>
                <w:szCs w:val="20"/>
              </w:rPr>
            </w:pPr>
            <w:r>
              <w:rPr>
                <w:rFonts w:hint="default"/>
                <w:lang w:val="de-DE"/>
              </w:rPr>
              <w:t>E</w:t>
            </w:r>
            <w:r>
              <w:rPr>
                <w:rFonts w:hint="default"/>
              </w:rPr>
              <w:t>ngine pre-trained on 50,000+ real meal outcome clinical data pairs; out-of-sample stress-tested against the AZT1D dataset (25 T1D patients, CGM + bolus + carbohydrate data, spanning both pen-based MDI and automated insulin delivery therapy periods)</w:t>
            </w:r>
          </w:p>
        </w:tc>
      </w:tr>
      <w:tr w14:paraId="47EF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3" w:type="dxa"/>
            <w:tcBorders>
              <w:top w:val="nil"/>
              <w:left w:val="nil"/>
              <w:bottom w:val="nil"/>
              <w:right w:val="nil"/>
            </w:tcBorders>
            <w:tcMar>
              <w:top w:w="35" w:type="dxa"/>
              <w:left w:w="0" w:type="dxa"/>
              <w:bottom w:w="35" w:type="dxa"/>
              <w:right w:w="80" w:type="dxa"/>
            </w:tcMar>
          </w:tcPr>
          <w:p w14:paraId="3B97DFEE">
            <w:pPr>
              <w:rPr>
                <w:rFonts w:hint="default" w:ascii="Arial" w:hAnsi="Arial" w:cs="Arial"/>
                <w:sz w:val="20"/>
                <w:szCs w:val="20"/>
              </w:rPr>
            </w:pPr>
            <w:r>
              <w:rPr>
                <w:rFonts w:hint="default" w:ascii="Arial" w:hAnsi="Arial" w:eastAsia="Arial" w:cs="Arial"/>
                <w:b/>
                <w:bCs/>
                <w:color w:val="1A3F6F"/>
                <w:sz w:val="18"/>
                <w:szCs w:val="18"/>
              </w:rPr>
              <w:t>Researcher</w:t>
            </w:r>
          </w:p>
        </w:tc>
        <w:tc>
          <w:tcPr>
            <w:tcW w:w="8376" w:type="dxa"/>
            <w:tcBorders>
              <w:top w:val="nil"/>
              <w:left w:val="nil"/>
              <w:bottom w:val="nil"/>
              <w:right w:val="nil"/>
            </w:tcBorders>
            <w:tcMar>
              <w:top w:w="35" w:type="dxa"/>
              <w:left w:w="0" w:type="dxa"/>
              <w:bottom w:w="35" w:type="dxa"/>
              <w:right w:w="0" w:type="dxa"/>
            </w:tcMar>
          </w:tcPr>
          <w:p w14:paraId="2E127417">
            <w:pPr>
              <w:ind w:left="196" w:leftChars="103" w:firstLine="3" w:firstLineChars="0"/>
              <w:rPr>
                <w:rFonts w:hint="default" w:ascii="Arial" w:hAnsi="Arial" w:cs="Arial"/>
                <w:sz w:val="20"/>
                <w:szCs w:val="20"/>
              </w:rPr>
            </w:pPr>
            <w:r>
              <w:rPr>
                <w:rFonts w:hint="default" w:ascii="Arial" w:hAnsi="Arial" w:eastAsia="Arial" w:cs="Arial"/>
                <w:color w:val="555555"/>
                <w:sz w:val="18"/>
                <w:szCs w:val="18"/>
              </w:rPr>
              <w:t>Pharmacist (§11 BApO licence), M.Sc. Digital Health, senior clinical informatics (HL7-FHIR R4)</w:t>
            </w:r>
          </w:p>
        </w:tc>
      </w:tr>
    </w:tbl>
    <w:p w14:paraId="542FB519">
      <w:pPr>
        <w:spacing w:before="140" w:after="50"/>
        <w:rPr>
          <w:rFonts w:hint="default" w:ascii="Arial" w:hAnsi="Arial" w:cs="Arial"/>
          <w:sz w:val="18"/>
          <w:szCs w:val="18"/>
        </w:rPr>
      </w:pPr>
      <w:r>
        <w:rPr>
          <w:rFonts w:hint="default" w:ascii="Arial" w:hAnsi="Arial" w:eastAsia="Arial" w:cs="Arial"/>
          <w:b/>
          <w:bCs/>
          <w:color w:val="2E75B6"/>
          <w:sz w:val="18"/>
          <w:szCs w:val="18"/>
        </w:rPr>
        <w:t>PROPOSED COLLABORATION</w:t>
      </w:r>
    </w:p>
    <w:p w14:paraId="7C350261">
      <w:pPr>
        <w:spacing w:before="30" w:after="30"/>
        <w:rPr>
          <w:rFonts w:hint="default" w:ascii="Arial" w:hAnsi="Arial" w:cs="Arial"/>
          <w:sz w:val="18"/>
          <w:szCs w:val="18"/>
        </w:rPr>
      </w:pPr>
      <w:r>
        <w:rPr>
          <w:rFonts w:hint="default" w:ascii="Arial" w:hAnsi="Arial" w:eastAsia="Arial" w:cs="Arial"/>
          <w:color w:val="555555"/>
          <w:sz w:val="20"/>
          <w:szCs w:val="20"/>
        </w:rPr>
        <w:t xml:space="preserve">I am seeking a PhD supervision context to design and execute a prospective </w:t>
      </w:r>
      <w:r>
        <w:rPr>
          <w:rFonts w:hint="default" w:ascii="Arial" w:hAnsi="Arial"/>
          <w:color w:val="555555"/>
          <w:sz w:val="20"/>
          <w:szCs w:val="20"/>
          <w:lang w:val="de-DE"/>
        </w:rPr>
        <w:t>Pilot RCT</w:t>
      </w:r>
      <w:r>
        <w:rPr>
          <w:rFonts w:hint="default" w:ascii="Arial" w:hAnsi="Arial" w:eastAsia="Arial" w:cs="Arial"/>
          <w:color w:val="555555"/>
          <w:sz w:val="20"/>
          <w:szCs w:val="20"/>
        </w:rPr>
        <w:t xml:space="preserve"> (N = </w:t>
      </w:r>
      <w:r>
        <w:rPr>
          <w:rFonts w:hint="default" w:ascii="Arial" w:hAnsi="Arial" w:cs="Arial"/>
          <w:color w:val="555555"/>
          <w:sz w:val="20"/>
          <w:szCs w:val="20"/>
          <w:lang w:val="de-DE"/>
        </w:rPr>
        <w:t>30</w:t>
      </w:r>
      <w:r>
        <w:rPr>
          <w:rFonts w:hint="default" w:ascii="Arial" w:hAnsi="Arial" w:eastAsia="Arial" w:cs="Arial"/>
          <w:color w:val="555555"/>
          <w:sz w:val="20"/>
          <w:szCs w:val="20"/>
        </w:rPr>
        <w:t xml:space="preserve">, 6 months) validating circadian </w:t>
      </w:r>
      <w:r>
        <w:rPr>
          <w:rFonts w:hint="default" w:ascii="Arial" w:hAnsi="Arial" w:cs="Arial"/>
          <w:color w:val="555555"/>
          <w:sz w:val="20"/>
          <w:szCs w:val="20"/>
          <w:lang w:val="de-DE"/>
        </w:rPr>
        <w:t>M</w:t>
      </w:r>
      <w:r>
        <w:rPr>
          <w:rFonts w:hint="default" w:ascii="Arial" w:hAnsi="Arial" w:eastAsia="Arial" w:cs="Arial"/>
          <w:color w:val="555555"/>
          <w:sz w:val="20"/>
          <w:szCs w:val="20"/>
        </w:rPr>
        <w:t>L adaptation against standard-of-care pen dosing. I welcome discussion around supervision, clinical trial infrastructure, and grant co-development.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144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nil"/>
              <w:left w:val="nil"/>
              <w:bottom w:val="nil"/>
              <w:right w:val="nil"/>
            </w:tcBorders>
          </w:tcPr>
          <w:p w14:paraId="4242E4BC">
            <w:pPr>
              <w:rPr>
                <w:rFonts w:hint="default" w:ascii="Arial" w:hAnsi="Arial" w:cs="Arial"/>
                <w:sz w:val="18"/>
                <w:szCs w:val="18"/>
              </w:rPr>
            </w:pPr>
            <w:r>
              <w:rPr>
                <w:rFonts w:hint="default" w:ascii="Arial" w:hAnsi="Arial" w:eastAsia="Arial" w:cs="Arial"/>
                <w:b/>
                <w:bCs/>
                <w:color w:val="1A3F6F"/>
                <w:sz w:val="18"/>
                <w:szCs w:val="18"/>
              </w:rPr>
              <w:t>Ali Attia</w:t>
            </w:r>
          </w:p>
        </w:tc>
        <w:tc>
          <w:tcPr>
            <w:tcW w:w="4680" w:type="dxa"/>
            <w:tcBorders>
              <w:top w:val="nil"/>
              <w:left w:val="nil"/>
              <w:bottom w:val="nil"/>
              <w:right w:val="nil"/>
            </w:tcBorders>
          </w:tcPr>
          <w:p w14:paraId="63FC50E3">
            <w:pPr>
              <w:jc w:val="right"/>
              <w:rPr>
                <w:rFonts w:hint="default" w:ascii="Arial" w:hAnsi="Arial" w:cs="Arial"/>
                <w:sz w:val="18"/>
                <w:szCs w:val="18"/>
              </w:rPr>
            </w:pPr>
            <w:r>
              <w:rPr>
                <w:rFonts w:hint="default" w:ascii="Arial" w:hAnsi="Arial" w:eastAsia="Arial" w:cs="Arial"/>
                <w:color w:val="555555"/>
                <w:sz w:val="16"/>
                <w:szCs w:val="16"/>
              </w:rPr>
              <w:t>dia-twin.vercel.app  |  linkedin.com/in/ali-attia-74748bb4</w:t>
            </w:r>
          </w:p>
        </w:tc>
      </w:tr>
    </w:tbl>
    <w:p w14:paraId="283D27C8">
      <w:pPr>
        <w:spacing w:before="25" w:after="0"/>
        <w:rPr>
          <w:rFonts w:hint="default" w:ascii="Arial" w:hAnsi="Arial" w:cs="Arial"/>
          <w:sz w:val="18"/>
          <w:szCs w:val="18"/>
        </w:rPr>
      </w:pPr>
      <w:r>
        <w:rPr>
          <w:rFonts w:hint="default" w:ascii="Arial" w:hAnsi="Arial" w:eastAsia="Arial" w:cs="Arial"/>
          <w:color w:val="555555"/>
          <w:sz w:val="16"/>
          <w:szCs w:val="16"/>
        </w:rPr>
        <w:t>M.Sc. Digital Health | German Pharmacist (§11 BApO) | github.com/aliattia2</w:t>
      </w:r>
    </w:p>
    <w:sectPr>
      <w:pgSz w:w="11906" w:h="16838"/>
      <w:pgMar w:top="900" w:right="1100" w:bottom="8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BDB00FF"/>
    <w:rsid w:val="51EC1A22"/>
    <w:rsid w:val="5825674D"/>
    <w:rsid w:val="683448CD"/>
    <w:rsid w:val="7FD80CF2"/>
    <w:rsid w:val="7FEB28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9"/>
      <w:szCs w:val="19"/>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9"/>
      <w:szCs w:val="19"/>
    </w:rPr>
  </w:style>
  <w:style w:type="paragraph" w:styleId="6">
    <w:name w:val="heading 5"/>
    <w:next w:val="1"/>
    <w:qFormat/>
    <w:uiPriority w:val="0"/>
    <w:rPr>
      <w:rFonts w:ascii="Arial" w:hAnsi="Arial" w:eastAsia="Arial" w:cs="Arial"/>
      <w:color w:val="2E74B5"/>
      <w:sz w:val="19"/>
      <w:szCs w:val="19"/>
    </w:rPr>
  </w:style>
  <w:style w:type="paragraph" w:styleId="7">
    <w:name w:val="heading 6"/>
    <w:next w:val="1"/>
    <w:qFormat/>
    <w:uiPriority w:val="0"/>
    <w:rPr>
      <w:rFonts w:ascii="Arial" w:hAnsi="Arial" w:eastAsia="Arial" w:cs="Arial"/>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9"/>
      <w:szCs w:val="19"/>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2026-04-08T00:44:00Z</dcterms:created>
  <dc:creator>Un-named</dc:creator>
  <cp:lastModifiedBy>aliat</cp:lastModifiedBy>
  <dcterms:modified xsi:type="dcterms:W3CDTF">2026-04-08T22:58:54Z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5E9D3FAE898541C38CB51CA195318AFC_12</vt:lpwstr>
  </property>
</Properties>
</file>