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</w:p>
    <w:p>
      <w:pPr>
        <w:pBdr>
          <w:bottom w:val="single" w:color="2E75B6" w:sz="8" w:space="2"/>
        </w:pBdr>
        <w:spacing w:after="8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Clinical Problem</w:t>
      </w:r>
    </w:p>
    <w:p>
      <w:pPr>
        <w:spacing w:after="40" w:before="40"/>
      </w:pPr>
      <w:r>
        <w:rPr>
          <w:rFonts w:ascii="Arial" w:cs="Arial" w:eastAsia="Arial" w:hAnsi="Arial"/>
          <w:color w:val="595959"/>
          <w:sz w:val="19"/>
          <w:szCs w:val="19"/>
        </w:rPr>
        <w:t xml:space="preserve">Type 1 Diabetes (T1D) patients using standard insulin pens lack tools to translate continuous glucose data into actionable dosing decisions. Despite the widespread adoption of CGM sensors and finger-prick testing, no affordable software-based decision support exists that models both insulin activity and meal absorption simultaneously in real time. The result: chronic under- and overdosing, high hypoglycaemia risk, and significant cognitive burden on patients and clinicians.</w:t>
      </w:r>
    </w:p>
    <w:p>
      <w:pPr>
        <w:spacing w:after="60" w:before="0"/>
      </w:pPr>
    </w:p>
    <w:p>
      <w:pPr>
        <w:pBdr>
          <w:bottom w:val="single" w:color="2E75B6" w:sz="8" w:space="2"/>
        </w:pBdr>
        <w:spacing w:after="8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System Overview</w:t>
      </w:r>
    </w:p>
    <w:p>
      <w:pPr>
        <w:spacing w:after="40" w:before="40"/>
      </w:pPr>
      <w:r>
        <w:rPr>
          <w:rFonts w:ascii="Arial" w:cs="Arial" w:eastAsia="Arial" w:hAnsi="Arial"/>
          <w:color w:val="595959"/>
          <w:sz w:val="19"/>
          <w:szCs w:val="19"/>
        </w:rPr>
        <w:t xml:space="preserve">DiaTwin is a clinically supervised decision-support platform for T1D management. It models the pharmacodynamics of insulin and meal absorption in real time, enabling personalised dosing guidance for patients using standard insulin pens — without requiring an insulin pump.</w:t>
      </w:r>
    </w:p>
    <w:p>
      <w:pPr>
        <w:spacing w:after="40" w:before="0"/>
      </w:pP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1F4E79"/>
          <w:sz w:val="19"/>
          <w:szCs w:val="19"/>
        </w:rPr>
        <w:t xml:space="preserve">Platform: </w:t>
      </w:r>
      <w:r>
        <w:rPr>
          <w:rFonts w:ascii="Arial" w:cs="Arial" w:eastAsia="Arial" w:hAnsi="Arial"/>
          <w:color w:val="595959"/>
          <w:sz w:val="19"/>
          <w:szCs w:val="19"/>
        </w:rPr>
        <w:t xml:space="preserve">Web application + Android app (React/TypeScript, Python/Flask, MongoDB)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1F4E79"/>
          <w:sz w:val="19"/>
          <w:szCs w:val="19"/>
        </w:rPr>
        <w:t xml:space="preserve">Live demo: </w:t>
      </w:r>
      <w:r>
        <w:rPr>
          <w:rFonts w:ascii="Arial" w:cs="Arial" w:eastAsia="Arial" w:hAnsi="Arial"/>
          <w:color w:val="595959"/>
          <w:sz w:val="19"/>
          <w:szCs w:val="19"/>
        </w:rPr>
        <w:t xml:space="preserve">dia-twin.vercel.app  |  Doctor login: doctor / 4444  |  Patient: ahmed / 4444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1F4E79"/>
          <w:sz w:val="19"/>
          <w:szCs w:val="19"/>
        </w:rPr>
        <w:t xml:space="preserve">Development status: </w:t>
      </w:r>
      <w:r>
        <w:rPr>
          <w:rFonts w:ascii="Arial" w:cs="Arial" w:eastAsia="Arial" w:hAnsi="Arial"/>
          <w:color w:val="595959"/>
          <w:sz w:val="19"/>
          <w:szCs w:val="19"/>
        </w:rPr>
        <w:t xml:space="preserve">TRL 4–5. Core algorithms validated. Web + mobile prototypes operational.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1F4E79"/>
          <w:sz w:val="19"/>
          <w:szCs w:val="19"/>
        </w:rPr>
        <w:t xml:space="preserve">Academic basis: </w:t>
      </w:r>
      <w:r>
        <w:rPr>
          <w:rFonts w:ascii="Arial" w:cs="Arial" w:eastAsia="Arial" w:hAnsi="Arial"/>
          <w:color w:val="595959"/>
          <w:sz w:val="19"/>
          <w:szCs w:val="19"/>
        </w:rPr>
        <w:t xml:space="preserve">M.Sc. thesis, DIT Germany (grade 1.6 "Excellent"), clinical supervision: Prof. Dr. Klaus Parhofer, LMU Munich. External evaluation: Excellent. Clinical Utility Score: 8.7/10.</w:t>
      </w:r>
    </w:p>
    <w:p>
      <w:pPr>
        <w:spacing w:after="60" w:before="0"/>
      </w:pPr>
    </w:p>
    <w:p>
      <w:pPr>
        <w:pBdr>
          <w:bottom w:val="single" w:color="2E75B6" w:sz="8" w:space="2"/>
        </w:pBdr>
        <w:spacing w:after="8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Core Technical Components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30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7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PK/PD Engine</w:t>
            </w:r>
          </w:p>
        </w:tc>
        <w:tc>
          <w:tcPr>
            <w:tcW w:type="dxa" w:w="7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Models Insulin-on-Board (IOB) and Meal-on-Board (MOB) using gamma distribution curves, referenced to German S3 clinical guidelines. Tracks cumulative daily effects with configurable reset.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Glucose Estimation</w:t>
            </w:r>
          </w:p>
        </w:tc>
        <w:tc>
          <w:tcPr>
            <w:tcW w:type="dxa" w:w="7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Physiology-based interpolation between readings. Accounts for T1D-specific persistence of glucose effects after absorption. Supports both CGM and SMBG (finger-prick) inputs.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Dosing Recommendations</w:t>
            </w:r>
          </w:p>
        </w:tc>
        <w:tc>
          <w:tcPr>
            <w:tcW w:type="dxa" w:w="7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Calculates required insulin dose from carbohydrate content, protein, fat, meal type, absorption speed, and time-of-day. Provides pre-meal timing guidance.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Future Glucose Projection</w:t>
            </w:r>
          </w:p>
        </w:tc>
        <w:tc>
          <w:tcPr>
            <w:tcW w:type="dxa" w:w="7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4-hour glucose trajectory combining active IOB + MOB curves with current trend.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ML / RL Layer</w:t>
            </w:r>
          </w:p>
        </w:tc>
        <w:tc>
          <w:tcPr>
            <w:tcW w:type="dxa" w:w="7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Reinforcement learning engine learns from meal-outcome pairs to personalise dosing parameters over time. Trained on 50,000+ real clinical data pairs.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Food Photo Recognition</w:t>
            </w:r>
          </w:p>
        </w:tc>
        <w:tc>
          <w:tcPr>
            <w:tcW w:type="dxa" w:w="7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Camera-based carbohydrate estimation with automatic insulin dose calculation.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Physician Dashboard</w:t>
            </w:r>
          </w:p>
        </w:tc>
        <w:tc>
          <w:tcPr>
            <w:tcW w:type="dxa" w:w="7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Remote parameter setting, patient monitoring, clinical timeline, multi-patient view.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CGM Integration</w:t>
            </w:r>
          </w:p>
        </w:tc>
        <w:tc>
          <w:tcPr>
            <w:tcW w:type="dxa" w:w="7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Direct sensor connection (Abbott/Dexcom API discussions ongoing); automatic glucose data ingestion.</w:t>
            </w:r>
          </w:p>
        </w:tc>
      </w:tr>
    </w:tbl>
    <w:p>
      <w:pPr>
        <w:spacing w:after="60" w:before="0"/>
      </w:pPr>
    </w:p>
    <w:p>
      <w:pPr>
        <w:pBdr>
          <w:bottom w:val="single" w:color="2E75B6" w:sz="8" w:space="2"/>
        </w:pBdr>
        <w:spacing w:after="8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Proposed Research Agenda (PhD / Collaboration)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1F4E79"/>
          <w:sz w:val="19"/>
          <w:szCs w:val="19"/>
        </w:rPr>
        <w:t xml:space="preserve">Clinical validation: </w:t>
      </w:r>
      <w:r>
        <w:rPr>
          <w:rFonts w:ascii="Arial" w:cs="Arial" w:eastAsia="Arial" w:hAnsi="Arial"/>
          <w:color w:val="595959"/>
          <w:sz w:val="19"/>
          <w:szCs w:val="19"/>
        </w:rPr>
        <w:t xml:space="preserve">Prospective trial (N=100 T1D patients, 6 months) to assess safety and efficacy of PK/PD-guided dosing support vs. standard care. Primary endpoint: time-in-range improvement.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1F4E79"/>
          <w:sz w:val="19"/>
          <w:szCs w:val="19"/>
        </w:rPr>
        <w:t xml:space="preserve">Model refinement: </w:t>
      </w:r>
      <w:r>
        <w:rPr>
          <w:rFonts w:ascii="Arial" w:cs="Arial" w:eastAsia="Arial" w:hAnsi="Arial"/>
          <w:color w:val="595959"/>
          <w:sz w:val="19"/>
          <w:szCs w:val="19"/>
        </w:rPr>
        <w:t xml:space="preserve">Integration of individual physiological parameters (ISF, ICR, DIA) derived from longitudinal CGM + insulin logs to improve personalisation of gamma-distribution curves.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1F4E79"/>
          <w:sz w:val="19"/>
          <w:szCs w:val="19"/>
        </w:rPr>
        <w:t xml:space="preserve">Regulatory pathway: </w:t>
      </w:r>
      <w:r>
        <w:rPr>
          <w:rFonts w:ascii="Arial" w:cs="Arial" w:eastAsia="Arial" w:hAnsi="Arial"/>
          <w:color w:val="595959"/>
          <w:sz w:val="19"/>
          <w:szCs w:val="19"/>
        </w:rPr>
        <w:t xml:space="preserve">CE Class IIa SaMD classification + DiGA fast-track evaluation (§139e SGB V) — bridging clinical evidence generation with reimbursement strategy.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1F4E79"/>
          <w:sz w:val="19"/>
          <w:szCs w:val="19"/>
        </w:rPr>
        <w:t xml:space="preserve">Equity dimension: </w:t>
      </w:r>
      <w:r>
        <w:rPr>
          <w:rFonts w:ascii="Arial" w:cs="Arial" w:eastAsia="Arial" w:hAnsi="Arial"/>
          <w:color w:val="595959"/>
          <w:sz w:val="19"/>
          <w:szCs w:val="19"/>
        </w:rPr>
        <w:t xml:space="preserve">Validation of pen-user mode (finger-prick only) for settings where CGM access is limited — addressing a global precision gap.</w:t>
      </w:r>
    </w:p>
    <w:p>
      <w:pPr>
        <w:spacing w:after="60" w:before="0"/>
      </w:pPr>
    </w:p>
    <w:p>
      <w:pPr>
        <w:pBdr>
          <w:bottom w:val="single" w:color="2E75B6" w:sz="8" w:space="2"/>
        </w:pBdr>
        <w:spacing w:after="8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Positioning vs. Existing Solutions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353"/>
        <w:gridCol w:w="2353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DiaTwin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CGM-only / Basic apps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17"/>
                <w:szCs w:val="17"/>
              </w:rPr>
              <w:t xml:space="preserve">Real-time IOB + MOB tracking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7"/>
                <w:szCs w:val="17"/>
              </w:rPr>
              <w:t xml:space="preserve">✓ (gamma distribution, S3-referenced)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7"/>
                <w:szCs w:val="17"/>
              </w:rPr>
              <w:t xml:space="preserve">✗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17"/>
                <w:szCs w:val="17"/>
              </w:rPr>
              <w:t xml:space="preserve">Works with insulin pens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7"/>
                <w:szCs w:val="17"/>
              </w:rPr>
              <w:t xml:space="preserve">✓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7"/>
                <w:szCs w:val="17"/>
              </w:rPr>
              <w:t xml:space="preserve">✗ (pumps only for closed-loop)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17"/>
                <w:szCs w:val="17"/>
              </w:rPr>
              <w:t xml:space="preserve">Physician-set parameters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7"/>
                <w:szCs w:val="17"/>
              </w:rPr>
              <w:t xml:space="preserve">✓ (remote validation)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7"/>
                <w:szCs w:val="17"/>
              </w:rPr>
              <w:t xml:space="preserve">✗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17"/>
                <w:szCs w:val="17"/>
              </w:rPr>
              <w:t xml:space="preserve">Future glucose projection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7"/>
                <w:szCs w:val="17"/>
              </w:rPr>
              <w:t xml:space="preserve">✓ (4-hour IOB + MOB)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7"/>
                <w:szCs w:val="17"/>
              </w:rPr>
              <w:t xml:space="preserve">Trend only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17"/>
                <w:szCs w:val="17"/>
              </w:rPr>
              <w:t xml:space="preserve">Personalisation over time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7"/>
                <w:szCs w:val="17"/>
              </w:rPr>
              <w:t xml:space="preserve">✓ (RL from outcomes)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7"/>
                <w:szCs w:val="17"/>
              </w:rPr>
              <w:t xml:space="preserve">✗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17"/>
                <w:szCs w:val="17"/>
              </w:rPr>
              <w:t xml:space="preserve">Cost to patient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7"/>
                <w:szCs w:val="17"/>
              </w:rPr>
              <w:t xml:space="preserve">~€100/year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7"/>
                <w:szCs w:val="17"/>
              </w:rPr>
              <w:t xml:space="preserve">€3,000–16,000/year</w:t>
            </w:r>
          </w:p>
        </w:tc>
      </w:tr>
    </w:tbl>
    <w:p>
      <w:pPr>
        <w:spacing w:after="60" w:before="0"/>
      </w:pPr>
    </w:p>
    <w:p>
      <w:pPr>
        <w:pBdr>
          <w:bottom w:val="single" w:color="2E75B6" w:sz="8" w:space="2"/>
        </w:pBdr>
        <w:spacing w:after="8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Lead Researcher Profile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1F4E79"/>
          <w:sz w:val="19"/>
          <w:szCs w:val="19"/>
        </w:rPr>
        <w:t xml:space="preserve">Academic: </w:t>
      </w:r>
      <w:r>
        <w:rPr>
          <w:rFonts w:ascii="Arial" w:cs="Arial" w:eastAsia="Arial" w:hAnsi="Arial"/>
          <w:color w:val="595959"/>
          <w:sz w:val="19"/>
          <w:szCs w:val="19"/>
        </w:rPr>
        <w:t xml:space="preserve">M.Sc. Digital Health, DIT Germany (1.6); B.Sc. Pharmacy, Zagazig University (1.5 — Excellent)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1F4E79"/>
          <w:sz w:val="19"/>
          <w:szCs w:val="19"/>
        </w:rPr>
        <w:t xml:space="preserve">Licence: </w:t>
      </w:r>
      <w:r>
        <w:rPr>
          <w:rFonts w:ascii="Arial" w:cs="Arial" w:eastAsia="Arial" w:hAnsi="Arial"/>
          <w:color w:val="595959"/>
          <w:sz w:val="19"/>
          <w:szCs w:val="19"/>
        </w:rPr>
        <w:t xml:space="preserve">German Pharmacist Licence (Berufserlaubnis §11 BApO, Upper Bavaria 2025); Fachsprachenprüfung passed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1F4E79"/>
          <w:sz w:val="19"/>
          <w:szCs w:val="19"/>
        </w:rPr>
        <w:t xml:space="preserve">Clinical informatics: </w:t>
      </w:r>
      <w:r>
        <w:rPr>
          <w:rFonts w:ascii="Arial" w:cs="Arial" w:eastAsia="Arial" w:hAnsi="Arial"/>
          <w:color w:val="595959"/>
          <w:sz w:val="19"/>
          <w:szCs w:val="19"/>
        </w:rPr>
        <w:t xml:space="preserve">Senior Clinical Data Specialist, Egypt Healthcare Authority (2021–2023): national EHR rollout, FHIR R4, ICD-10, SNOMED CT, 500+ staff trained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1F4E79"/>
          <w:sz w:val="19"/>
          <w:szCs w:val="19"/>
        </w:rPr>
        <w:t xml:space="preserve">Technical: </w:t>
      </w:r>
      <w:r>
        <w:rPr>
          <w:rFonts w:ascii="Arial" w:cs="Arial" w:eastAsia="Arial" w:hAnsi="Arial"/>
          <w:color w:val="595959"/>
          <w:sz w:val="19"/>
          <w:szCs w:val="19"/>
        </w:rPr>
        <w:t xml:space="preserve">Python, ML/RL (Scikit-learn, TensorFlow), full-stack (React, Flask, MongoDB), HL7-FHIR R4 implementation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1F4E79"/>
          <w:sz w:val="19"/>
          <w:szCs w:val="19"/>
        </w:rPr>
        <w:t xml:space="preserve">Clinical advisory: </w:t>
      </w:r>
      <w:r>
        <w:rPr>
          <w:rFonts w:ascii="Arial" w:cs="Arial" w:eastAsia="Arial" w:hAnsi="Arial"/>
          <w:color w:val="595959"/>
          <w:sz w:val="19"/>
          <w:szCs w:val="19"/>
        </w:rPr>
        <w:t xml:space="preserve">Prof. Dr. Klaus Parhofer (LMU Munich) — protocol advisor; Prof. Dr. Katarina Braune (Charité/HPI) — clinical trial co-PI</w:t>
      </w:r>
    </w:p>
    <w:p>
      <w:pPr>
        <w:spacing w:after="40" w:before="0"/>
      </w:pPr>
    </w:p>
    <w:p>
      <w:pPr>
        <w:pBdr>
          <w:top w:val="single" w:color="CCCCCC" w:sz="4" w:space="8"/>
        </w:pBdr>
        <w:spacing w:before="120"/>
        <w:jc w:val="center"/>
      </w:pPr>
      <w:r>
        <w:rPr>
          <w:rFonts w:ascii="Arial" w:cs="Arial" w:eastAsia="Arial" w:hAnsi="Arial"/>
          <w:color w:val="595959"/>
          <w:sz w:val="16"/>
          <w:szCs w:val="16"/>
        </w:rPr>
        <w:t xml:space="preserve">GitHub: github.com/aliattia2  |  LinkedIn: linkedin.com/in/ali-attia-74748bb4  |  dia-twin.vercel.app</w:t>
      </w:r>
    </w:p>
    <w:sectPr>
      <w:headerReference w:type="default" r:id="rId7"/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906"/>
      <w:tblBorders>
        <w:top w:val="none"/>
        <w:left w:val="none"/>
        <w:bottom w:val="single" w:color="2E75B6" w:sz="12"/>
        <w:right w:val="none"/>
        <w:insideH w:val="single" w:color="auto" w:sz="4"/>
        <w:insideV w:val="single" w:color="auto" w:sz="4"/>
      </w:tblBorders>
    </w:tblPr>
    <w:tblGrid>
      <w:gridCol w:w="6500"/>
      <w:gridCol w:w="3406"/>
    </w:tblGrid>
    <w:tr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60"/>
            <w:right w:type="dxa" w:w="0"/>
          </w:tcMar>
        </w:tcPr>
        <w:p>
          <w:r>
            <w:rPr>
              <w:rFonts w:ascii="Arial" w:cs="Arial" w:eastAsia="Arial" w:hAnsi="Arial"/>
              <w:b/>
              <w:bCs/>
              <w:color w:val="1F4E79"/>
              <w:sz w:val="36"/>
              <w:szCs w:val="36"/>
            </w:rPr>
            <w:t xml:space="preserve">DiaTwin</w:t>
          </w:r>
        </w:p>
        <w:p>
          <w:pPr>
            <w:spacing w:after="0" w:before="0"/>
          </w:pPr>
          <w:r>
            <w:rPr>
              <w:rFonts w:ascii="Arial" w:cs="Arial" w:eastAsia="Arial" w:hAnsi="Arial"/>
              <w:color w:val="2E75B6"/>
              <w:sz w:val="20"/>
              <w:szCs w:val="20"/>
            </w:rPr>
            <w:t xml:space="preserve">Clinical &amp; Technical Research Summary</w:t>
          </w:r>
        </w:p>
      </w:tc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60"/>
            <w:right w:type="dxa" w:w="0"/>
          </w:tcMar>
          <w:vAlign w:val="bottom"/>
        </w:tcPr>
        <w:p>
          <w:pPr>
            <w:jc w:val="right"/>
          </w:pPr>
          <w:r>
            <w:rPr>
              <w:rFonts w:ascii="Arial" w:cs="Arial" w:eastAsia="Arial" w:hAnsi="Arial"/>
              <w:color w:val="595959"/>
              <w:sz w:val="16"/>
              <w:szCs w:val="16"/>
            </w:rPr>
            <w:t xml:space="preserve">Ali Attia  |  aliattia2@gmail.com  |  dia-twin.vercel.app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0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2026-04-03T01:48:52.034Z</dcterms:created>
  <dcterms:modified xsi:type="dcterms:W3CDTF">2026-04-03T01:48:52.035Z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