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1A4B8C" w:val="clear"/>
            <w:tcMar>
              <w:top w:type="dxa" w:w="600"/>
              <w:left w:type="dxa" w:w="600"/>
              <w:bottom w:type="dxa" w:w="600"/>
              <w:right w:type="dxa" w:w="600"/>
            </w:tcMar>
          </w:tcPr>
          <w:p>
            <w:pPr>
              <w:jc w:val="center"/>
            </w:pPr>
            <w:r>
              <w:rPr>
                <w:rFonts w:ascii="Arial" w:cs="Arial" w:eastAsia="Arial" w:hAnsi="Arial"/>
                <w:b/>
                <w:bCs/>
                <w:color w:val="FFFFFF"/>
                <w:sz w:val="72"/>
                <w:szCs w:val="72"/>
              </w:rPr>
              <w:t xml:space="preserve">DiaTwin</w:t>
            </w:r>
          </w:p>
          <w:p>
            <w:pPr>
              <w:spacing w:before="120"/>
              <w:jc w:val="center"/>
            </w:pPr>
            <w:r>
              <w:rPr>
                <w:rFonts w:ascii="Arial" w:cs="Arial" w:eastAsia="Arial" w:hAnsi="Arial"/>
                <w:color w:val="A8C8F0"/>
                <w:sz w:val="36"/>
                <w:szCs w:val="36"/>
              </w:rPr>
              <w:t xml:space="preserve">Diabetes Digital Twin Platform</w:t>
            </w:r>
          </w:p>
          <w:p>
            <w:pPr>
              <w:spacing w:before="200"/>
              <w:jc w:val="center"/>
            </w:pPr>
            <w:r>
              <w:rPr>
                <w:rFonts w:ascii="Arial" w:cs="Arial" w:eastAsia="Arial" w:hAnsi="Arial"/>
                <w:color w:val="FFFFFF"/>
                <w:sz w:val="28"/>
                <w:szCs w:val="28"/>
              </w:rPr>
              <w:t xml:space="preserve">Product Feature Documentation</w:t>
            </w:r>
          </w:p>
          <w:p>
            <w:pPr>
              <w:spacing w:before="80"/>
              <w:jc w:val="center"/>
            </w:pPr>
            <w:r>
              <w:rPr>
                <w:rFonts w:ascii="Arial" w:cs="Arial" w:eastAsia="Arial" w:hAnsi="Arial"/>
                <w:color w:val="A8C8F0"/>
                <w:sz w:val="22"/>
                <w:szCs w:val="22"/>
              </w:rPr>
              <w:t xml:space="preserve">Patients · Healthcare Providers · Community</w:t>
            </w:r>
          </w:p>
        </w:tc>
      </w:tr>
    </w:tbl>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Document Type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Product Feature Overview</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Target Audience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Patients, Physicians, Diabetes Care Teams, Health IT</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Platform</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Web (React), Mobile (React Native / Expo), REST API (Flask/MongoDB)</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Primary Focus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Type 1 Diabetes (T1D) with multi-condition support</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Version</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Backend v4.2 | Pharmacodynamics v5.0 | Scheduler v1.0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Clinical Reference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German S3 Guideline — Therapie des Typ-1-Diabetes, Version 5.0 (AWMF-Registry 057-013)</w:t>
            </w:r>
          </w:p>
        </w:tc>
      </w:tr>
    </w:tbl>
    <w:p>
      <w:r>
        <w:br w:type="page"/>
      </w:r>
    </w:p>
    <w:p>
      <w:pPr>
        <w:spacing w:after="200" w:before="400"/>
      </w:pPr>
      <w:r>
        <w:rPr>
          <w:rFonts w:ascii="Arial" w:cs="Arial" w:eastAsia="Arial" w:hAnsi="Arial"/>
          <w:b/>
          <w:bCs/>
          <w:color w:val="1A4B8C"/>
          <w:sz w:val="36"/>
          <w:szCs w:val="36"/>
        </w:rPr>
        <w:t xml:space="preserve">1. Executive Summary</w:t>
      </w:r>
    </w:p>
    <w:p>
      <w:pPr>
        <w:spacing w:after="80" w:before="80"/>
      </w:pPr>
      <w:r>
        <w:rPr>
          <w:rFonts w:ascii="Arial" w:cs="Arial" w:eastAsia="Arial" w:hAnsi="Arial"/>
          <w:color w:val="404040"/>
          <w:sz w:val="22"/>
          <w:szCs w:val="22"/>
        </w:rPr>
        <w:t xml:space="preserve">DiaTwin is a clinical diabetes management application that creates a personalised physiological model — a Digital Twin — of each patient’s blood glucose behaviour. It is designed primarily for Type 1 Diabetes (T1D), where the complete absence of endogenous insulin production means that glucose effects persist and stack rather than self-correct, requiring a fundamentally different computational model from conventional diabetes apps.</w:t>
      </w:r>
    </w:p>
    <w:p>
      <w:pPr>
        <w:spacing w:after="0" w:before="0"/>
      </w:pPr>
      <w:r>
        <w:t xml:space="preserve"/>
      </w:r>
    </w:p>
    <w:p>
      <w:pPr>
        <w:spacing w:after="80" w:before="80"/>
      </w:pPr>
      <w:r>
        <w:rPr>
          <w:rFonts w:ascii="Arial" w:cs="Arial" w:eastAsia="Arial" w:hAnsi="Arial"/>
          <w:color w:val="404040"/>
          <w:sz w:val="22"/>
          <w:szCs w:val="22"/>
        </w:rPr>
        <w:t xml:space="preserve">The platform combines three layers of technology:</w:t>
      </w:r>
    </w:p>
    <w:p>
      <w:pPr>
        <w:pStyle w:val="ListParagraph"/>
        <w:numPr>
          <w:ilvl w:val="0"/>
          <w:numId w:val="2"/>
        </w:numPr>
        <w:spacing w:after="60" w:before="60"/>
      </w:pPr>
      <w:r>
        <w:rPr>
          <w:rFonts w:ascii="Arial" w:cs="Arial" w:eastAsia="Arial" w:hAnsi="Arial"/>
          <w:color w:val="404040"/>
          <w:sz w:val="22"/>
          <w:szCs w:val="22"/>
        </w:rPr>
        <w:t xml:space="preserve">A mathematically rigorous pharmacodynamics engine grounded in the German S3 clinical guidelines (Table 9 insulin characteristics), using gamma-distribution curves to model both carbohydrate absorption and insulin activity curves with physiological accuracy.</w:t>
      </w:r>
    </w:p>
    <w:p>
      <w:pPr>
        <w:pStyle w:val="ListParagraph"/>
        <w:numPr>
          <w:ilvl w:val="0"/>
          <w:numId w:val="2"/>
        </w:numPr>
        <w:spacing w:after="60" w:before="60"/>
      </w:pPr>
      <w:r>
        <w:rPr>
          <w:rFonts w:ascii="Arial" w:cs="Arial" w:eastAsia="Arial" w:hAnsi="Arial"/>
          <w:color w:val="404040"/>
          <w:sz w:val="22"/>
          <w:szCs w:val="22"/>
        </w:rPr>
        <w:t xml:space="preserve">A real-time glucose estimation and prediction system that uses logged meals, insulin doses, and activity data to estimate glucose between fingerstick readings — and optionally fuses this with live CGM data from Abbott LibreLinkUp.</w:t>
      </w:r>
    </w:p>
    <w:p>
      <w:pPr>
        <w:pStyle w:val="ListParagraph"/>
        <w:numPr>
          <w:ilvl w:val="0"/>
          <w:numId w:val="2"/>
        </w:numPr>
        <w:spacing w:after="60" w:before="60"/>
      </w:pPr>
      <w:r>
        <w:rPr>
          <w:rFonts w:ascii="Arial" w:cs="Arial" w:eastAsia="Arial" w:hAnsi="Arial"/>
          <w:color w:val="404040"/>
          <w:sz w:val="22"/>
          <w:szCs w:val="22"/>
        </w:rPr>
        <w:t xml:space="preserve">A multi-role clinical platform where patients manage their own day-to-day diabetes care while authorised physicians review trends, meal histories, and glucose visualisations across their entire patient panel.</w:t>
      </w:r>
    </w:p>
    <w:p>
      <w:pPr>
        <w:spacing w:after="0" w:before="0"/>
      </w:pPr>
      <w:r>
        <w:t xml:space="preserve"/>
      </w:r>
    </w:p>
    <w:p>
      <w:pPr>
        <w:spacing w:after="80" w:before="80"/>
      </w:pPr>
      <w:r>
        <w:rPr>
          <w:rFonts w:ascii="Arial" w:cs="Arial" w:eastAsia="Arial" w:hAnsi="Arial"/>
          <w:color w:val="404040"/>
          <w:sz w:val="22"/>
          <w:szCs w:val="22"/>
        </w:rPr>
        <w:t xml:space="preserve">The result is a decision-support tool that helps patients understand not just their current glucose, but why it is at that level — and what will happen next.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A — PATIENT-FACING FEATURES</w:t>
            </w:r>
          </w:p>
        </w:tc>
      </w:tr>
    </w:tbl>
    <w:p>
      <w:pPr>
        <w:spacing w:after="0" w:before="0"/>
      </w:pPr>
      <w:r>
        <w:t xml:space="preserve"/>
      </w:r>
    </w:p>
    <w:p>
      <w:pPr>
        <w:spacing w:after="200" w:before="400"/>
      </w:pPr>
      <w:r>
        <w:rPr>
          <w:rFonts w:ascii="Arial" w:cs="Arial" w:eastAsia="Arial" w:hAnsi="Arial"/>
          <w:b/>
          <w:bCs/>
          <w:color w:val="1A4B8C"/>
          <w:sz w:val="36"/>
          <w:szCs w:val="36"/>
        </w:rPr>
        <w:t xml:space="preserve">2. Blood Glucose Management</w:t>
      </w:r>
    </w:p>
    <w:p>
      <w:pPr>
        <w:spacing w:after="160" w:before="320"/>
      </w:pPr>
      <w:r>
        <w:rPr>
          <w:rFonts w:ascii="Arial" w:cs="Arial" w:eastAsia="Arial" w:hAnsi="Arial"/>
          <w:b/>
          <w:bCs/>
          <w:color w:val="2E75B6"/>
          <w:sz w:val="28"/>
          <w:szCs w:val="28"/>
        </w:rPr>
        <w:t xml:space="preserve">2.1  Manual Blood Glucose Logging (SMBG)</w:t>
      </w:r>
    </w:p>
    <w:p>
      <w:pPr>
        <w:spacing w:after="80" w:before="80"/>
      </w:pPr>
      <w:r>
        <w:rPr>
          <w:rFonts w:ascii="Arial" w:cs="Arial" w:eastAsia="Arial" w:hAnsi="Arial"/>
          <w:color w:val="404040"/>
          <w:sz w:val="22"/>
          <w:szCs w:val="22"/>
        </w:rPr>
        <w:t xml:space="preserve">Patients can log fingerstick blood glucose readings at any time. Each reading is validated (0–600 mg/dL range), timestamped, tagged with a source flag, and optionally annotated with free-text notes.</w:t>
      </w:r>
    </w:p>
    <w:p>
      <w:pPr>
        <w:spacing w:after="0" w:before="0"/>
      </w:pPr>
      <w:r>
        <w:t xml:space="preserve"/>
      </w:r>
    </w:p>
    <w:p>
      <w:pPr>
        <w:spacing w:after="80" w:before="80"/>
      </w:pPr>
      <w:r>
        <w:rPr>
          <w:rFonts w:ascii="Arial" w:cs="Arial" w:eastAsia="Arial" w:hAnsi="Arial"/>
          <w:color w:val="404040"/>
          <w:sz w:val="22"/>
          <w:szCs w:val="22"/>
        </w:rPr>
        <w:t xml:space="preserve">When a reading is saved, the backend immediately calculates a stable baseline for that moment by subtracting the net pharmacodynamic effect (meal absorption minus insulin activity) from the raw glucose value. This baseline is stored alongside each reading and is used by the glucose estimation engine to provide continuity between readings.</w:t>
      </w:r>
    </w:p>
    <w:p>
      <w:pPr>
        <w:spacing w:after="0" w:before="0"/>
      </w:pPr>
      <w:r>
        <w:t xml:space="preserve"/>
      </w:r>
    </w:p>
    <w:p>
      <w:pPr>
        <w:spacing w:after="80" w:before="80"/>
      </w:pPr>
      <w:r>
        <w:rPr>
          <w:rFonts w:ascii="Arial" w:cs="Arial" w:eastAsia="Arial" w:hAnsi="Arial"/>
          <w:color w:val="404040"/>
          <w:sz w:val="22"/>
          <w:szCs w:val="22"/>
        </w:rPr>
        <w:t xml:space="preserve">Key behaviours:</w:t>
      </w:r>
    </w:p>
    <w:p>
      <w:pPr>
        <w:pStyle w:val="ListParagraph"/>
        <w:numPr>
          <w:ilvl w:val="0"/>
          <w:numId w:val="3"/>
        </w:numPr>
        <w:spacing w:after="60" w:before="60"/>
      </w:pPr>
      <w:r>
        <w:rPr>
          <w:rFonts w:ascii="Arial" w:cs="Arial" w:eastAsia="Arial" w:hAnsi="Arial"/>
          <w:color w:val="404040"/>
          <w:sz w:val="22"/>
          <w:szCs w:val="22"/>
        </w:rPr>
        <w:t xml:space="preserve">Supports both real-time logging and back-dated entries via a custom timestamp picker.</w:t>
      </w:r>
    </w:p>
    <w:p>
      <w:pPr>
        <w:pStyle w:val="ListParagraph"/>
        <w:numPr>
          <w:ilvl w:val="0"/>
          <w:numId w:val="3"/>
        </w:numPr>
        <w:spacing w:after="60" w:before="60"/>
      </w:pPr>
      <w:r>
        <w:rPr>
          <w:rFonts w:ascii="Arial" w:cs="Arial" w:eastAsia="Arial" w:hAnsi="Arial"/>
          <w:color w:val="404040"/>
          <w:sz w:val="22"/>
          <w:szCs w:val="22"/>
        </w:rPr>
        <w:t xml:space="preserve">Readings are cross-linked between the blood_sugar and meals collections for unified timeline queries.</w:t>
      </w:r>
    </w:p>
    <w:p>
      <w:pPr>
        <w:pStyle w:val="ListParagraph"/>
        <w:numPr>
          <w:ilvl w:val="0"/>
          <w:numId w:val="3"/>
        </w:numPr>
        <w:spacing w:after="60" w:before="60"/>
      </w:pPr>
      <w:r>
        <w:rPr>
          <w:rFonts w:ascii="Arial" w:cs="Arial" w:eastAsia="Arial" w:hAnsi="Arial"/>
          <w:color w:val="404040"/>
          <w:sz w:val="22"/>
          <w:szCs w:val="22"/>
        </w:rPr>
        <w:t xml:space="preserve">Status classification (low / normal / high) is computed against the patient’s personal target glucose value, not a fixed threshold.</w:t>
      </w:r>
    </w:p>
    <w:p>
      <w:pPr>
        <w:pStyle w:val="ListParagraph"/>
        <w:numPr>
          <w:ilvl w:val="0"/>
          <w:numId w:val="3"/>
        </w:numPr>
        <w:spacing w:after="60" w:before="60"/>
      </w:pPr>
      <w:r>
        <w:rPr>
          <w:rFonts w:ascii="Arial" w:cs="Arial" w:eastAsia="Arial" w:hAnsi="Arial"/>
          <w:color w:val="404040"/>
          <w:sz w:val="22"/>
          <w:szCs w:val="22"/>
        </w:rPr>
        <w:t xml:space="preserve">Doctors can query a patient’s glucose history with configurable date/time range filters and can toggle between reading time and insertion time for filtering.</w:t>
      </w:r>
    </w:p>
    <w:p>
      <w:pPr>
        <w:spacing w:after="160" w:before="320"/>
      </w:pPr>
      <w:r>
        <w:rPr>
          <w:rFonts w:ascii="Arial" w:cs="Arial" w:eastAsia="Arial" w:hAnsi="Arial"/>
          <w:b/>
          <w:bCs/>
          <w:color w:val="2E75B6"/>
          <w:sz w:val="28"/>
          <w:szCs w:val="28"/>
        </w:rPr>
        <w:t xml:space="preserve">2.2  CGM Integration — Abbott LibreLinkUp</w:t>
      </w:r>
    </w:p>
    <w:p>
      <w:pPr>
        <w:spacing w:after="80" w:before="80"/>
      </w:pPr>
      <w:r>
        <w:rPr>
          <w:rFonts w:ascii="Arial" w:cs="Arial" w:eastAsia="Arial" w:hAnsi="Arial"/>
          <w:color w:val="404040"/>
          <w:sz w:val="22"/>
          <w:szCs w:val="22"/>
        </w:rPr>
        <w:t xml:space="preserve">DiaTwin integrates with the Abbott LibreLinkUp API to automatically import Continuous Glucose Monitor (CGM) readings from patients who use the FreeStyle Libre sensor family. This feature bridges the gap between manual logging and fully continuous monitoring without requiring any hardware integration on DiaTwin’s side.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after="80" w:before="80"/>
            </w:pPr>
            <w:r>
              <w:rPr>
                <w:rFonts w:ascii="Arial" w:cs="Arial" w:eastAsia="Arial" w:hAnsi="Arial"/>
                <w:b/>
                <w:bCs/>
                <w:color w:val="1A4B8C"/>
                <w:sz w:val="22"/>
                <w:szCs w:val="22"/>
              </w:rPr>
              <w:t xml:space="preserve">LibreLinkUp Connection</w:t>
            </w:r>
          </w:p>
          <w:p>
            <w:pPr>
              <w:spacing w:after="80" w:before="60"/>
            </w:pPr>
            <w:r>
              <w:rPr>
                <w:rFonts w:ascii="Arial" w:cs="Arial" w:eastAsia="Arial" w:hAnsi="Arial"/>
                <w:color w:val="404040"/>
                <w:sz w:val="20"/>
                <w:szCs w:val="20"/>
              </w:rPr>
              <w:t xml:space="preserve">Patients securely connect their Abbott LibreLinkUp account using their LibreLinkUp email and password. Credentials are encrypted using Fernet symmetric encryption before storage, and the LibreLinkUp authentication token is refreshed automatically before expiry — ensuring uninterrupted sync without requiring the patient to re-login.</w:t>
            </w:r>
          </w:p>
          <w:p>
            <w:pPr>
              <w:pStyle w:val="ListParagraph"/>
              <w:numPr>
                <w:ilvl w:val="0"/>
                <w:numId w:val="4"/>
              </w:numPr>
              <w:spacing w:after="40" w:before="40"/>
            </w:pPr>
            <w:r>
              <w:rPr>
                <w:rFonts w:ascii="Arial" w:cs="Arial" w:eastAsia="Arial" w:hAnsi="Arial"/>
                <w:color w:val="666666"/>
                <w:sz w:val="20"/>
                <w:szCs w:val="20"/>
              </w:rPr>
              <w:t xml:space="preserve">Multi-region support: EU, US, AUS, CA, JP, DE, FR, NL, SE, SE2, and global fallback.</w:t>
            </w:r>
          </w:p>
          <w:p>
            <w:pPr>
              <w:pStyle w:val="ListParagraph"/>
              <w:numPr>
                <w:ilvl w:val="0"/>
                <w:numId w:val="4"/>
              </w:numPr>
              <w:spacing w:after="40" w:before="40"/>
            </w:pPr>
            <w:r>
              <w:rPr>
                <w:rFonts w:ascii="Arial" w:cs="Arial" w:eastAsia="Arial" w:hAnsi="Arial"/>
                <w:color w:val="666666"/>
                <w:sz w:val="20"/>
                <w:szCs w:val="20"/>
              </w:rPr>
              <w:t xml:space="preserve">Auto-detect region: the service tries the stored region first, then falls back to a configurable list.</w:t>
            </w:r>
          </w:p>
          <w:p>
            <w:pPr>
              <w:pStyle w:val="ListParagraph"/>
              <w:numPr>
                <w:ilvl w:val="0"/>
                <w:numId w:val="4"/>
              </w:numPr>
              <w:spacing w:after="40" w:before="40"/>
            </w:pPr>
            <w:r>
              <w:rPr>
                <w:rFonts w:ascii="Arial" w:cs="Arial" w:eastAsia="Arial" w:hAnsi="Arial"/>
                <w:color w:val="666666"/>
                <w:sz w:val="20"/>
                <w:szCs w:val="20"/>
              </w:rPr>
              <w:t xml:space="preserve">Token auto-refresh: tokens are refreshed up to 24 hours before expiry.</w:t>
            </w:r>
          </w:p>
          <w:p>
            <w:pPr>
              <w:pStyle w:val="ListParagraph"/>
              <w:numPr>
                <w:ilvl w:val="0"/>
                <w:numId w:val="4"/>
              </w:numPr>
              <w:spacing w:after="40" w:before="40"/>
            </w:pPr>
            <w:r>
              <w:rPr>
                <w:rFonts w:ascii="Arial" w:cs="Arial" w:eastAsia="Arial" w:hAnsi="Arial"/>
                <w:color w:val="666666"/>
                <w:sz w:val="20"/>
                <w:szCs w:val="20"/>
              </w:rPr>
              <w:t xml:space="preserve">Connection status, last sync time, sync interval, and patient name are surfaced to the app.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after="80" w:before="80"/>
            </w:pPr>
            <w:r>
              <w:rPr>
                <w:rFonts w:ascii="Arial" w:cs="Arial" w:eastAsia="Arial" w:hAnsi="Arial"/>
                <w:b/>
                <w:bCs/>
                <w:color w:val="1A4B8C"/>
                <w:sz w:val="22"/>
                <w:szCs w:val="22"/>
              </w:rPr>
              <w:t xml:space="preserve">CGM Auto-Sync Scheduler</w:t>
            </w:r>
          </w:p>
          <w:p>
            <w:pPr>
              <w:spacing w:after="80" w:before="60"/>
            </w:pPr>
            <w:r>
              <w:rPr>
                <w:rFonts w:ascii="Arial" w:cs="Arial" w:eastAsia="Arial" w:hAnsi="Arial"/>
                <w:color w:val="404040"/>
                <w:sz w:val="20"/>
                <w:szCs w:val="20"/>
              </w:rPr>
              <w:t xml:space="preserve">A background APScheduler job runs inside the Flask process and wakes up every 4 minutes to check which patients have auto-sync enabled and whose last sync is due. It calls the same sync logic as the manual sync endpoint, ensuring consistency.</w:t>
            </w:r>
          </w:p>
          <w:p>
            <w:pPr>
              <w:pStyle w:val="ListParagraph"/>
              <w:numPr>
                <w:ilvl w:val="0"/>
                <w:numId w:val="4"/>
              </w:numPr>
              <w:spacing w:after="40" w:before="40"/>
            </w:pPr>
            <w:r>
              <w:rPr>
                <w:rFonts w:ascii="Arial" w:cs="Arial" w:eastAsia="Arial" w:hAnsi="Arial"/>
                <w:color w:val="666666"/>
                <w:sz w:val="20"/>
                <w:szCs w:val="20"/>
              </w:rPr>
              <w:t xml:space="preserve">Per-patient configurable sync interval (minimum 4 minutes, default 5 minutes).</w:t>
            </w:r>
          </w:p>
          <w:p>
            <w:pPr>
              <w:pStyle w:val="ListParagraph"/>
              <w:numPr>
                <w:ilvl w:val="0"/>
                <w:numId w:val="4"/>
              </w:numPr>
              <w:spacing w:after="40" w:before="40"/>
            </w:pPr>
            <w:r>
              <w:rPr>
                <w:rFonts w:ascii="Arial" w:cs="Arial" w:eastAsia="Arial" w:hAnsi="Arial"/>
                <w:color w:val="666666"/>
                <w:sz w:val="20"/>
                <w:szCs w:val="20"/>
              </w:rPr>
              <w:t xml:space="preserve">Coalesced runs: missed syncs merge into one, preventing catch-up floods.</w:t>
            </w:r>
          </w:p>
          <w:p>
            <w:pPr>
              <w:pStyle w:val="ListParagraph"/>
              <w:numPr>
                <w:ilvl w:val="0"/>
                <w:numId w:val="4"/>
              </w:numPr>
              <w:spacing w:after="40" w:before="40"/>
            </w:pPr>
            <w:r>
              <w:rPr>
                <w:rFonts w:ascii="Arial" w:cs="Arial" w:eastAsia="Arial" w:hAnsi="Arial"/>
                <w:color w:val="666666"/>
                <w:sz w:val="20"/>
                <w:szCs w:val="20"/>
              </w:rPr>
              <w:t xml:space="preserve">Max 1 concurrent instance per job, with a 60-second misfire grace period.</w:t>
            </w:r>
          </w:p>
          <w:p>
            <w:pPr>
              <w:pStyle w:val="ListParagraph"/>
              <w:numPr>
                <w:ilvl w:val="0"/>
                <w:numId w:val="4"/>
              </w:numPr>
              <w:spacing w:after="40" w:before="40"/>
            </w:pPr>
            <w:r>
              <w:rPr>
                <w:rFonts w:ascii="Arial" w:cs="Arial" w:eastAsia="Arial" w:hAnsi="Arial"/>
                <w:color w:val="666666"/>
                <w:sz w:val="20"/>
                <w:szCs w:val="20"/>
              </w:rPr>
              <w:t xml:space="preserve">Doubles as a Render.com free-tier keep-alive, preventing dyno spin-down.</w:t>
            </w:r>
          </w:p>
          <w:p>
            <w:pPr>
              <w:pStyle w:val="ListParagraph"/>
              <w:numPr>
                <w:ilvl w:val="0"/>
                <w:numId w:val="4"/>
              </w:numPr>
              <w:spacing w:after="40" w:before="40"/>
            </w:pPr>
            <w:r>
              <w:rPr>
                <w:rFonts w:ascii="Arial" w:cs="Arial" w:eastAsia="Arial" w:hAnsi="Arial"/>
                <w:color w:val="666666"/>
                <w:sz w:val="20"/>
                <w:szCs w:val="20"/>
              </w:rPr>
              <w:t xml:space="preserve">Error isolation: one patient’s sync failure never blocks other patients.</w:t>
            </w:r>
          </w:p>
        </w:tc>
      </w:tr>
    </w:tbl>
    <w:p>
      <w:pPr>
        <w:spacing w:after="0" w:before="0"/>
      </w:pPr>
      <w:r>
        <w:t xml:space="preserve"/>
      </w:r>
    </w:p>
    <w:p>
      <w:pPr>
        <w:spacing w:after="80" w:before="80"/>
      </w:pPr>
      <w:r>
        <w:rPr>
          <w:rFonts w:ascii="Arial" w:cs="Arial" w:eastAsia="Arial" w:hAnsi="Arial"/>
          <w:color w:val="404040"/>
          <w:sz w:val="22"/>
          <w:szCs w:val="22"/>
        </w:rPr>
        <w:t xml:space="preserve">Each sync imports up to 500 readings. CGM readings and manual scans are both imported and stored in the meals collection (source-tagged as libre_cgm) and the blood_sugar collection. Duplicate prevention ensures each reading is imported only once, keyed by timestamp.</w:t>
      </w:r>
    </w:p>
    <w:p>
      <w:pPr>
        <w:spacing w:after="160" w:before="320"/>
      </w:pPr>
      <w:r>
        <w:rPr>
          <w:rFonts w:ascii="Arial" w:cs="Arial" w:eastAsia="Arial" w:hAnsi="Arial"/>
          <w:b/>
          <w:bCs/>
          <w:color w:val="2E75B6"/>
          <w:sz w:val="28"/>
          <w:szCs w:val="28"/>
        </w:rPr>
        <w:t xml:space="preserve">2.3  Blood Glucose Visualization</w:t>
      </w:r>
    </w:p>
    <w:p>
      <w:pPr>
        <w:spacing w:after="80" w:before="80"/>
      </w:pPr>
      <w:r>
        <w:rPr>
          <w:rFonts w:ascii="Arial" w:cs="Arial" w:eastAsia="Arial" w:hAnsi="Arial"/>
          <w:color w:val="404040"/>
          <w:sz w:val="22"/>
          <w:szCs w:val="22"/>
        </w:rPr>
        <w:t xml:space="preserve">The glucose chart renders a time-series view of the patient’s glucose history. The chart layers actual readings, estimated values between readings, and CGM data on a single interactive timeline.</w:t>
      </w:r>
    </w:p>
    <w:p>
      <w:pPr>
        <w:pStyle w:val="ListParagraph"/>
        <w:numPr>
          <w:ilvl w:val="0"/>
          <w:numId w:val="3"/>
        </w:numPr>
        <w:spacing w:after="60" w:before="60"/>
      </w:pPr>
      <w:r>
        <w:rPr>
          <w:rFonts w:ascii="Arial" w:cs="Arial" w:eastAsia="Arial" w:hAnsi="Arial"/>
          <w:color w:val="404040"/>
          <w:sz w:val="22"/>
          <w:szCs w:val="22"/>
        </w:rPr>
        <w:t xml:space="preserve">Range selectors: 24 hours, 7 days, 30 days.</w:t>
      </w:r>
    </w:p>
    <w:p>
      <w:pPr>
        <w:pStyle w:val="ListParagraph"/>
        <w:numPr>
          <w:ilvl w:val="0"/>
          <w:numId w:val="3"/>
        </w:numPr>
        <w:spacing w:after="60" w:before="60"/>
      </w:pPr>
      <w:r>
        <w:rPr>
          <w:rFonts w:ascii="Arial" w:cs="Arial" w:eastAsia="Arial" w:hAnsi="Arial"/>
          <w:color w:val="404040"/>
          <w:sz w:val="22"/>
          <w:szCs w:val="22"/>
        </w:rPr>
        <w:t xml:space="preserve">Target range band displayed at the patient’s configured target glucose ± tolerance.</w:t>
      </w:r>
    </w:p>
    <w:p>
      <w:pPr>
        <w:pStyle w:val="ListParagraph"/>
        <w:numPr>
          <w:ilvl w:val="0"/>
          <w:numId w:val="3"/>
        </w:numPr>
        <w:spacing w:after="60" w:before="60"/>
      </w:pPr>
      <w:r>
        <w:rPr>
          <w:rFonts w:ascii="Arial" w:cs="Arial" w:eastAsia="Arial" w:hAnsi="Arial"/>
          <w:color w:val="404040"/>
          <w:sz w:val="22"/>
          <w:szCs w:val="22"/>
        </w:rPr>
        <w:t xml:space="preserve">Colour-coded status: low (red), normal (green), high (orange).</w:t>
      </w:r>
    </w:p>
    <w:p>
      <w:pPr>
        <w:pStyle w:val="ListParagraph"/>
        <w:numPr>
          <w:ilvl w:val="0"/>
          <w:numId w:val="3"/>
        </w:numPr>
        <w:spacing w:after="60" w:before="60"/>
      </w:pPr>
      <w:r>
        <w:rPr>
          <w:rFonts w:ascii="Arial" w:cs="Arial" w:eastAsia="Arial" w:hAnsi="Arial"/>
          <w:color w:val="404040"/>
          <w:sz w:val="22"/>
          <w:szCs w:val="22"/>
        </w:rPr>
        <w:t xml:space="preserve">CGM data points visually distinguished from manual fingerstick readings.</w:t>
      </w:r>
    </w:p>
    <w:p>
      <w:pPr>
        <w:pStyle w:val="ListParagraph"/>
        <w:numPr>
          <w:ilvl w:val="0"/>
          <w:numId w:val="3"/>
        </w:numPr>
        <w:spacing w:after="60" w:before="60"/>
      </w:pPr>
      <w:r>
        <w:rPr>
          <w:rFonts w:ascii="Arial" w:cs="Arial" w:eastAsia="Arial" w:hAnsi="Arial"/>
          <w:color w:val="404040"/>
          <w:sz w:val="22"/>
          <w:szCs w:val="22"/>
        </w:rPr>
        <w:t xml:space="preserve">Estimated values rendered with reduced opacity / confidence weighting so patients can distinguish estimates from real readings.</w:t>
      </w:r>
    </w:p>
    <w:p>
      <w:pPr>
        <w:spacing w:after="200" w:before="400"/>
      </w:pPr>
      <w:r>
        <w:rPr>
          <w:rFonts w:ascii="Arial" w:cs="Arial" w:eastAsia="Arial" w:hAnsi="Arial"/>
          <w:b/>
          <w:bCs/>
          <w:color w:val="1A4B8C"/>
          <w:sz w:val="36"/>
          <w:szCs w:val="36"/>
        </w:rPr>
        <w:t xml:space="preserve">3. Meal Tracking &amp; Insulin Calculation</w:t>
      </w:r>
    </w:p>
    <w:p>
      <w:pPr>
        <w:spacing w:after="160" w:before="320"/>
      </w:pPr>
      <w:r>
        <w:rPr>
          <w:rFonts w:ascii="Arial" w:cs="Arial" w:eastAsia="Arial" w:hAnsi="Arial"/>
          <w:b/>
          <w:bCs/>
          <w:color w:val="2E75B6"/>
          <w:sz w:val="28"/>
          <w:szCs w:val="28"/>
        </w:rPr>
        <w:t xml:space="preserve">3.1  Meal Logging</w:t>
      </w:r>
    </w:p>
    <w:p>
      <w:pPr>
        <w:spacing w:after="80" w:before="80"/>
      </w:pPr>
      <w:r>
        <w:rPr>
          <w:rFonts w:ascii="Arial" w:cs="Arial" w:eastAsia="Arial" w:hAnsi="Arial"/>
          <w:color w:val="404040"/>
          <w:sz w:val="22"/>
          <w:szCs w:val="22"/>
        </w:rPr>
        <w:t xml:space="preserve">The meal logging module allows patients to record full meals with individual food items, portion sizes, meal type (breakfast, lunch, dinner, snack), and timing. The system supports six meal types including a dedicated snack type, and each food item can be logged with a wide variety of measurement units.</w:t>
      </w:r>
    </w:p>
    <w:p>
      <w:pPr>
        <w:spacing w:after="0" w:before="0"/>
      </w:pPr>
      <w:r>
        <w:t xml:space="preserve"/>
      </w:r>
    </w:p>
    <w:p>
      <w:pPr>
        <w:spacing w:after="80" w:before="80"/>
      </w:pPr>
      <w:r>
        <w:rPr>
          <w:rFonts w:ascii="Arial" w:cs="Arial" w:eastAsia="Arial" w:hAnsi="Arial"/>
          <w:color w:val="404040"/>
          <w:sz w:val="22"/>
          <w:szCs w:val="22"/>
        </w:rPr>
        <w:t xml:space="preserve">Supported measurement units:</w:t>
      </w:r>
    </w:p>
    <w:p>
      <w:pPr>
        <w:pStyle w:val="ListParagraph"/>
        <w:numPr>
          <w:ilvl w:val="0"/>
          <w:numId w:val="3"/>
        </w:numPr>
        <w:spacing w:after="60" w:before="60"/>
      </w:pPr>
      <w:r>
        <w:rPr>
          <w:rFonts w:ascii="Arial" w:cs="Arial" w:eastAsia="Arial" w:hAnsi="Arial"/>
          <w:color w:val="404040"/>
          <w:sz w:val="22"/>
          <w:szCs w:val="22"/>
        </w:rPr>
        <w:t xml:space="preserve">Volume: ml, l, fl_oz, cup, tbsp, tsp</w:t>
      </w:r>
    </w:p>
    <w:p>
      <w:pPr>
        <w:pStyle w:val="ListParagraph"/>
        <w:numPr>
          <w:ilvl w:val="0"/>
          <w:numId w:val="3"/>
        </w:numPr>
        <w:spacing w:after="60" w:before="60"/>
      </w:pPr>
      <w:r>
        <w:rPr>
          <w:rFonts w:ascii="Arial" w:cs="Arial" w:eastAsia="Arial" w:hAnsi="Arial"/>
          <w:color w:val="404040"/>
          <w:sz w:val="22"/>
          <w:szCs w:val="22"/>
        </w:rPr>
        <w:t xml:space="preserve">Weight: g, kg, oz, lb</w:t>
      </w:r>
    </w:p>
    <w:p>
      <w:pPr>
        <w:pStyle w:val="ListParagraph"/>
        <w:numPr>
          <w:ilvl w:val="0"/>
          <w:numId w:val="3"/>
        </w:numPr>
        <w:spacing w:after="60" w:before="60"/>
      </w:pPr>
      <w:r>
        <w:rPr>
          <w:rFonts w:ascii="Arial" w:cs="Arial" w:eastAsia="Arial" w:hAnsi="Arial"/>
          <w:color w:val="404040"/>
          <w:sz w:val="22"/>
          <w:szCs w:val="22"/>
        </w:rPr>
        <w:t xml:space="preserve">Standard portions: plate (300 g), palm (85 g), handful (30 g), fist (150 g), bowl (400 ml)</w:t>
      </w:r>
    </w:p>
    <w:p>
      <w:pPr>
        <w:spacing w:after="160" w:before="320"/>
      </w:pPr>
      <w:r>
        <w:rPr>
          <w:rFonts w:ascii="Arial" w:cs="Arial" w:eastAsia="Arial" w:hAnsi="Arial"/>
          <w:b/>
          <w:bCs/>
          <w:color w:val="2E75B6"/>
          <w:sz w:val="28"/>
          <w:szCs w:val="28"/>
        </w:rPr>
        <w:t xml:space="preserve">3.2  Food Database</w:t>
      </w:r>
    </w:p>
    <w:p>
      <w:pPr>
        <w:spacing w:after="80" w:before="80"/>
      </w:pPr>
      <w:r>
        <w:rPr>
          <w:rFonts w:ascii="Arial" w:cs="Arial" w:eastAsia="Arial" w:hAnsi="Arial"/>
          <w:color w:val="404040"/>
          <w:sz w:val="22"/>
          <w:szCs w:val="22"/>
        </w:rPr>
        <w:t xml:space="preserve">DiaTwin ships with a comprehensive built-in food database covering 15 food categories, each pre-populated with carbohydrate, protein, fat, serving size, and absorption speed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Basic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Core staples — bread, rice, pasta, potatoes, eggs,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Starch List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Cereals, grains, starchy sides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Starchy Vegetables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Corn, sweet potato, parsnip,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Pulses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Lentils, chickpeas, beans, peas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Fruits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Fresh and dried fruits with glycaemic index context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Milk &amp; Dairy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Milk, yoghurt, cheese, cream — including lactose carb content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Sweets &amp; Desserts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Biscuits, cakes, chocolate, ice cream</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Snacks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Crisps, crackers, popcorn, granola bars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Common Snacks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Fast-moving convenience snacks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Protein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Meat, fish, eggs, tofu — relevant for protein-driven glucose effect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Fat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Nuts, oils, butter — relevant for delayed absorption modelling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Indian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meals: dal, biryani, samosa, curries, naan,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Chinese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Fried rice, noodles, dim sum, dumplings, spring rolls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Italian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Pasta varieties, pizza, risotto, focaccia, tiramisu</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Egyptian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 medames, koshari, feteer, om ali, kunafa, etc.</w:t>
            </w:r>
          </w:p>
        </w:tc>
      </w:tr>
    </w:tbl>
    <w:p>
      <w:pPr>
        <w:spacing w:after="0" w:before="0"/>
      </w:pPr>
      <w:r>
        <w:t xml:space="preserve"/>
      </w:r>
    </w:p>
    <w:p>
      <w:pPr>
        <w:spacing w:after="80" w:before="80"/>
      </w:pPr>
      <w:r>
        <w:rPr>
          <w:rFonts w:ascii="Arial" w:cs="Arial" w:eastAsia="Arial" w:hAnsi="Arial"/>
          <w:color w:val="404040"/>
          <w:sz w:val="22"/>
          <w:szCs w:val="22"/>
        </w:rPr>
        <w:t xml:space="preserve">In addition to the built-in database, patients can add custom food items with their own nutritional data, absorption type, and serving size. Custom foods are stored per-user and participate in all search, meal logging, and nutritional summary features.</w:t>
      </w:r>
    </w:p>
    <w:p>
      <w:pPr>
        <w:spacing w:after="160" w:before="320"/>
      </w:pPr>
      <w:r>
        <w:rPr>
          <w:rFonts w:ascii="Arial" w:cs="Arial" w:eastAsia="Arial" w:hAnsi="Arial"/>
          <w:b/>
          <w:bCs/>
          <w:color w:val="2E75B6"/>
          <w:sz w:val="28"/>
          <w:szCs w:val="28"/>
        </w:rPr>
        <w:t xml:space="preserve">3.3  Insulin Dose Calculation Engine</w:t>
      </w:r>
    </w:p>
    <w:p>
      <w:pPr>
        <w:spacing w:after="80" w:before="80"/>
      </w:pPr>
      <w:r>
        <w:rPr>
          <w:rFonts w:ascii="Arial" w:cs="Arial" w:eastAsia="Arial" w:hAnsi="Arial"/>
          <w:color w:val="404040"/>
          <w:sz w:val="22"/>
          <w:szCs w:val="22"/>
        </w:rPr>
        <w:t xml:space="preserve">When a patient logs a meal, DiaTwin calculates the recommended insulin dose using a multi-factor algorithm that reflects the clinical realities of T1D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Carbohydrate Dose</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Total carbs ÷ insulin-to-carb ratio (ICR), personalised per patient</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Protein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Protein × protein_factor added to carb dose (delayed glucose effect)</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Fat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Fat × fat_factor (slows absorption, extends insulin need)</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 Timing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Breakfast +20%, dinner −10% vs. standard — reflects dawn phenomenon</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Time-of-Day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Morning (6–10 h): +20%; daytime: ×1.0; late night: −10%</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Absorption Modifier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Very slow ×0.6 → very fast ×1.4 — adjusts dose to absorption speed</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 Coefficient</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Vigorous activity −20% to sedentary +20% — adjusts for insulin sensitivity</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Disease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T1D ×1.0; T2D ×0.8; gestational ×1.2; insulin resistance ×0.7; etc.</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IOB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Active insulin on board is subtracted from the suggested dose to prevent stacking</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Correction Dose</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Optional: (current BG − target BG) ÷ correction factor</w:t>
            </w:r>
          </w:p>
        </w:tc>
      </w:tr>
    </w:tbl>
    <w:p>
      <w:pPr>
        <w:spacing w:after="0" w:before="0"/>
      </w:pPr>
      <w:r>
        <w:t xml:space="preserve"/>
      </w:r>
    </w:p>
    <w:p>
      <w:pPr>
        <w:spacing w:after="80" w:before="80"/>
      </w:pPr>
      <w:r>
        <w:rPr>
          <w:rFonts w:ascii="Arial" w:cs="Arial" w:eastAsia="Arial" w:hAnsi="Arial"/>
          <w:color w:val="404040"/>
          <w:sz w:val="22"/>
          <w:szCs w:val="22"/>
        </w:rPr>
        <w:t xml:space="preserve">Insulin timing guidance is also provided: based on the meal’s absorption speed, the system recommends when to take insulin before eating (e.g., ‘Take insulin 15 minutes before meal’ for a fast-absorbing food).</w:t>
      </w:r>
    </w:p>
    <w:p>
      <w:pPr>
        <w:spacing w:after="160" w:before="320"/>
      </w:pPr>
      <w:r>
        <w:rPr>
          <w:rFonts w:ascii="Arial" w:cs="Arial" w:eastAsia="Arial" w:hAnsi="Arial"/>
          <w:b/>
          <w:bCs/>
          <w:color w:val="2E75B6"/>
          <w:sz w:val="28"/>
          <w:szCs w:val="28"/>
        </w:rPr>
        <w:t xml:space="preserve">3.4  Meal Absorption Profiles (Pharmacodynamics)</w:t>
      </w:r>
    </w:p>
    <w:p>
      <w:pPr>
        <w:spacing w:after="80" w:before="80"/>
      </w:pPr>
      <w:r>
        <w:rPr>
          <w:rFonts w:ascii="Arial" w:cs="Arial" w:eastAsia="Arial" w:hAnsi="Arial"/>
          <w:color w:val="404040"/>
          <w:sz w:val="22"/>
          <w:szCs w:val="22"/>
        </w:rPr>
        <w:t xml:space="preserve">Each food item is assigned an absorption type, which maps to a physiologically-accurate gamma distribution curve. DiaTwin uses five standard absorption profiles: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Slow</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~20 min, peak ~3 h, duration ~8 h — legumes, fatty meals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Slow</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~15 min, peak ~2 h, duration ~6 h — whole grains, dairy</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Medium</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~10 min, peak ~1.5 h, duration ~4 h — standard mixed meals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Fast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~5 min, peak ~1 h, duration ~3 h — white bread, fruit</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Fast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~2 min, peak ~0.5 h, duration ~2 h — glucose tablets, juice</w:t>
            </w:r>
          </w:p>
        </w:tc>
      </w:tr>
    </w:tbl>
    <w:p>
      <w:pPr>
        <w:spacing w:after="0" w:before="0"/>
      </w:pPr>
      <w:r>
        <w:t xml:space="preserve"/>
      </w:r>
    </w:p>
    <w:p>
      <w:pPr>
        <w:spacing w:after="80" w:before="80"/>
      </w:pPr>
      <w:r>
        <w:rPr>
          <w:rFonts w:ascii="Arial" w:cs="Arial" w:eastAsia="Arial" w:hAnsi="Arial"/>
          <w:color w:val="404040"/>
          <w:sz w:val="22"/>
          <w:szCs w:val="22"/>
        </w:rPr>
        <w:t xml:space="preserve">The gamma distribution parameters are tuned to match physiological data from the German S3 clinical guidelines, capturing gastric emptying delay (onset), peak absorption, and the gradual trailing tail of carbohydrate release into the bloodstream.</w:t>
      </w:r>
    </w:p>
    <w:p>
      <w:pPr>
        <w:spacing w:after="160" w:before="320"/>
      </w:pPr>
      <w:r>
        <w:rPr>
          <w:rFonts w:ascii="Arial" w:cs="Arial" w:eastAsia="Arial" w:hAnsi="Arial"/>
          <w:b/>
          <w:bCs/>
          <w:color w:val="2E75B6"/>
          <w:sz w:val="28"/>
          <w:szCs w:val="28"/>
        </w:rPr>
        <w:t xml:space="preserve">3.5  Meal History &amp; Timeline</w:t>
      </w:r>
    </w:p>
    <w:p>
      <w:pPr>
        <w:spacing w:after="80" w:before="80"/>
      </w:pPr>
      <w:r>
        <w:rPr>
          <w:rFonts w:ascii="Arial" w:cs="Arial" w:eastAsia="Arial" w:hAnsi="Arial"/>
          <w:color w:val="404040"/>
          <w:sz w:val="22"/>
          <w:szCs w:val="22"/>
        </w:rPr>
        <w:t xml:space="preserve">Patients can browse their complete meal history with full nutritional breakdown, insulin calculation details, and blood glucose readings associated with each meal. The history view supports time-range filtering and is accessible to authorised doctors.</w:t>
      </w:r>
    </w:p>
    <w:p>
      <w:pPr>
        <w:spacing w:after="200" w:before="400"/>
      </w:pPr>
      <w:r>
        <w:rPr>
          <w:rFonts w:ascii="Arial" w:cs="Arial" w:eastAsia="Arial" w:hAnsi="Arial"/>
          <w:b/>
          <w:bCs/>
          <w:color w:val="1A4B8C"/>
          <w:sz w:val="36"/>
          <w:szCs w:val="36"/>
        </w:rPr>
        <w:t xml:space="preserve">4. Insulin &amp; Medication Management</w:t>
      </w:r>
    </w:p>
    <w:p>
      <w:pPr>
        <w:spacing w:after="160" w:before="320"/>
      </w:pPr>
      <w:r>
        <w:rPr>
          <w:rFonts w:ascii="Arial" w:cs="Arial" w:eastAsia="Arial" w:hAnsi="Arial"/>
          <w:b/>
          <w:bCs/>
          <w:color w:val="2E75B6"/>
          <w:sz w:val="28"/>
          <w:szCs w:val="28"/>
        </w:rPr>
        <w:t xml:space="preserve">4.1  Insulin Logging</w:t>
      </w:r>
    </w:p>
    <w:p>
      <w:pPr>
        <w:spacing w:after="80" w:before="80"/>
      </w:pPr>
      <w:r>
        <w:rPr>
          <w:rFonts w:ascii="Arial" w:cs="Arial" w:eastAsia="Arial" w:hAnsi="Arial"/>
          <w:color w:val="404040"/>
          <w:sz w:val="22"/>
          <w:szCs w:val="22"/>
        </w:rPr>
        <w:t xml:space="preserve">Patients can log insulin doses with the following attributes: medication type, dose amount (units), administration time, and an optional notes field. Each dose is stored in the medication_logs collection and is tagged as insulin for IOB calculations.</w:t>
      </w:r>
    </w:p>
    <w:p>
      <w:pPr>
        <w:spacing w:after="160" w:before="320"/>
      </w:pPr>
      <w:r>
        <w:rPr>
          <w:rFonts w:ascii="Arial" w:cs="Arial" w:eastAsia="Arial" w:hAnsi="Arial"/>
          <w:b/>
          <w:bCs/>
          <w:color w:val="2E75B6"/>
          <w:sz w:val="28"/>
          <w:szCs w:val="28"/>
        </w:rPr>
        <w:t xml:space="preserve">4.2  Insulin Pharmacodynamics (IOB Engine)</w:t>
      </w:r>
    </w:p>
    <w:p>
      <w:pPr>
        <w:spacing w:after="80" w:before="80"/>
      </w:pPr>
      <w:r>
        <w:rPr>
          <w:rFonts w:ascii="Arial" w:cs="Arial" w:eastAsia="Arial" w:hAnsi="Arial"/>
          <w:color w:val="404040"/>
          <w:sz w:val="22"/>
          <w:szCs w:val="22"/>
        </w:rPr>
        <w:t xml:space="preserve">DiaTwin models all major insulin types with pharmacokinetic parameters sourced directly from Table 9 of the German S3 Guideline (AWMF-Registry 057-013). Each insulin type has an individualised gamma distribution curve covering onset, peak, and total duration.</w:t>
      </w:r>
    </w:p>
    <w:p>
      <w:pPr>
        <w:spacing w:after="0" w:before="0"/>
      </w:pPr>
      <w:r>
        <w:t xml:space="preserve"/>
      </w:r>
    </w:p>
    <w:p>
      <w:pPr>
        <w:spacing w:after="80" w:before="80"/>
      </w:pPr>
      <w:r>
        <w:rPr>
          <w:rFonts w:ascii="Arial" w:cs="Arial" w:eastAsia="Arial" w:hAnsi="Arial"/>
          <w:color w:val="404040"/>
          <w:sz w:val="22"/>
          <w:szCs w:val="22"/>
        </w:rPr>
        <w:t xml:space="preserve">Supported insulin types include:</w:t>
      </w:r>
    </w:p>
    <w:p>
      <w:pPr>
        <w:pStyle w:val="ListParagraph"/>
        <w:numPr>
          <w:ilvl w:val="0"/>
          <w:numId w:val="3"/>
        </w:numPr>
        <w:spacing w:after="60" w:before="60"/>
      </w:pPr>
      <w:r>
        <w:rPr>
          <w:rFonts w:ascii="Arial" w:cs="Arial" w:eastAsia="Arial" w:hAnsi="Arial"/>
          <w:color w:val="404040"/>
          <w:sz w:val="22"/>
          <w:szCs w:val="22"/>
        </w:rPr>
        <w:t xml:space="preserve">Ultra-rapid analogues: Fiasp (insulin aspart faster), Lyumjev (lispro-aabc)</w:t>
      </w:r>
    </w:p>
    <w:p>
      <w:pPr>
        <w:pStyle w:val="ListParagraph"/>
        <w:numPr>
          <w:ilvl w:val="0"/>
          <w:numId w:val="3"/>
        </w:numPr>
        <w:spacing w:after="60" w:before="60"/>
      </w:pPr>
      <w:r>
        <w:rPr>
          <w:rFonts w:ascii="Arial" w:cs="Arial" w:eastAsia="Arial" w:hAnsi="Arial"/>
          <w:color w:val="404040"/>
          <w:sz w:val="22"/>
          <w:szCs w:val="22"/>
        </w:rPr>
        <w:t xml:space="preserve">Rapid-acting analogues: NovoRapid / Humalog / Apidra / Admelog</w:t>
      </w:r>
    </w:p>
    <w:p>
      <w:pPr>
        <w:pStyle w:val="ListParagraph"/>
        <w:numPr>
          <w:ilvl w:val="0"/>
          <w:numId w:val="3"/>
        </w:numPr>
        <w:spacing w:after="60" w:before="60"/>
      </w:pPr>
      <w:r>
        <w:rPr>
          <w:rFonts w:ascii="Arial" w:cs="Arial" w:eastAsia="Arial" w:hAnsi="Arial"/>
          <w:color w:val="404040"/>
          <w:sz w:val="22"/>
          <w:szCs w:val="22"/>
        </w:rPr>
        <w:t xml:space="preserve">Short-acting human insulin: Regular insulin (Humulin R, Novolin R)</w:t>
      </w:r>
    </w:p>
    <w:p>
      <w:pPr>
        <w:pStyle w:val="ListParagraph"/>
        <w:numPr>
          <w:ilvl w:val="0"/>
          <w:numId w:val="3"/>
        </w:numPr>
        <w:spacing w:after="60" w:before="60"/>
      </w:pPr>
      <w:r>
        <w:rPr>
          <w:rFonts w:ascii="Arial" w:cs="Arial" w:eastAsia="Arial" w:hAnsi="Arial"/>
          <w:color w:val="404040"/>
          <w:sz w:val="22"/>
          <w:szCs w:val="22"/>
        </w:rPr>
        <w:t xml:space="preserve">Intermediate-acting: NPH insulin (Humulin N, Novolin N)</w:t>
      </w:r>
    </w:p>
    <w:p>
      <w:pPr>
        <w:pStyle w:val="ListParagraph"/>
        <w:numPr>
          <w:ilvl w:val="0"/>
          <w:numId w:val="3"/>
        </w:numPr>
        <w:spacing w:after="60" w:before="60"/>
      </w:pPr>
      <w:r>
        <w:rPr>
          <w:rFonts w:ascii="Arial" w:cs="Arial" w:eastAsia="Arial" w:hAnsi="Arial"/>
          <w:color w:val="404040"/>
          <w:sz w:val="22"/>
          <w:szCs w:val="22"/>
        </w:rPr>
        <w:t xml:space="preserve">Long-acting analogues: Toujeo, Tresiba (degludec, 42+ h duration), Levemir</w:t>
      </w:r>
    </w:p>
    <w:p>
      <w:pPr>
        <w:pStyle w:val="ListParagraph"/>
        <w:numPr>
          <w:ilvl w:val="0"/>
          <w:numId w:val="3"/>
        </w:numPr>
        <w:spacing w:after="60" w:before="60"/>
      </w:pPr>
      <w:r>
        <w:rPr>
          <w:rFonts w:ascii="Arial" w:cs="Arial" w:eastAsia="Arial" w:hAnsi="Arial"/>
          <w:color w:val="404040"/>
          <w:sz w:val="22"/>
          <w:szCs w:val="22"/>
        </w:rPr>
        <w:t xml:space="preserve">Mixed insulins: 70/30, 50/50 combinations</w:t>
      </w:r>
    </w:p>
    <w:p>
      <w:pPr>
        <w:spacing w:after="0" w:before="0"/>
      </w:pPr>
      <w:r>
        <w:t xml:space="preserve"/>
      </w:r>
    </w:p>
    <w:p>
      <w:pPr>
        <w:spacing w:after="80" w:before="80"/>
      </w:pPr>
      <w:r>
        <w:rPr>
          <w:rFonts w:ascii="Arial" w:cs="Arial" w:eastAsia="Arial" w:hAnsi="Arial"/>
          <w:color w:val="404040"/>
          <w:sz w:val="22"/>
          <w:szCs w:val="22"/>
        </w:rPr>
        <w:t xml:space="preserve">The stacked insulin effect calculator aggregates IOB across all doses taken within the last 24 hours, computing a total current BG reduction estimate (dose × correction_factor × activity fraction). This total IOB is used both to offset suggested doses and to calculate baseline glucose shifts.</w:t>
      </w:r>
    </w:p>
    <w:p>
      <w:pPr>
        <w:spacing w:after="160" w:before="320"/>
      </w:pPr>
      <w:r>
        <w:rPr>
          <w:rFonts w:ascii="Arial" w:cs="Arial" w:eastAsia="Arial" w:hAnsi="Arial"/>
          <w:b/>
          <w:bCs/>
          <w:color w:val="2E75B6"/>
          <w:sz w:val="28"/>
          <w:szCs w:val="28"/>
        </w:rPr>
        <w:t xml:space="preserve">4.3  Medication Scheduling</w:t>
      </w:r>
    </w:p>
    <w:p>
      <w:pPr>
        <w:spacing w:after="80" w:before="80"/>
      </w:pPr>
      <w:r>
        <w:rPr>
          <w:rFonts w:ascii="Arial" w:cs="Arial" w:eastAsia="Arial" w:hAnsi="Arial"/>
          <w:color w:val="404040"/>
          <w:sz w:val="22"/>
          <w:szCs w:val="22"/>
        </w:rPr>
        <w:t xml:space="preserve">Patients can set recurring medication schedules with start/end dates and daily administration times. Active schedules are returned as part of the patient constants response, so the app can surface timely medication reminders. Doctors can also view and manage patient medication schedules.</w:t>
      </w:r>
    </w:p>
    <w:p>
      <w:pPr>
        <w:spacing w:after="160" w:before="320"/>
      </w:pPr>
      <w:r>
        <w:rPr>
          <w:rFonts w:ascii="Arial" w:cs="Arial" w:eastAsia="Arial" w:hAnsi="Arial"/>
          <w:b/>
          <w:bCs/>
          <w:color w:val="2E75B6"/>
          <w:sz w:val="28"/>
          <w:szCs w:val="28"/>
        </w:rPr>
        <w:t xml:space="preserve">4.4  Active Conditions &amp; Medications</w:t>
      </w:r>
    </w:p>
    <w:p>
      <w:pPr>
        <w:spacing w:after="80" w:before="80"/>
      </w:pPr>
      <w:r>
        <w:rPr>
          <w:rFonts w:ascii="Arial" w:cs="Arial" w:eastAsia="Arial" w:hAnsi="Arial"/>
          <w:color w:val="404040"/>
          <w:sz w:val="22"/>
          <w:szCs w:val="22"/>
        </w:rPr>
        <w:t xml:space="preserve">Patients can register active medical conditions (T1D, T2D, gestational diabetes, insulin resistance, thyroid disorders, celiac disease) and active medications. The system applies the corresponding disease and medication factors when calculating insulin doses, ensuring the recommendation reflects the patient’s full clinical picture.</w:t>
      </w:r>
    </w:p>
    <w:p>
      <w:pPr>
        <w:spacing w:after="200" w:before="400"/>
      </w:pPr>
      <w:r>
        <w:rPr>
          <w:rFonts w:ascii="Arial" w:cs="Arial" w:eastAsia="Arial" w:hAnsi="Arial"/>
          <w:b/>
          <w:bCs/>
          <w:color w:val="1A4B8C"/>
          <w:sz w:val="36"/>
          <w:szCs w:val="36"/>
        </w:rPr>
        <w:t xml:space="preserve">5. Cumulative Effects &amp; Baseline Tracking</w:t>
      </w:r>
    </w:p>
    <w:p>
      <w:pPr>
        <w:spacing w:after="160" w:before="320"/>
      </w:pPr>
      <w:r>
        <w:rPr>
          <w:rFonts w:ascii="Arial" w:cs="Arial" w:eastAsia="Arial" w:hAnsi="Arial"/>
          <w:b/>
          <w:bCs/>
          <w:color w:val="2E75B6"/>
          <w:sz w:val="28"/>
          <w:szCs w:val="28"/>
        </w:rPr>
        <w:t xml:space="preserve">5.1  Daily Baseline Reset</w:t>
      </w:r>
    </w:p>
    <w:p>
      <w:pPr>
        <w:spacing w:after="80" w:before="80"/>
      </w:pPr>
      <w:r>
        <w:rPr>
          <w:rFonts w:ascii="Arial" w:cs="Arial" w:eastAsia="Arial" w:hAnsi="Arial"/>
          <w:color w:val="404040"/>
          <w:sz w:val="22"/>
          <w:szCs w:val="22"/>
        </w:rPr>
        <w:t xml:space="preserve">DiaTwin maintains a cumulative baseline shift — the net blood glucose change accumulated since the patient’s configured daily reset time (default: 7:00 AM). This models the reality that in T1D, absorbed carbohydrates and insulin do not cancel each other out in real time: their effects compound across the day.</w:t>
      </w:r>
    </w:p>
    <w:p>
      <w:pPr>
        <w:spacing w:after="0" w:before="0"/>
      </w:pPr>
      <w:r>
        <w:t xml:space="preserve"/>
      </w:r>
    </w:p>
    <w:p>
      <w:pPr>
        <w:spacing w:after="80" w:before="80"/>
      </w:pPr>
      <w:r>
        <w:rPr>
          <w:rFonts w:ascii="Arial" w:cs="Arial" w:eastAsia="Arial" w:hAnsi="Arial"/>
          <w:color w:val="404040"/>
          <w:sz w:val="22"/>
          <w:szCs w:val="22"/>
        </w:rPr>
        <w:t xml:space="preserve">The reset hour is user-configurable (0–23 h) and is applied in the patient’s local timezone using a stored timezone offset in minutes. This prevents the reset from firing at the wrong local time for patients in non-UTC time zones.</w:t>
      </w:r>
    </w:p>
    <w:p>
      <w:pPr>
        <w:spacing w:after="160" w:before="320"/>
      </w:pPr>
      <w:r>
        <w:rPr>
          <w:rFonts w:ascii="Arial" w:cs="Arial" w:eastAsia="Arial" w:hAnsi="Arial"/>
          <w:b/>
          <w:bCs/>
          <w:color w:val="2E75B6"/>
          <w:sz w:val="28"/>
          <w:szCs w:val="28"/>
        </w:rPr>
        <w:t xml:space="preserve">5.2  Cumulative Effects API</w:t>
      </w:r>
    </w:p>
    <w:p>
      <w:pPr>
        <w:spacing w:after="80" w:before="80"/>
      </w:pPr>
      <w:r>
        <w:rPr>
          <w:rFonts w:ascii="Arial" w:cs="Arial" w:eastAsia="Arial" w:hAnsi="Arial"/>
          <w:color w:val="404040"/>
          <w:sz w:val="22"/>
          <w:szCs w:val="22"/>
        </w:rPr>
        <w:t xml:space="preserve">The /api/cumulative-effects endpoint returns:</w:t>
      </w:r>
    </w:p>
    <w:p>
      <w:pPr>
        <w:pStyle w:val="ListParagraph"/>
        <w:numPr>
          <w:ilvl w:val="0"/>
          <w:numId w:val="3"/>
        </w:numPr>
        <w:spacing w:after="60" w:before="60"/>
      </w:pPr>
      <w:r>
        <w:rPr>
          <w:rFonts w:ascii="Arial" w:cs="Arial" w:eastAsia="Arial" w:hAnsi="Arial"/>
          <w:color w:val="404040"/>
          <w:sz w:val="22"/>
          <w:szCs w:val="22"/>
        </w:rPr>
        <w:t xml:space="preserve">cumulative_meal_effect: total BG elevation from all absorbed carbohydrates since reset</w:t>
      </w:r>
    </w:p>
    <w:p>
      <w:pPr>
        <w:pStyle w:val="ListParagraph"/>
        <w:numPr>
          <w:ilvl w:val="0"/>
          <w:numId w:val="3"/>
        </w:numPr>
        <w:spacing w:after="60" w:before="60"/>
      </w:pPr>
      <w:r>
        <w:rPr>
          <w:rFonts w:ascii="Arial" w:cs="Arial" w:eastAsia="Arial" w:hAnsi="Arial"/>
          <w:color w:val="404040"/>
          <w:sz w:val="22"/>
          <w:szCs w:val="22"/>
        </w:rPr>
        <w:t xml:space="preserve">cumulative_insulin_effect: total BG reduction from all absorbed insulin since reset</w:t>
      </w:r>
    </w:p>
    <w:p>
      <w:pPr>
        <w:pStyle w:val="ListParagraph"/>
        <w:numPr>
          <w:ilvl w:val="0"/>
          <w:numId w:val="3"/>
        </w:numPr>
        <w:spacing w:after="60" w:before="60"/>
      </w:pPr>
      <w:r>
        <w:rPr>
          <w:rFonts w:ascii="Arial" w:cs="Arial" w:eastAsia="Arial" w:hAnsi="Arial"/>
          <w:color w:val="404040"/>
          <w:sz w:val="22"/>
          <w:szCs w:val="22"/>
        </w:rPr>
        <w:t xml:space="preserve">cumulative_net_baseline: net shift = meal effect + activity effect − insulin effect</w:t>
      </w:r>
    </w:p>
    <w:p>
      <w:pPr>
        <w:pStyle w:val="ListParagraph"/>
        <w:numPr>
          <w:ilvl w:val="0"/>
          <w:numId w:val="3"/>
        </w:numPr>
        <w:spacing w:after="60" w:before="60"/>
      </w:pPr>
      <w:r>
        <w:rPr>
          <w:rFonts w:ascii="Arial" w:cs="Arial" w:eastAsia="Arial" w:hAnsi="Arial"/>
          <w:color w:val="404040"/>
          <w:sz w:val="22"/>
          <w:szCs w:val="22"/>
        </w:rPr>
        <w:t xml:space="preserve">Individual meal and insulin contributions with timing details</w:t>
      </w:r>
    </w:p>
    <w:p>
      <w:pPr>
        <w:pStyle w:val="ListParagraph"/>
        <w:numPr>
          <w:ilvl w:val="0"/>
          <w:numId w:val="3"/>
        </w:numPr>
        <w:spacing w:after="60" w:before="60"/>
      </w:pPr>
      <w:r>
        <w:rPr>
          <w:rFonts w:ascii="Arial" w:cs="Arial" w:eastAsia="Arial" w:hAnsi="Arial"/>
          <w:color w:val="404040"/>
          <w:sz w:val="22"/>
          <w:szCs w:val="22"/>
        </w:rPr>
        <w:t xml:space="preserve">Next reset time, calculated in the patient’s local timezone</w:t>
      </w:r>
    </w:p>
    <w:p>
      <w:pPr>
        <w:spacing w:after="0" w:before="0"/>
      </w:pPr>
      <w:r>
        <w:t xml:space="preserve"/>
      </w:r>
    </w:p>
    <w:p>
      <w:pPr>
        <w:spacing w:after="80" w:before="80"/>
      </w:pPr>
      <w:r>
        <w:rPr>
          <w:rFonts w:ascii="Arial" w:cs="Arial" w:eastAsia="Arial" w:hAnsi="Arial"/>
          <w:color w:val="404040"/>
          <w:sz w:val="22"/>
          <w:szCs w:val="22"/>
        </w:rPr>
        <w:t xml:space="preserve">A companion endpoint /api/active-effects-full returns the complete picture: cumulative effects, current IOB, current MOB (Meal on Board), and an estimated current glucose based on the last actual reading plus all active effects.</w:t>
      </w:r>
    </w:p>
    <w:p>
      <w:pPr>
        <w:spacing w:after="160" w:before="320"/>
      </w:pPr>
      <w:r>
        <w:rPr>
          <w:rFonts w:ascii="Arial" w:cs="Arial" w:eastAsia="Arial" w:hAnsi="Arial"/>
          <w:b/>
          <w:bCs/>
          <w:color w:val="2E75B6"/>
          <w:sz w:val="28"/>
          <w:szCs w:val="28"/>
        </w:rPr>
        <w:t xml:space="preserve">5.3  Meal on Board (MOB)</w:t>
      </w:r>
    </w:p>
    <w:p>
      <w:pPr>
        <w:spacing w:after="80" w:before="80"/>
      </w:pPr>
      <w:r>
        <w:rPr>
          <w:rFonts w:ascii="Arial" w:cs="Arial" w:eastAsia="Arial" w:hAnsi="Arial"/>
          <w:color w:val="404040"/>
          <w:sz w:val="22"/>
          <w:szCs w:val="22"/>
        </w:rPr>
        <w:t xml:space="preserve">The /api/meal-on-board endpoint returns instantaneous active carbohydrate data for all meals currently being absorbed. For each active meal it provides:</w:t>
      </w:r>
    </w:p>
    <w:p>
      <w:pPr>
        <w:pStyle w:val="ListParagraph"/>
        <w:numPr>
          <w:ilvl w:val="0"/>
          <w:numId w:val="3"/>
        </w:numPr>
        <w:spacing w:after="60" w:before="60"/>
      </w:pPr>
      <w:r>
        <w:rPr>
          <w:rFonts w:ascii="Arial" w:cs="Arial" w:eastAsia="Arial" w:hAnsi="Arial"/>
          <w:color w:val="404040"/>
          <w:sz w:val="22"/>
          <w:szCs w:val="22"/>
        </w:rPr>
        <w:t xml:space="preserve">Active carbs (MOB): grams of carbohydrate still being absorbed</w:t>
      </w:r>
    </w:p>
    <w:p>
      <w:pPr>
        <w:pStyle w:val="ListParagraph"/>
        <w:numPr>
          <w:ilvl w:val="0"/>
          <w:numId w:val="3"/>
        </w:numPr>
        <w:spacing w:after="60" w:before="60"/>
      </w:pPr>
      <w:r>
        <w:rPr>
          <w:rFonts w:ascii="Arial" w:cs="Arial" w:eastAsia="Arial" w:hAnsi="Arial"/>
          <w:color w:val="404040"/>
          <w:sz w:val="22"/>
          <w:szCs w:val="22"/>
        </w:rPr>
        <w:t xml:space="preserve">Absorbed carbs: grams already absorbed (contributing to current glucose elevation)</w:t>
      </w:r>
    </w:p>
    <w:p>
      <w:pPr>
        <w:pStyle w:val="ListParagraph"/>
        <w:numPr>
          <w:ilvl w:val="0"/>
          <w:numId w:val="3"/>
        </w:numPr>
        <w:spacing w:after="60" w:before="60"/>
      </w:pPr>
      <w:r>
        <w:rPr>
          <w:rFonts w:ascii="Arial" w:cs="Arial" w:eastAsia="Arial" w:hAnsi="Arial"/>
          <w:color w:val="404040"/>
          <w:sz w:val="22"/>
          <w:szCs w:val="22"/>
        </w:rPr>
        <w:t xml:space="preserve">Pending BG rise: estimated future glucose rise from carbs not yet absorbed</w:t>
      </w:r>
    </w:p>
    <w:p>
      <w:pPr>
        <w:pStyle w:val="ListParagraph"/>
        <w:numPr>
          <w:ilvl w:val="0"/>
          <w:numId w:val="3"/>
        </w:numPr>
        <w:spacing w:after="60" w:before="60"/>
      </w:pPr>
      <w:r>
        <w:rPr>
          <w:rFonts w:ascii="Arial" w:cs="Arial" w:eastAsia="Arial" w:hAnsi="Arial"/>
          <w:color w:val="404040"/>
          <w:sz w:val="22"/>
          <w:szCs w:val="22"/>
        </w:rPr>
        <w:t xml:space="preserve">Absorption percentage and time-to-completion</w:t>
      </w:r>
    </w:p>
    <w:p>
      <w:pPr>
        <w:pStyle w:val="ListParagraph"/>
        <w:numPr>
          <w:ilvl w:val="0"/>
          <w:numId w:val="3"/>
        </w:numPr>
        <w:spacing w:after="60" w:before="60"/>
      </w:pPr>
      <w:r>
        <w:rPr>
          <w:rFonts w:ascii="Arial" w:cs="Arial" w:eastAsia="Arial" w:hAnsi="Arial"/>
          <w:color w:val="404040"/>
          <w:sz w:val="22"/>
          <w:szCs w:val="22"/>
        </w:rPr>
        <w:t xml:space="preserve">Is-past-peak flag: whether the meal has passed its absorption peak</w:t>
      </w:r>
    </w:p>
    <w:p>
      <w:pPr>
        <w:spacing w:after="200" w:before="400"/>
      </w:pPr>
      <w:r>
        <w:rPr>
          <w:rFonts w:ascii="Arial" w:cs="Arial" w:eastAsia="Arial" w:hAnsi="Arial"/>
          <w:b/>
          <w:bCs/>
          <w:color w:val="1A4B8C"/>
          <w:sz w:val="36"/>
          <w:szCs w:val="36"/>
        </w:rPr>
        <w:t xml:space="preserve">6. Activity Tracking</w:t>
      </w:r>
    </w:p>
    <w:p>
      <w:pPr>
        <w:spacing w:after="80" w:before="80"/>
      </w:pPr>
      <w:r>
        <w:rPr>
          <w:rFonts w:ascii="Arial" w:cs="Arial" w:eastAsia="Arial" w:hAnsi="Arial"/>
          <w:color w:val="404040"/>
          <w:sz w:val="22"/>
          <w:szCs w:val="22"/>
        </w:rPr>
        <w:t xml:space="preserve">DiaTwin models physical activity through two complementary mechanisms: a categorical activity coefficient that adjusts insulin dose calculations, and a full pharmacodynamic ODE engine that computes the real-time blood glucose impact of each exercise session.</w:t>
      </w:r>
    </w:p>
    <w:p>
      <w:pPr>
        <w:spacing w:after="160" w:before="320"/>
      </w:pPr>
      <w:r>
        <w:rPr>
          <w:rFonts w:ascii="Arial" w:cs="Arial" w:eastAsia="Arial" w:hAnsi="Arial"/>
          <w:b/>
          <w:bCs/>
          <w:color w:val="2E75B6"/>
          <w:sz w:val="28"/>
          <w:szCs w:val="28"/>
        </w:rPr>
        <w:t xml:space="preserve">6.1  Activity Level — Dose Adjustment Scale</w:t>
      </w:r>
    </w:p>
    <w:p>
      <w:pPr>
        <w:spacing w:after="80" w:before="80"/>
      </w:pPr>
      <w:r>
        <w:rPr>
          <w:rFonts w:ascii="Arial" w:cs="Arial" w:eastAsia="Arial" w:hAnsi="Arial"/>
          <w:color w:val="404040"/>
          <w:sz w:val="22"/>
          <w:szCs w:val="22"/>
        </w:rPr>
        <w:t xml:space="preserve">Patients can log a day-level activity context using a five-point scale: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Sedentary (−2)</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20% increase in insulin need (coefficient ×1.2)</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Sedentary (−1)</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10% increase (×1.1)</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Normal Activity (0)</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No adjustment (×1.0)</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Activity (+1)</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10% reduction in insulin need (×0.9)</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Vigorous Activity (+2)</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20% reduction (×0.8)</w:t>
            </w:r>
          </w:p>
        </w:tc>
      </w:tr>
    </w:tbl>
    <w:p>
      <w:pPr>
        <w:spacing w:after="160" w:before="320"/>
      </w:pPr>
      <w:r>
        <w:rPr>
          <w:rFonts w:ascii="Arial" w:cs="Arial" w:eastAsia="Arial" w:hAnsi="Arial"/>
          <w:b/>
          <w:bCs/>
          <w:color w:val="2E75B6"/>
          <w:sz w:val="28"/>
          <w:szCs w:val="28"/>
        </w:rPr>
        <w:t xml:space="preserve">6.2  Activity Pharmacodynamics — ODE Engine</w:t>
      </w:r>
    </w:p>
    <w:p>
      <w:pPr>
        <w:spacing w:after="80" w:before="80"/>
      </w:pPr>
      <w:r>
        <w:rPr>
          <w:rFonts w:ascii="Arial" w:cs="Arial" w:eastAsia="Arial" w:hAnsi="Arial"/>
          <w:color w:val="404040"/>
          <w:sz w:val="22"/>
          <w:szCs w:val="22"/>
        </w:rPr>
        <w:t xml:space="preserve">Beyond the categorical coefficient, DiaTwin models each individual exercise session using a three-state ODE system (Dalla Man, Breton &amp; Cobelli, 2009) to compute a session-level pharmacodynamic blood glucose effect in real time.</w:t>
      </w:r>
    </w:p>
    <w:p>
      <w:pPr>
        <w:spacing w:after="0" w:before="0"/>
      </w:pPr>
      <w:r>
        <w:t xml:space="preserve"/>
      </w:r>
    </w:p>
    <w:p>
      <w:pPr>
        <w:spacing w:after="80" w:before="80"/>
      </w:pPr>
      <w:r>
        <w:rPr>
          <w:rFonts w:ascii="Arial" w:cs="Arial" w:eastAsia="Arial" w:hAnsi="Arial"/>
          <w:color w:val="404040"/>
          <w:sz w:val="22"/>
          <w:szCs w:val="22"/>
        </w:rPr>
        <w:t xml:space="preserve">Y / Z / W State Variables:</w:t>
      </w:r>
    </w:p>
    <w:p>
      <w:pPr>
        <w:pStyle w:val="ListParagraph"/>
        <w:numPr>
          <w:ilvl w:val="0"/>
          <w:numId w:val="3"/>
        </w:numPr>
        <w:spacing w:after="60" w:before="60"/>
      </w:pPr>
      <w:r>
        <w:rPr>
          <w:rFonts w:ascii="Arial" w:cs="Arial" w:eastAsia="Arial" w:hAnsi="Arial"/>
          <w:color w:val="404040"/>
          <w:sz w:val="22"/>
          <w:szCs w:val="22"/>
        </w:rPr>
        <w:t xml:space="preserve">Y — First-order low-pass filter of heart rate above resting baseline (τ_HR = 5 min). Serves as a continuous energy-expenditure proxy, smoothing beat-to-beat variability.</w:t>
      </w:r>
    </w:p>
    <w:p>
      <w:pPr>
        <w:pStyle w:val="ListParagraph"/>
        <w:numPr>
          <w:ilvl w:val="0"/>
          <w:numId w:val="3"/>
        </w:numPr>
        <w:spacing w:after="60" w:before="60"/>
      </w:pPr>
      <w:r>
        <w:rPr>
          <w:rFonts w:ascii="Arial" w:cs="Arial" w:eastAsia="Arial" w:hAnsi="Arial"/>
          <w:color w:val="404040"/>
          <w:sz w:val="22"/>
          <w:szCs w:val="22"/>
        </w:rPr>
        <w:t xml:space="preserve">Z — Acute insulin-independent glucose uptake signal (IIRd). Z rises toward 1 during exercise when Y exceeds the onset threshold; it decays with τ_Z = 10 min after exercise ends.</w:t>
      </w:r>
    </w:p>
    <w:p>
      <w:pPr>
        <w:pStyle w:val="ListParagraph"/>
        <w:numPr>
          <w:ilvl w:val="0"/>
          <w:numId w:val="3"/>
        </w:numPr>
        <w:spacing w:after="60" w:before="60"/>
      </w:pPr>
      <w:r>
        <w:rPr>
          <w:rFonts w:ascii="Arial" w:cs="Arial" w:eastAsia="Arial" w:hAnsi="Arial"/>
          <w:color w:val="404040"/>
          <w:sz w:val="22"/>
          <w:szCs w:val="22"/>
        </w:rPr>
        <w:t xml:space="preserve">W — Cumulative load integral of Y during exercise, decaying with τ_W = 90 min in recovery. Drives the post-exercise ISF/CR sensitivity multiplier: 1 + α × W × (1 + Z), capped at 60% above baseline.</w:t>
      </w:r>
    </w:p>
    <w:p>
      <w:pPr>
        <w:spacing w:after="0" w:before="0"/>
      </w:pPr>
      <w:r>
        <w:t xml:space="preserve"/>
      </w:r>
    </w:p>
    <w:p>
      <w:pPr>
        <w:spacing w:after="80" w:before="80"/>
      </w:pPr>
      <w:r>
        <w:rPr>
          <w:rFonts w:ascii="Arial" w:cs="Arial" w:eastAsia="Arial" w:hAnsi="Arial"/>
          <w:color w:val="404040"/>
          <w:sz w:val="22"/>
          <w:szCs w:val="22"/>
        </w:rPr>
        <w:t xml:space="preserve">Heart Rate Input Pipeline — Three ingestion pathways are supported:</w:t>
      </w:r>
    </w:p>
    <w:p>
      <w:pPr>
        <w:pStyle w:val="ListParagraph"/>
        <w:numPr>
          <w:ilvl w:val="0"/>
          <w:numId w:val="3"/>
        </w:numPr>
        <w:spacing w:after="60" w:before="60"/>
      </w:pPr>
      <w:r>
        <w:rPr>
          <w:rFonts w:ascii="Arial" w:cs="Arial" w:eastAsia="Arial" w:hAnsi="Arial"/>
          <w:color w:val="404040"/>
          <w:sz w:val="22"/>
          <w:szCs w:val="22"/>
        </w:rPr>
        <w:t xml:space="preserve">Real-time wearable streaming. During a workout, a companion app opens a session and streams per-second HR samples in batches.</w:t>
      </w:r>
    </w:p>
    <w:p>
      <w:pPr>
        <w:pStyle w:val="ListParagraph"/>
        <w:numPr>
          <w:ilvl w:val="0"/>
          <w:numId w:val="3"/>
        </w:numPr>
        <w:spacing w:after="60" w:before="60"/>
      </w:pPr>
      <w:r>
        <w:rPr>
          <w:rFonts w:ascii="Arial" w:cs="Arial" w:eastAsia="Arial" w:hAnsi="Arial"/>
          <w:color w:val="404040"/>
          <w:sz w:val="22"/>
          <w:szCs w:val="22"/>
        </w:rPr>
        <w:t xml:space="preserve">Continuous all-day upload with swim-lane auto-segmentation. The backend classifies each sample into BPM zones: below 50 bpm → sedentary; 50–100 bpm → light; 100–140 bpm → moderate; above 140 bpm → vigorous.</w:t>
      </w:r>
    </w:p>
    <w:p>
      <w:pPr>
        <w:pStyle w:val="ListParagraph"/>
        <w:numPr>
          <w:ilvl w:val="0"/>
          <w:numId w:val="3"/>
        </w:numPr>
        <w:spacing w:after="60" w:before="60"/>
      </w:pPr>
      <w:r>
        <w:rPr>
          <w:rFonts w:ascii="Arial" w:cs="Arial" w:eastAsia="Arial" w:hAnsi="Arial"/>
          <w:color w:val="404040"/>
          <w:sz w:val="22"/>
          <w:szCs w:val="22"/>
        </w:rPr>
        <w:t xml:space="preserve">Categorical fallback (no wearable required). Builds a synthetic HR trace from the patient’s stored resting and maximum HR: light → 50% HR reserve, moderate → 65%, vigorous → 80%.</w:t>
      </w:r>
    </w:p>
    <w:p>
      <w:pPr>
        <w:spacing w:after="200" w:before="400"/>
      </w:pPr>
      <w:r>
        <w:rPr>
          <w:rFonts w:ascii="Arial" w:cs="Arial" w:eastAsia="Arial" w:hAnsi="Arial"/>
          <w:b/>
          <w:bCs/>
          <w:color w:val="1A4B8C"/>
          <w:sz w:val="36"/>
          <w:szCs w:val="36"/>
        </w:rPr>
        <w:t xml:space="preserve">7. Active Effects Visualization</w:t>
      </w:r>
    </w:p>
    <w:p>
      <w:pPr>
        <w:spacing w:after="80" w:before="80"/>
      </w:pPr>
      <w:r>
        <w:rPr>
          <w:rFonts w:ascii="Arial" w:cs="Arial" w:eastAsia="Arial" w:hAnsi="Arial"/>
          <w:color w:val="404040"/>
          <w:sz w:val="22"/>
          <w:szCs w:val="22"/>
        </w:rPr>
        <w:t xml:space="preserve">The Active Effects Display gives patients a real-time graphical view of how food and insulin are currently affecting their glucose. It renders time-series curves for:</w:t>
      </w:r>
    </w:p>
    <w:p>
      <w:pPr>
        <w:pStyle w:val="ListParagraph"/>
        <w:numPr>
          <w:ilvl w:val="0"/>
          <w:numId w:val="3"/>
        </w:numPr>
        <w:spacing w:after="60" w:before="60"/>
      </w:pPr>
      <w:r>
        <w:rPr>
          <w:rFonts w:ascii="Arial" w:cs="Arial" w:eastAsia="Arial" w:hAnsi="Arial"/>
          <w:color w:val="404040"/>
          <w:sz w:val="22"/>
          <w:szCs w:val="22"/>
        </w:rPr>
        <w:t xml:space="preserve">IOB curve: residual insulin activity over the next several hours</w:t>
      </w:r>
    </w:p>
    <w:p>
      <w:pPr>
        <w:pStyle w:val="ListParagraph"/>
        <w:numPr>
          <w:ilvl w:val="0"/>
          <w:numId w:val="3"/>
        </w:numPr>
        <w:spacing w:after="60" w:before="60"/>
      </w:pPr>
      <w:r>
        <w:rPr>
          <w:rFonts w:ascii="Arial" w:cs="Arial" w:eastAsia="Arial" w:hAnsi="Arial"/>
          <w:color w:val="404040"/>
          <w:sz w:val="22"/>
          <w:szCs w:val="22"/>
        </w:rPr>
        <w:t xml:space="preserve">MOB curve: residual carbohydrate absorption curve</w:t>
      </w:r>
    </w:p>
    <w:p>
      <w:pPr>
        <w:pStyle w:val="ListParagraph"/>
        <w:numPr>
          <w:ilvl w:val="0"/>
          <w:numId w:val="3"/>
        </w:numPr>
        <w:spacing w:after="60" w:before="60"/>
      </w:pPr>
      <w:r>
        <w:rPr>
          <w:rFonts w:ascii="Arial" w:cs="Arial" w:eastAsia="Arial" w:hAnsi="Arial"/>
          <w:color w:val="404040"/>
          <w:sz w:val="22"/>
          <w:szCs w:val="22"/>
        </w:rPr>
        <w:t xml:space="preserve">Net effect curve: IOB − MOB, showing whether glucose is likely rising or falling</w:t>
      </w:r>
    </w:p>
    <w:p>
      <w:pPr>
        <w:pStyle w:val="ListParagraph"/>
        <w:numPr>
          <w:ilvl w:val="0"/>
          <w:numId w:val="3"/>
        </w:numPr>
        <w:spacing w:after="60" w:before="60"/>
      </w:pPr>
      <w:r>
        <w:rPr>
          <w:rFonts w:ascii="Arial" w:cs="Arial" w:eastAsia="Arial" w:hAnsi="Arial"/>
          <w:color w:val="404040"/>
          <w:sz w:val="22"/>
          <w:szCs w:val="22"/>
        </w:rPr>
        <w:t xml:space="preserve">Estimated current glucose trajectory</w:t>
      </w:r>
    </w:p>
    <w:p>
      <w:pPr>
        <w:spacing w:after="200" w:before="400"/>
      </w:pPr>
      <w:r>
        <w:rPr>
          <w:rFonts w:ascii="Arial" w:cs="Arial" w:eastAsia="Arial" w:hAnsi="Arial"/>
          <w:b/>
          <w:bCs/>
          <w:color w:val="1A4B8C"/>
          <w:sz w:val="36"/>
          <w:szCs w:val="36"/>
        </w:rPr>
        <w:t xml:space="preserve">8. Patient Constants &amp; Personalisation</w:t>
      </w:r>
    </w:p>
    <w:p>
      <w:pPr>
        <w:spacing w:after="80" w:before="80"/>
      </w:pPr>
      <w:r>
        <w:rPr>
          <w:rFonts w:ascii="Arial" w:cs="Arial" w:eastAsia="Arial" w:hAnsi="Arial"/>
          <w:color w:val="404040"/>
          <w:sz w:val="22"/>
          <w:szCs w:val="22"/>
        </w:rPr>
        <w:t xml:space="preserve">DiaTwin is built on the principle that no two T1D patients are the same. Every calculation-driving parameter is patient-specific and adjustable: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insulin_to_carb_ratio</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Units of insulin per gram of carbohydrate (default: 10)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correction_factor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mg/dL glucose drop per unit of insulin (default: 40)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target_glucose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Personal target blood glucose in mg/dL (default: 100)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protein_factor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Fraction of protein treated as carbohydrate equivalent (default: 0.5)</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fat_factor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Fraction of fat treated as carbohydrate equivalent (default: 0.2)</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carb_to_bg_factor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mg/dL rise per gram of absorbed carbohydrate (default: 4.0)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daily_reset_hour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Hour of day (local time) when cumulative effects reset (default: 7)</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timezone_offset_minutes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UTC offset for accurate local-time reset (e.g. UTC+2 = 120)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activity_coefficients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Five-level activity scale adjustments</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absorption_modifiers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Per-speed multipliers for the dose calculation</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insulin_timing_guidelines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Pre-meal insulin timing recommendations per absorption type</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meal_timing_factors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Per-meal-type dose multipliers (breakfast, lunch, dinner, snack)</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time_of_day_factors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Hourly insulin resistance modulation</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disease_factors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Per-condition dose multipliers</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medication_factors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Per-insulin-type pharmacokinetic parameters and dose adjustments</w:t>
            </w:r>
          </w:p>
        </w:tc>
      </w:tr>
    </w:tbl>
    <w:p>
      <w:pPr>
        <w:spacing w:after="0" w:before="0"/>
      </w:pPr>
      <w:r>
        <w:t xml:space="preserve"/>
      </w:r>
    </w:p>
    <w:p>
      <w:pPr>
        <w:spacing w:after="80" w:before="80"/>
      </w:pPr>
      <w:r>
        <w:rPr>
          <w:rFonts w:ascii="Arial" w:cs="Arial" w:eastAsia="Arial" w:hAnsi="Arial"/>
          <w:color w:val="404040"/>
          <w:sz w:val="22"/>
          <w:szCs w:val="22"/>
        </w:rPr>
        <w:t xml:space="preserve">A 60-second in-memory cache ensures that mobile app startup (which triggers 6+ parallel API calls) only hits the database once per patient, dramatically reducing MongoDB read load.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B — HEALTHCARE PROVIDER FEATURES</w:t>
            </w:r>
          </w:p>
        </w:tc>
      </w:tr>
    </w:tbl>
    <w:p>
      <w:pPr>
        <w:spacing w:after="0" w:before="0"/>
      </w:pPr>
      <w:r>
        <w:t xml:space="preserve"/>
      </w:r>
    </w:p>
    <w:p>
      <w:pPr>
        <w:spacing w:after="200" w:before="400"/>
      </w:pPr>
      <w:r>
        <w:rPr>
          <w:rFonts w:ascii="Arial" w:cs="Arial" w:eastAsia="Arial" w:hAnsi="Arial"/>
          <w:b/>
          <w:bCs/>
          <w:color w:val="1A4B8C"/>
          <w:sz w:val="36"/>
          <w:szCs w:val="36"/>
        </w:rPr>
        <w:t xml:space="preserve">9. Doctor Portal</w:t>
      </w:r>
    </w:p>
    <w:p>
      <w:pPr>
        <w:spacing w:after="160" w:before="320"/>
      </w:pPr>
      <w:r>
        <w:rPr>
          <w:rFonts w:ascii="Arial" w:cs="Arial" w:eastAsia="Arial" w:hAnsi="Arial"/>
          <w:b/>
          <w:bCs/>
          <w:color w:val="2E75B6"/>
          <w:sz w:val="28"/>
          <w:szCs w:val="28"/>
        </w:rPr>
        <w:t xml:space="preserve">9.1  Patient Panel</w:t>
      </w:r>
    </w:p>
    <w:p>
      <w:pPr>
        <w:spacing w:after="80" w:before="80"/>
      </w:pPr>
      <w:r>
        <w:rPr>
          <w:rFonts w:ascii="Arial" w:cs="Arial" w:eastAsia="Arial" w:hAnsi="Arial"/>
          <w:color w:val="404040"/>
          <w:sz w:val="22"/>
          <w:szCs w:val="22"/>
        </w:rPr>
        <w:t xml:space="preserve">Each doctor sees only the patients who have explicitly authorised them, ensuring privacy and consent-based access. Admins can view all patients. The patient list includes name, email, active conditions, and active medications.</w:t>
      </w:r>
    </w:p>
    <w:p>
      <w:pPr>
        <w:spacing w:after="160" w:before="320"/>
      </w:pPr>
      <w:r>
        <w:rPr>
          <w:rFonts w:ascii="Arial" w:cs="Arial" w:eastAsia="Arial" w:hAnsi="Arial"/>
          <w:b/>
          <w:bCs/>
          <w:color w:val="2E75B6"/>
          <w:sz w:val="28"/>
          <w:szCs w:val="28"/>
        </w:rPr>
        <w:t xml:space="preserve">9.2  Patient Data Views</w:t>
      </w:r>
    </w:p>
    <w:p>
      <w:pPr>
        <w:spacing w:after="80" w:before="80"/>
      </w:pPr>
      <w:r>
        <w:rPr>
          <w:rFonts w:ascii="Arial" w:cs="Arial" w:eastAsia="Arial" w:hAnsi="Arial"/>
          <w:color w:val="404040"/>
          <w:sz w:val="22"/>
          <w:szCs w:val="22"/>
        </w:rPr>
        <w:t xml:space="preserve">Authorised doctors can access the following patient data:</w:t>
      </w:r>
    </w:p>
    <w:p>
      <w:pPr>
        <w:pStyle w:val="ListParagraph"/>
        <w:numPr>
          <w:ilvl w:val="0"/>
          <w:numId w:val="3"/>
        </w:numPr>
        <w:spacing w:after="60" w:before="60"/>
      </w:pPr>
      <w:r>
        <w:rPr>
          <w:rFonts w:ascii="Arial" w:cs="Arial" w:eastAsia="Arial" w:hAnsi="Arial"/>
          <w:color w:val="404040"/>
          <w:sz w:val="22"/>
          <w:szCs w:val="22"/>
        </w:rPr>
        <w:t xml:space="preserve">Full glucose history with date/time range filtering (readings + CGM data)</w:t>
      </w:r>
    </w:p>
    <w:p>
      <w:pPr>
        <w:pStyle w:val="ListParagraph"/>
        <w:numPr>
          <w:ilvl w:val="0"/>
          <w:numId w:val="3"/>
        </w:numPr>
        <w:spacing w:after="60" w:before="60"/>
      </w:pPr>
      <w:r>
        <w:rPr>
          <w:rFonts w:ascii="Arial" w:cs="Arial" w:eastAsia="Arial" w:hAnsi="Arial"/>
          <w:color w:val="404040"/>
          <w:sz w:val="22"/>
          <w:szCs w:val="22"/>
        </w:rPr>
        <w:t xml:space="preserve">Complete meal history with nutritional breakdown and insulin calculations</w:t>
      </w:r>
    </w:p>
    <w:p>
      <w:pPr>
        <w:pStyle w:val="ListParagraph"/>
        <w:numPr>
          <w:ilvl w:val="0"/>
          <w:numId w:val="3"/>
        </w:numPr>
        <w:spacing w:after="60" w:before="60"/>
      </w:pPr>
      <w:r>
        <w:rPr>
          <w:rFonts w:ascii="Arial" w:cs="Arial" w:eastAsia="Arial" w:hAnsi="Arial"/>
          <w:color w:val="404040"/>
          <w:sz w:val="22"/>
          <w:szCs w:val="22"/>
        </w:rPr>
        <w:t xml:space="preserve">Medication logs and active insulin schedules</w:t>
      </w:r>
    </w:p>
    <w:p>
      <w:pPr>
        <w:pStyle w:val="ListParagraph"/>
        <w:numPr>
          <w:ilvl w:val="0"/>
          <w:numId w:val="3"/>
        </w:numPr>
        <w:spacing w:after="60" w:before="60"/>
      </w:pPr>
      <w:r>
        <w:rPr>
          <w:rFonts w:ascii="Arial" w:cs="Arial" w:eastAsia="Arial" w:hAnsi="Arial"/>
          <w:color w:val="404040"/>
          <w:sz w:val="22"/>
          <w:szCs w:val="22"/>
        </w:rPr>
        <w:t xml:space="preserve">Patient constants (ICR, correction factor, target glucose, and all other parameters)</w:t>
      </w:r>
    </w:p>
    <w:p>
      <w:pPr>
        <w:pStyle w:val="ListParagraph"/>
        <w:numPr>
          <w:ilvl w:val="0"/>
          <w:numId w:val="3"/>
        </w:numPr>
        <w:spacing w:after="60" w:before="60"/>
      </w:pPr>
      <w:r>
        <w:rPr>
          <w:rFonts w:ascii="Arial" w:cs="Arial" w:eastAsia="Arial" w:hAnsi="Arial"/>
          <w:color w:val="404040"/>
          <w:sz w:val="22"/>
          <w:szCs w:val="22"/>
        </w:rPr>
        <w:t xml:space="preserve">Activity logs</w:t>
      </w:r>
    </w:p>
    <w:p>
      <w:pPr>
        <w:pStyle w:val="ListParagraph"/>
        <w:numPr>
          <w:ilvl w:val="0"/>
          <w:numId w:val="3"/>
        </w:numPr>
        <w:spacing w:after="60" w:before="60"/>
      </w:pPr>
      <w:r>
        <w:rPr>
          <w:rFonts w:ascii="Arial" w:cs="Arial" w:eastAsia="Arial" w:hAnsi="Arial"/>
          <w:color w:val="404040"/>
          <w:sz w:val="22"/>
          <w:szCs w:val="22"/>
        </w:rPr>
        <w:t xml:space="preserve">Cumulative and active pharmacodynamic effects at any chosen point in time</w:t>
      </w:r>
    </w:p>
    <w:p>
      <w:pPr>
        <w:spacing w:after="160" w:before="320"/>
      </w:pPr>
      <w:r>
        <w:rPr>
          <w:rFonts w:ascii="Arial" w:cs="Arial" w:eastAsia="Arial" w:hAnsi="Arial"/>
          <w:b/>
          <w:bCs/>
          <w:color w:val="2E75B6"/>
          <w:sz w:val="28"/>
          <w:szCs w:val="28"/>
        </w:rPr>
        <w:t xml:space="preserve">9.3  Constants Management</w:t>
      </w:r>
    </w:p>
    <w:p>
      <w:pPr>
        <w:spacing w:after="80" w:before="80"/>
      </w:pPr>
      <w:r>
        <w:rPr>
          <w:rFonts w:ascii="Arial" w:cs="Arial" w:eastAsia="Arial" w:hAnsi="Arial"/>
          <w:color w:val="404040"/>
          <w:sz w:val="22"/>
          <w:szCs w:val="22"/>
        </w:rPr>
        <w:t xml:space="preserve">Doctors can read and update patient constants — insulin-to-carb ratio, correction factor, target glucose, and all other parameters — on behalf of the patient. Changes take effect immediately and are reflected in all subsequent calculations.</w:t>
      </w:r>
    </w:p>
    <w:p>
      <w:pPr>
        <w:spacing w:after="160" w:before="320"/>
      </w:pPr>
      <w:r>
        <w:rPr>
          <w:rFonts w:ascii="Arial" w:cs="Arial" w:eastAsia="Arial" w:hAnsi="Arial"/>
          <w:b/>
          <w:bCs/>
          <w:color w:val="2E75B6"/>
          <w:sz w:val="28"/>
          <w:szCs w:val="28"/>
        </w:rPr>
        <w:t xml:space="preserve">9.4  Access Control Model</w:t>
      </w:r>
    </w:p>
    <w:p>
      <w:pPr>
        <w:spacing w:after="80" w:before="80"/>
      </w:pPr>
      <w:r>
        <w:rPr>
          <w:rFonts w:ascii="Arial" w:cs="Arial" w:eastAsia="Arial" w:hAnsi="Arial"/>
          <w:color w:val="404040"/>
          <w:sz w:val="22"/>
          <w:szCs w:val="22"/>
        </w:rPr>
        <w:t xml:space="preserve">DiaTwin implements a three-tier RBAC (Role-Based Access Control) model: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Patient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Can view and manage their own data only. Can grant and revoke doctor access.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Doctor</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Can view all data of patients who have authorised them. Can update patient constants and medication schedules. Cannot access non-authorised patients.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Admin</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read access to all patients. Intended for platform oversight.</w:t>
            </w:r>
          </w:p>
        </w:tc>
      </w:tr>
    </w:tbl>
    <w:p>
      <w:pPr>
        <w:spacing w:after="0" w:before="0"/>
      </w:pPr>
      <w:r>
        <w:t xml:space="preserve"/>
      </w:r>
    </w:p>
    <w:p>
      <w:pPr>
        <w:spacing w:after="80" w:before="80"/>
      </w:pPr>
      <w:r>
        <w:rPr>
          <w:rFonts w:ascii="Arial" w:cs="Arial" w:eastAsia="Arial" w:hAnsi="Arial"/>
          <w:color w:val="404040"/>
          <w:sz w:val="22"/>
          <w:szCs w:val="22"/>
        </w:rPr>
        <w:t xml:space="preserve">The doctor–patient relationship is patient-initiated: patients browse the available doctor list and add doctors they trust. They can revoke access at any time. Doctors cannot add themselves to a patient’s list.</w:t>
      </w:r>
    </w:p>
    <w:p>
      <w:pPr>
        <w:spacing w:after="200" w:before="400"/>
      </w:pPr>
      <w:r>
        <w:rPr>
          <w:rFonts w:ascii="Arial" w:cs="Arial" w:eastAsia="Arial" w:hAnsi="Arial"/>
          <w:b/>
          <w:bCs/>
          <w:color w:val="1A4B8C"/>
          <w:sz w:val="36"/>
          <w:szCs w:val="36"/>
        </w:rPr>
        <w:t xml:space="preserve">10. Clinical Glucose Visualization (Doctor View)</w:t>
      </w:r>
    </w:p>
    <w:p>
      <w:pPr>
        <w:spacing w:after="80" w:before="80"/>
      </w:pPr>
      <w:r>
        <w:rPr>
          <w:rFonts w:ascii="Arial" w:cs="Arial" w:eastAsia="Arial" w:hAnsi="Arial"/>
          <w:color w:val="404040"/>
          <w:sz w:val="22"/>
          <w:szCs w:val="22"/>
        </w:rPr>
        <w:t xml:space="preserve">The ClinicalValidationDashboard and DoctorBGVisualization components give clinicians an overlay of actual readings against model-predicted glucose trajectories. This is particularly useful for:</w:t>
      </w:r>
    </w:p>
    <w:p>
      <w:pPr>
        <w:pStyle w:val="ListParagraph"/>
        <w:numPr>
          <w:ilvl w:val="0"/>
          <w:numId w:val="3"/>
        </w:numPr>
        <w:spacing w:after="60" w:before="60"/>
      </w:pPr>
      <w:r>
        <w:rPr>
          <w:rFonts w:ascii="Arial" w:cs="Arial" w:eastAsia="Arial" w:hAnsi="Arial"/>
          <w:color w:val="404040"/>
          <w:sz w:val="22"/>
          <w:szCs w:val="22"/>
        </w:rPr>
        <w:t xml:space="preserve">Identifying patterns of persistent hyperglycaemia or hypoglycaemia</w:t>
      </w:r>
    </w:p>
    <w:p>
      <w:pPr>
        <w:pStyle w:val="ListParagraph"/>
        <w:numPr>
          <w:ilvl w:val="0"/>
          <w:numId w:val="3"/>
        </w:numPr>
        <w:spacing w:after="60" w:before="60"/>
      </w:pPr>
      <w:r>
        <w:rPr>
          <w:rFonts w:ascii="Arial" w:cs="Arial" w:eastAsia="Arial" w:hAnsi="Arial"/>
          <w:color w:val="404040"/>
          <w:sz w:val="22"/>
          <w:szCs w:val="22"/>
        </w:rPr>
        <w:t xml:space="preserve">Comparing model predictions to actual outcomes — surfacing calibration issues with the patient’s constants</w:t>
      </w:r>
    </w:p>
    <w:p>
      <w:pPr>
        <w:pStyle w:val="ListParagraph"/>
        <w:numPr>
          <w:ilvl w:val="0"/>
          <w:numId w:val="3"/>
        </w:numPr>
        <w:spacing w:after="60" w:before="60"/>
      </w:pPr>
      <w:r>
        <w:rPr>
          <w:rFonts w:ascii="Arial" w:cs="Arial" w:eastAsia="Arial" w:hAnsi="Arial"/>
          <w:color w:val="404040"/>
          <w:sz w:val="22"/>
          <w:szCs w:val="22"/>
        </w:rPr>
        <w:t xml:space="preserve">Reviewing how meals and insulin interact over multi-day periods</w:t>
      </w:r>
    </w:p>
    <w:p>
      <w:pPr>
        <w:pStyle w:val="ListParagraph"/>
        <w:numPr>
          <w:ilvl w:val="0"/>
          <w:numId w:val="3"/>
        </w:numPr>
        <w:spacing w:after="60" w:before="60"/>
      </w:pPr>
      <w:r>
        <w:rPr>
          <w:rFonts w:ascii="Arial" w:cs="Arial" w:eastAsia="Arial" w:hAnsi="Arial"/>
          <w:color w:val="404040"/>
          <w:sz w:val="22"/>
          <w:szCs w:val="22"/>
        </w:rPr>
        <w:t xml:space="preserve">Tracking glycaemic variability across time of day (time-in-range patterns)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C — MOBILE APPLICATION (React Native)</w:t>
            </w:r>
          </w:p>
        </w:tc>
      </w:tr>
    </w:tbl>
    <w:p>
      <w:pPr>
        <w:spacing w:after="0" w:before="0"/>
      </w:pPr>
      <w:r>
        <w:t xml:space="preserve"/>
      </w:r>
    </w:p>
    <w:p>
      <w:pPr>
        <w:spacing w:after="200" w:before="400"/>
      </w:pPr>
      <w:r>
        <w:rPr>
          <w:rFonts w:ascii="Arial" w:cs="Arial" w:eastAsia="Arial" w:hAnsi="Arial"/>
          <w:b/>
          <w:bCs/>
          <w:color w:val="1A4B8C"/>
          <w:sz w:val="36"/>
          <w:szCs w:val="36"/>
        </w:rPr>
        <w:t xml:space="preserve">11. Mobile App Overview</w:t>
      </w:r>
    </w:p>
    <w:p>
      <w:pPr>
        <w:spacing w:after="80" w:before="80"/>
      </w:pPr>
      <w:r>
        <w:rPr>
          <w:rFonts w:ascii="Arial" w:cs="Arial" w:eastAsia="Arial" w:hAnsi="Arial"/>
          <w:color w:val="404040"/>
          <w:sz w:val="22"/>
          <w:szCs w:val="22"/>
        </w:rPr>
        <w:t xml:space="preserve">The DiaTwin mobile app is a fully featured iOS and Android application built with React Native and Expo Router. It is a first-class client — not a stripped-down companion app. Every patient feature available on the web is replicated on mobile, with mobile-native UX patterns including pull-to-refresh, modal pickers, swipe-to-confirm delete, and touch-optimised chart tooltips.</w:t>
      </w:r>
    </w:p>
    <w:p>
      <w:pPr>
        <w:spacing w:after="0" w:before="0"/>
      </w:pPr>
      <w:r>
        <w:t xml:space="preserve"/>
      </w:r>
    </w:p>
    <w:p>
      <w:pPr>
        <w:spacing w:after="80" w:before="80"/>
      </w:pPr>
      <w:r>
        <w:rPr>
          <w:rFonts w:ascii="Arial" w:cs="Arial" w:eastAsia="Arial" w:hAnsi="Arial"/>
          <w:color w:val="404040"/>
          <w:sz w:val="22"/>
          <w:szCs w:val="22"/>
        </w:rPr>
        <w:t xml:space="preserve">JWT tokens issued to mobile clients have a 90-day lifetime vs. 24-hour for web, eliminating the friction of repeated logins for a daily-use medical app.</w:t>
      </w:r>
    </w:p>
    <w:p>
      <w:pPr>
        <w:spacing w:after="160" w:before="320"/>
      </w:pPr>
      <w:r>
        <w:rPr>
          <w:rFonts w:ascii="Arial" w:cs="Arial" w:eastAsia="Arial" w:hAnsi="Arial"/>
          <w:b/>
          <w:bCs/>
          <w:color w:val="2E75B6"/>
          <w:sz w:val="28"/>
          <w:szCs w:val="28"/>
        </w:rPr>
        <w:t xml:space="preserve">11.1  Tab Navigation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Home (index)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Primary patient dashboard — charts, active effects, quick actions, recent meals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Log</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Quick multi-mode data entry (glucose / insulin / meal / activity)</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History</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Unified chronological feed of all health events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Visualization</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Dedicated full-screen chart explorer with three chart modes and interactive legends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Profile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Account settings, patient constants, device management, data export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Doctor Dashboard</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Doctor-only: patient list and deep per-patient clinical view</w:t>
            </w:r>
          </w:p>
        </w:tc>
      </w:tr>
    </w:tbl>
    <w:p>
      <w:pPr>
        <w:spacing w:after="200" w:before="400"/>
      </w:pPr>
      <w:r>
        <w:rPr>
          <w:rFonts w:ascii="Arial" w:cs="Arial" w:eastAsia="Arial" w:hAnsi="Arial"/>
          <w:b/>
          <w:bCs/>
          <w:color w:val="1A4B8C"/>
          <w:sz w:val="36"/>
          <w:szCs w:val="36"/>
        </w:rPr>
        <w:t xml:space="preserve">12. Patient Dashboard (Home Tab)</w:t>
      </w:r>
    </w:p>
    <w:p>
      <w:pPr>
        <w:spacing w:after="160" w:before="320"/>
      </w:pPr>
      <w:r>
        <w:rPr>
          <w:rFonts w:ascii="Arial" w:cs="Arial" w:eastAsia="Arial" w:hAnsi="Arial"/>
          <w:b/>
          <w:bCs/>
          <w:color w:val="2E75B6"/>
          <w:sz w:val="28"/>
          <w:szCs w:val="28"/>
        </w:rPr>
        <w:t xml:space="preserve">12.1  Glucose Summary Widget</w:t>
      </w:r>
    </w:p>
    <w:p>
      <w:pPr>
        <w:spacing w:after="80" w:before="80"/>
      </w:pPr>
      <w:r>
        <w:rPr>
          <w:rFonts w:ascii="Arial" w:cs="Arial" w:eastAsia="Arial" w:hAnsi="Arial"/>
          <w:color w:val="404040"/>
          <w:sz w:val="22"/>
          <w:szCs w:val="22"/>
        </w:rPr>
        <w:t xml:space="preserve">The GlucoseSummary card occupies the top of the dashboard and provides an at-a-glance clinical snapshot:</w:t>
      </w:r>
    </w:p>
    <w:p>
      <w:pPr>
        <w:pStyle w:val="ListParagraph"/>
        <w:numPr>
          <w:ilvl w:val="0"/>
          <w:numId w:val="3"/>
        </w:numPr>
        <w:spacing w:after="60" w:before="60"/>
      </w:pPr>
      <w:r>
        <w:rPr>
          <w:rFonts w:ascii="Arial" w:cs="Arial" w:eastAsia="Arial" w:hAnsi="Arial"/>
          <w:color w:val="404040"/>
          <w:sz w:val="22"/>
          <w:szCs w:val="22"/>
        </w:rPr>
        <w:t xml:space="preserve">Latest reading displayed in large type, colour-coded by status: green (normal 70–180 mg/dL), orange (low 54–70 / high 180–250), red (very low &lt;54 / very high &gt;250)</w:t>
      </w:r>
    </w:p>
    <w:p>
      <w:pPr>
        <w:pStyle w:val="ListParagraph"/>
        <w:numPr>
          <w:ilvl w:val="0"/>
          <w:numId w:val="3"/>
        </w:numPr>
        <w:spacing w:after="60" w:before="60"/>
      </w:pPr>
      <w:r>
        <w:rPr>
          <w:rFonts w:ascii="Arial" w:cs="Arial" w:eastAsia="Arial" w:hAnsi="Arial"/>
          <w:color w:val="404040"/>
          <w:sz w:val="22"/>
          <w:szCs w:val="22"/>
        </w:rPr>
        <w:t xml:space="preserve">Status badge with named label (Normal / Low / High / Very Low / Very High) and coloured dot</w:t>
      </w:r>
    </w:p>
    <w:p>
      <w:pPr>
        <w:pStyle w:val="ListParagraph"/>
        <w:numPr>
          <w:ilvl w:val="0"/>
          <w:numId w:val="3"/>
        </w:numPr>
        <w:spacing w:after="60" w:before="60"/>
      </w:pPr>
      <w:r>
        <w:rPr>
          <w:rFonts w:ascii="Arial" w:cs="Arial" w:eastAsia="Arial" w:hAnsi="Arial"/>
          <w:color w:val="404040"/>
          <w:sz w:val="22"/>
          <w:szCs w:val="22"/>
        </w:rPr>
        <w:t xml:space="preserve">Relative timestamp: ‘Just now’, ‘Xm ago’, ‘Xh ago’, or full date</w:t>
      </w:r>
    </w:p>
    <w:p>
      <w:pPr>
        <w:pStyle w:val="ListParagraph"/>
        <w:numPr>
          <w:ilvl w:val="0"/>
          <w:numId w:val="3"/>
        </w:numPr>
        <w:spacing w:after="60" w:before="60"/>
      </w:pPr>
      <w:r>
        <w:rPr>
          <w:rFonts w:ascii="Arial" w:cs="Arial" w:eastAsia="Arial" w:hAnsi="Arial"/>
          <w:color w:val="404040"/>
          <w:sz w:val="22"/>
          <w:szCs w:val="22"/>
        </w:rPr>
        <w:t xml:space="preserve">Mini trend strip: last four readings rendered as coloured dots with numeric values</w:t>
      </w:r>
    </w:p>
    <w:p>
      <w:pPr>
        <w:pStyle w:val="ListParagraph"/>
        <w:numPr>
          <w:ilvl w:val="0"/>
          <w:numId w:val="3"/>
        </w:numPr>
        <w:spacing w:after="60" w:before="60"/>
      </w:pPr>
      <w:r>
        <w:rPr>
          <w:rFonts w:ascii="Arial" w:cs="Arial" w:eastAsia="Arial" w:hAnsi="Arial"/>
          <w:color w:val="404040"/>
          <w:sz w:val="22"/>
          <w:szCs w:val="22"/>
        </w:rPr>
        <w:t xml:space="preserve">Target glucose display pulled from patient constants</w:t>
      </w:r>
    </w:p>
    <w:p>
      <w:pPr>
        <w:pStyle w:val="ListParagraph"/>
        <w:numPr>
          <w:ilvl w:val="0"/>
          <w:numId w:val="3"/>
        </w:numPr>
        <w:spacing w:after="60" w:before="60"/>
      </w:pPr>
      <w:r>
        <w:rPr>
          <w:rFonts w:ascii="Arial" w:cs="Arial" w:eastAsia="Arial" w:hAnsi="Arial"/>
          <w:color w:val="404040"/>
          <w:sz w:val="22"/>
          <w:szCs w:val="22"/>
        </w:rPr>
        <w:t xml:space="preserve">Optional Estimated BG and Active Insulin (IOB) metrics when ActiveEffectsDisplay data is available</w:t>
      </w:r>
    </w:p>
    <w:p>
      <w:pPr>
        <w:spacing w:after="160" w:before="320"/>
      </w:pPr>
      <w:r>
        <w:rPr>
          <w:rFonts w:ascii="Arial" w:cs="Arial" w:eastAsia="Arial" w:hAnsi="Arial"/>
          <w:b/>
          <w:bCs/>
          <w:color w:val="2E75B6"/>
          <w:sz w:val="28"/>
          <w:szCs w:val="28"/>
        </w:rPr>
        <w:t xml:space="preserve">12.2  Three-Chart Visualization Panel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 Chart (BloodGlucoseChart)</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Raw-glucose signal chart. Readings plotted as colour-coded segments. Five view windows: 3H, 6H, 12H, 24H, 3D. Stats bar: current reading, average, min, max, time-in-range %, and count.</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Effects Chart (EffectsVisualizationChart)</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Six simultaneously rendered pharmacodynamic series: Meal Effect (orange), Insulin Effect (purple), Net Effect (blue dashed), Cumulative Baseline Shift (green), Meal dose markers, Insulin dose markers. Each series individually toggleable.</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BG Projected (BloodGlucoseVisualization)</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Digital Twin visualization: actual glucose readings, estimates between readings, cumulative effects area, and net-effect curve on a single timeline.</w:t>
            </w:r>
          </w:p>
        </w:tc>
      </w:tr>
    </w:tbl>
    <w:p>
      <w:pPr>
        <w:spacing w:after="160" w:before="320"/>
      </w:pPr>
      <w:r>
        <w:rPr>
          <w:rFonts w:ascii="Arial" w:cs="Arial" w:eastAsia="Arial" w:hAnsi="Arial"/>
          <w:b/>
          <w:bCs/>
          <w:color w:val="2E75B6"/>
          <w:sz w:val="28"/>
          <w:szCs w:val="28"/>
        </w:rPr>
        <w:t xml:space="preserve">12.3  Active Effects Display</w:t>
      </w:r>
    </w:p>
    <w:p>
      <w:pPr>
        <w:spacing w:after="80" w:before="80"/>
      </w:pPr>
      <w:r>
        <w:rPr>
          <w:rFonts w:ascii="Arial" w:cs="Arial" w:eastAsia="Arial" w:hAnsi="Arial"/>
          <w:color w:val="404040"/>
          <w:sz w:val="22"/>
          <w:szCs w:val="22"/>
        </w:rPr>
        <w:t xml:space="preserve">All seven values are calculated entirely on-device using the frontend pharmacodynamics libraries — no network round-trip required:</w:t>
      </w:r>
    </w:p>
    <w:p>
      <w:pPr>
        <w:pStyle w:val="ListParagraph"/>
        <w:numPr>
          <w:ilvl w:val="0"/>
          <w:numId w:val="3"/>
        </w:numPr>
        <w:spacing w:after="60" w:before="60"/>
      </w:pPr>
      <w:r>
        <w:rPr>
          <w:rFonts w:ascii="Arial" w:cs="Arial" w:eastAsia="Arial" w:hAnsi="Arial"/>
          <w:color w:val="404040"/>
          <w:sz w:val="22"/>
          <w:szCs w:val="22"/>
        </w:rPr>
        <w:t xml:space="preserve">Insulin On Board (IOB): active insulin units, estimated BG reduction, per-dose contribution breakdown</w:t>
      </w:r>
    </w:p>
    <w:p>
      <w:pPr>
        <w:pStyle w:val="ListParagraph"/>
        <w:numPr>
          <w:ilvl w:val="0"/>
          <w:numId w:val="3"/>
        </w:numPr>
        <w:spacing w:after="60" w:before="60"/>
      </w:pPr>
      <w:r>
        <w:rPr>
          <w:rFonts w:ascii="Arial" w:cs="Arial" w:eastAsia="Arial" w:hAnsi="Arial"/>
          <w:color w:val="404040"/>
          <w:sz w:val="22"/>
          <w:szCs w:val="22"/>
        </w:rPr>
        <w:t xml:space="preserve">Meal On Board (MOB): grams of carbohydrate still being absorbed, equivalent pending BG rise</w:t>
      </w:r>
    </w:p>
    <w:p>
      <w:pPr>
        <w:pStyle w:val="ListParagraph"/>
        <w:numPr>
          <w:ilvl w:val="0"/>
          <w:numId w:val="3"/>
        </w:numPr>
        <w:spacing w:after="60" w:before="60"/>
      </w:pPr>
      <w:r>
        <w:rPr>
          <w:rFonts w:ascii="Arial" w:cs="Arial" w:eastAsia="Arial" w:hAnsi="Arial"/>
          <w:color w:val="404040"/>
          <w:sz w:val="22"/>
          <w:szCs w:val="22"/>
        </w:rPr>
        <w:t xml:space="preserve">Stable Baseline: derived from the last actual BG reading minus cumulative net pharmacodynamic effects</w:t>
      </w:r>
    </w:p>
    <w:p>
      <w:pPr>
        <w:pStyle w:val="ListParagraph"/>
        <w:numPr>
          <w:ilvl w:val="0"/>
          <w:numId w:val="3"/>
        </w:numPr>
        <w:spacing w:after="60" w:before="60"/>
      </w:pPr>
      <w:r>
        <w:rPr>
          <w:rFonts w:ascii="Arial" w:cs="Arial" w:eastAsia="Arial" w:hAnsi="Arial"/>
          <w:color w:val="404040"/>
          <w:sz w:val="22"/>
          <w:szCs w:val="22"/>
        </w:rPr>
        <w:t xml:space="preserve">Estimated Current BG: baseline plus net effect from all meals and insulin since daily reset</w:t>
      </w:r>
    </w:p>
    <w:p>
      <w:pPr>
        <w:pStyle w:val="ListParagraph"/>
        <w:numPr>
          <w:ilvl w:val="0"/>
          <w:numId w:val="3"/>
        </w:numPr>
        <w:spacing w:after="60" w:before="60"/>
      </w:pPr>
      <w:r>
        <w:rPr>
          <w:rFonts w:ascii="Arial" w:cs="Arial" w:eastAsia="Arial" w:hAnsi="Arial"/>
          <w:color w:val="404040"/>
          <w:sz w:val="22"/>
          <w:szCs w:val="22"/>
        </w:rPr>
        <w:t xml:space="preserve">Projected Final BG: estimated glucose when all current MOB and IOB fully resolve</w:t>
      </w:r>
    </w:p>
    <w:p>
      <w:pPr>
        <w:pStyle w:val="ListParagraph"/>
        <w:numPr>
          <w:ilvl w:val="0"/>
          <w:numId w:val="3"/>
        </w:numPr>
        <w:spacing w:after="60" w:before="60"/>
      </w:pPr>
      <w:r>
        <w:rPr>
          <w:rFonts w:ascii="Arial" w:cs="Arial" w:eastAsia="Arial" w:hAnsi="Arial"/>
          <w:color w:val="404040"/>
          <w:sz w:val="22"/>
          <w:szCs w:val="22"/>
        </w:rPr>
        <w:t xml:space="preserve">Trend: rising / stable / falling with colour-coded safety status (safe / caution / warning)</w:t>
      </w:r>
    </w:p>
    <w:p>
      <w:pPr>
        <w:pStyle w:val="ListParagraph"/>
        <w:numPr>
          <w:ilvl w:val="0"/>
          <w:numId w:val="3"/>
        </w:numPr>
        <w:spacing w:after="60" w:before="60"/>
      </w:pPr>
      <w:r>
        <w:rPr>
          <w:rFonts w:ascii="Arial" w:cs="Arial" w:eastAsia="Arial" w:hAnsi="Arial"/>
          <w:color w:val="404040"/>
          <w:sz w:val="22"/>
          <w:szCs w:val="22"/>
        </w:rPr>
        <w:t xml:space="preserve">Meal Timing Assessment: safety check indicating whether it is safe to eat now given current IOB/MOB</w:t>
      </w:r>
    </w:p>
    <w:p>
      <w:pPr>
        <w:spacing w:after="160" w:before="320"/>
      </w:pPr>
      <w:r>
        <w:rPr>
          <w:rFonts w:ascii="Arial" w:cs="Arial" w:eastAsia="Arial" w:hAnsi="Arial"/>
          <w:b/>
          <w:bCs/>
          <w:color w:val="2E75B6"/>
          <w:sz w:val="28"/>
          <w:szCs w:val="28"/>
        </w:rPr>
        <w:t xml:space="preserve">12.4  Quick Actions &amp; Recent Meals</w:t>
      </w:r>
    </w:p>
    <w:p>
      <w:pPr>
        <w:spacing w:after="80" w:before="80"/>
      </w:pPr>
      <w:r>
        <w:rPr>
          <w:rFonts w:ascii="Arial" w:cs="Arial" w:eastAsia="Arial" w:hAnsi="Arial"/>
          <w:color w:val="404040"/>
          <w:sz w:val="22"/>
          <w:szCs w:val="22"/>
        </w:rPr>
        <w:t xml:space="preserve">Four one-tap shortcut buttons (Log Meal / Log Glucose / Log Insulin / Log Activity) navigate directly to the relevant full-screen entry screens. A scrollable recent meals list shows the last five logged meals with carbohydrate content and suggested dose.</w:t>
      </w:r>
    </w:p>
    <w:p>
      <w:pPr>
        <w:spacing w:after="200" w:before="400"/>
      </w:pPr>
      <w:r>
        <w:rPr>
          <w:rFonts w:ascii="Arial" w:cs="Arial" w:eastAsia="Arial" w:hAnsi="Arial"/>
          <w:b/>
          <w:bCs/>
          <w:color w:val="1A4B8C"/>
          <w:sz w:val="36"/>
          <w:szCs w:val="36"/>
        </w:rPr>
        <w:t xml:space="preserve">13. Log Tab — Quick Entry &amp; Dedicated Log Screens</w:t>
      </w:r>
    </w:p>
    <w:p>
      <w:pPr>
        <w:spacing w:after="160" w:before="320"/>
      </w:pPr>
      <w:r>
        <w:rPr>
          <w:rFonts w:ascii="Arial" w:cs="Arial" w:eastAsia="Arial" w:hAnsi="Arial"/>
          <w:b/>
          <w:bCs/>
          <w:color w:val="2E75B6"/>
          <w:sz w:val="28"/>
          <w:szCs w:val="28"/>
        </w:rPr>
        <w:t xml:space="preserve">13.1  Quick Log Tab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Numeric entry with live validation, unit selector (mg/dL / mmol/L), timestamp picker, status indicator, reference range display.</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Type selector covering all S3-guideline insulin profiles, dose entry in units, optional meal type pairing, BG at time of injection, timestamp picker, notes field.</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 mode (QuickMealForm)</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Single-screen streamlined logger with FoodSearch inlined. Meal type selector, time picker, food search, and notes.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Activity level selector (−2 to +2), type (expected/completed), start/end time, duration, notes.</w:t>
            </w:r>
          </w:p>
        </w:tc>
      </w:tr>
    </w:tbl>
    <w:p>
      <w:pPr>
        <w:spacing w:after="160" w:before="320"/>
      </w:pPr>
      <w:r>
        <w:rPr>
          <w:rFonts w:ascii="Arial" w:cs="Arial" w:eastAsia="Arial" w:hAnsi="Arial"/>
          <w:b/>
          <w:bCs/>
          <w:color w:val="2E75B6"/>
          <w:sz w:val="28"/>
          <w:szCs w:val="28"/>
        </w:rPr>
        <w:t xml:space="preserve">13.2  Full Meal Screen (MealForm)</w:t>
      </w:r>
    </w:p>
    <w:p>
      <w:pPr>
        <w:spacing w:after="80" w:before="80"/>
      </w:pPr>
      <w:r>
        <w:rPr>
          <w:rFonts w:ascii="Arial" w:cs="Arial" w:eastAsia="Arial" w:hAnsi="Arial"/>
          <w:color w:val="404040"/>
          <w:sz w:val="22"/>
          <w:szCs w:val="22"/>
        </w:rPr>
        <w:t xml:space="preserve">The full meal logging screen includes a complete 9-step on-device insulin calculation pipeline: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Search</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Module-level cache pre-seeded from shared-constants on mount. 300ms debounce. Search and Favourites tabs.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Portion Entry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Any unit: g, kg, ml, l, cup, tbsp, tsp, plate, palm, handful, fist, bowl.</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On-Device Calculation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Step 1: total nutrients. Step 2: protein &amp; fat → carb equivalents. Step 3: base insulin. Step 4: activity impact. Step 5: correction dose. Step 6: IOB/MOB deduction. Step 7: peak-overlap adjustment. Step 8: health multipliers. Step 9: safety floor &amp; rounding.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InsulinBreakdown panel</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Expandable detailed breakdown showing base insulin, carb equivalents, absorption factor, meal timing factor, activity coefficient, correction insulin, IOB deduction, health multiplier, and final formula.</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Timing Guideline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Recommended pre-meal insulin injection timing based on absorption profile of selected foods.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Logging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Log the actual insulin dose inline, timestamped to injection time. Submitted together with meal record.</w:t>
            </w:r>
          </w:p>
        </w:tc>
      </w:tr>
    </w:tbl>
    <w:p>
      <w:pPr>
        <w:spacing w:after="200" w:before="400"/>
      </w:pPr>
      <w:r>
        <w:rPr>
          <w:rFonts w:ascii="Arial" w:cs="Arial" w:eastAsia="Arial" w:hAnsi="Arial"/>
          <w:b/>
          <w:bCs/>
          <w:color w:val="1A4B8C"/>
          <w:sz w:val="36"/>
          <w:szCs w:val="36"/>
        </w:rPr>
        <w:t xml:space="preserve">14. Visualization Tab</w:t>
      </w:r>
    </w:p>
    <w:p>
      <w:pPr>
        <w:spacing w:after="160" w:before="320"/>
      </w:pPr>
      <w:r>
        <w:rPr>
          <w:rFonts w:ascii="Arial" w:cs="Arial" w:eastAsia="Arial" w:hAnsi="Arial"/>
          <w:b/>
          <w:bCs/>
          <w:color w:val="2E75B6"/>
          <w:sz w:val="28"/>
          <w:szCs w:val="28"/>
        </w:rPr>
        <w:t xml:space="preserve">14.1  Three Chart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 (default)</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BloodGlucoseChart — pure raw glucose curve with time-in-range analysis. Stats bar: current / average / min / max / TIR%.</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Effects</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EffectsVisualizationChart — dual-line MOB/IOB pharmacodynamic chart with cumulative baseline shift.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BG Projected</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BloodGlucoseVisualization — projected BG with actual readings, confidence bands, cumulative meal/insulin fills, and T1D baseline step-line.</w:t>
            </w:r>
          </w:p>
        </w:tc>
      </w:tr>
    </w:tbl>
    <w:p>
      <w:pPr>
        <w:spacing w:after="160" w:before="320"/>
      </w:pPr>
      <w:r>
        <w:rPr>
          <w:rFonts w:ascii="Arial" w:cs="Arial" w:eastAsia="Arial" w:hAnsi="Arial"/>
          <w:b/>
          <w:bCs/>
          <w:color w:val="2E75B6"/>
          <w:sz w:val="28"/>
          <w:szCs w:val="28"/>
        </w:rPr>
        <w:t xml:space="preserve">14.2  Interactive Chart Legend</w:t>
      </w:r>
    </w:p>
    <w:p>
      <w:pPr>
        <w:pStyle w:val="ListParagraph"/>
        <w:numPr>
          <w:ilvl w:val="0"/>
          <w:numId w:val="3"/>
        </w:numPr>
        <w:spacing w:after="60" w:before="60"/>
      </w:pPr>
      <w:r>
        <w:rPr>
          <w:rFonts w:ascii="Arial" w:cs="Arial" w:eastAsia="Arial" w:hAnsi="Arial"/>
          <w:color w:val="404040"/>
          <w:sz w:val="22"/>
          <w:szCs w:val="22"/>
        </w:rPr>
        <w:t xml:space="preserve">Glucose mode: Target Zone (70–180 mg/dL, green), High/Low (orange), Very High/Very Low (red), Now Line (grey dashed)</w:t>
      </w:r>
    </w:p>
    <w:p>
      <w:pPr>
        <w:pStyle w:val="ListParagraph"/>
        <w:numPr>
          <w:ilvl w:val="0"/>
          <w:numId w:val="3"/>
        </w:numPr>
        <w:spacing w:after="60" w:before="60"/>
      </w:pPr>
      <w:r>
        <w:rPr>
          <w:rFonts w:ascii="Arial" w:cs="Arial" w:eastAsia="Arial" w:hAnsi="Arial"/>
          <w:color w:val="404040"/>
          <w:sz w:val="22"/>
          <w:szCs w:val="22"/>
        </w:rPr>
        <w:t xml:space="preserve">Effects mode: Meal Effect MOB (orange), Insulin Effect IOB (purple), Net Effect (blue dashed), Cumulative Baseline (green solid), Dose Markers</w:t>
      </w:r>
    </w:p>
    <w:p>
      <w:pPr>
        <w:pStyle w:val="ListParagraph"/>
        <w:numPr>
          <w:ilvl w:val="0"/>
          <w:numId w:val="3"/>
        </w:numPr>
        <w:spacing w:after="60" w:before="60"/>
      </w:pPr>
      <w:r>
        <w:rPr>
          <w:rFonts w:ascii="Arial" w:cs="Arial" w:eastAsia="Arial" w:hAnsi="Arial"/>
          <w:color w:val="404040"/>
          <w:sz w:val="22"/>
          <w:szCs w:val="22"/>
        </w:rPr>
        <w:t xml:space="preserve">BG Projected mode: High-confidence projected BG (purple solid), Low-confidence (purple dashed), T1D Baseline (blue dashed step-line), Cumulative Meal Effect (orange fill)</w:t>
      </w:r>
    </w:p>
    <w:p>
      <w:pPr>
        <w:spacing w:after="160" w:before="320"/>
      </w:pPr>
      <w:r>
        <w:rPr>
          <w:rFonts w:ascii="Arial" w:cs="Arial" w:eastAsia="Arial" w:hAnsi="Arial"/>
          <w:b/>
          <w:bCs/>
          <w:color w:val="2E75B6"/>
          <w:sz w:val="28"/>
          <w:szCs w:val="28"/>
        </w:rPr>
        <w:t xml:space="preserve">14.3  Technical Details Panel</w:t>
      </w:r>
    </w:p>
    <w:p>
      <w:pPr>
        <w:pStyle w:val="ListParagraph"/>
        <w:numPr>
          <w:ilvl w:val="0"/>
          <w:numId w:val="3"/>
        </w:numPr>
        <w:spacing w:after="60" w:before="60"/>
      </w:pPr>
      <w:r>
        <w:rPr>
          <w:rFonts w:ascii="Arial" w:cs="Arial" w:eastAsia="Arial" w:hAnsi="Arial"/>
          <w:color w:val="404040"/>
          <w:sz w:val="22"/>
          <w:szCs w:val="22"/>
        </w:rPr>
        <w:t xml:space="preserve">Glucose mode: CGM mode renders a dense continuous trace; SMBG mode uses smoothstep (S-curve) interpolation. Time-in-Range targets ≥70% for most T1D adults.</w:t>
      </w:r>
    </w:p>
    <w:p>
      <w:pPr>
        <w:pStyle w:val="ListParagraph"/>
        <w:numPr>
          <w:ilvl w:val="0"/>
          <w:numId w:val="3"/>
        </w:numPr>
        <w:spacing w:after="60" w:before="60"/>
      </w:pPr>
      <w:r>
        <w:rPr>
          <w:rFonts w:ascii="Arial" w:cs="Arial" w:eastAsia="Arial" w:hAnsi="Arial"/>
          <w:color w:val="404040"/>
          <w:sz w:val="22"/>
          <w:szCs w:val="22"/>
        </w:rPr>
        <w:t xml:space="preserve">Effects mode: Gamma distribution curves model absorption per S3 guideline. MOB/IOB lookback 8–48 hours depending on view mode.</w:t>
      </w:r>
    </w:p>
    <w:p>
      <w:pPr>
        <w:pStyle w:val="ListParagraph"/>
        <w:numPr>
          <w:ilvl w:val="0"/>
          <w:numId w:val="3"/>
        </w:numPr>
        <w:spacing w:after="60" w:before="60"/>
      </w:pPr>
      <w:r>
        <w:rPr>
          <w:rFonts w:ascii="Arial" w:cs="Arial" w:eastAsia="Arial" w:hAnsi="Arial"/>
          <w:color w:val="404040"/>
          <w:sz w:val="22"/>
          <w:szCs w:val="22"/>
        </w:rPr>
        <w:t xml:space="preserve">BG Projected mode: Projected BG = stable baseline + cumulative net effect. Confidence degrades with reading age: 30 min → high, 90 min → medium, 3h+ → low.</w:t>
      </w:r>
    </w:p>
    <w:p>
      <w:pPr>
        <w:spacing w:after="200" w:before="400"/>
      </w:pPr>
      <w:r>
        <w:rPr>
          <w:rFonts w:ascii="Arial" w:cs="Arial" w:eastAsia="Arial" w:hAnsi="Arial"/>
          <w:b/>
          <w:bCs/>
          <w:color w:val="1A4B8C"/>
          <w:sz w:val="36"/>
          <w:szCs w:val="36"/>
        </w:rPr>
        <w:t xml:space="preserve">15. History Tab</w:t>
      </w:r>
    </w:p>
    <w:p>
      <w:pPr>
        <w:spacing w:after="80" w:before="80"/>
      </w:pPr>
      <w:r>
        <w:rPr>
          <w:rFonts w:ascii="Arial" w:cs="Arial" w:eastAsia="Arial" w:hAnsi="Arial"/>
          <w:color w:val="404040"/>
          <w:sz w:val="22"/>
          <w:szCs w:val="22"/>
        </w:rPr>
        <w:t xml:space="preserve">A unified chronological feed of all health events — meals, glucose, insulin, activities — in a single infinite-scrolling list.</w:t>
      </w:r>
    </w:p>
    <w:p>
      <w:pPr>
        <w:pStyle w:val="ListParagraph"/>
        <w:numPr>
          <w:ilvl w:val="0"/>
          <w:numId w:val="3"/>
        </w:numPr>
        <w:spacing w:after="60" w:before="60"/>
      </w:pPr>
      <w:r>
        <w:rPr>
          <w:rFonts w:ascii="Arial" w:cs="Arial" w:eastAsia="Arial" w:hAnsi="Arial"/>
          <w:color w:val="404040"/>
          <w:sz w:val="22"/>
          <w:szCs w:val="22"/>
        </w:rPr>
        <w:t xml:space="preserve">Filter bar: All / Meals / Glucose / Insulin / Activities</w:t>
      </w:r>
    </w:p>
    <w:p>
      <w:pPr>
        <w:pStyle w:val="ListParagraph"/>
        <w:numPr>
          <w:ilvl w:val="0"/>
          <w:numId w:val="3"/>
        </w:numPr>
        <w:spacing w:after="60" w:before="60"/>
      </w:pPr>
      <w:r>
        <w:rPr>
          <w:rFonts w:ascii="Arial" w:cs="Arial" w:eastAsia="Arial" w:hAnsi="Arial"/>
          <w:color w:val="404040"/>
          <w:sz w:val="22"/>
          <w:szCs w:val="22"/>
        </w:rPr>
        <w:t xml:space="preserve">Sorted by Unix timestamp for sub-second precision; data-source badges distinguish manual vs CGM vs LibreLinkUp entries</w:t>
      </w:r>
    </w:p>
    <w:p>
      <w:pPr>
        <w:pStyle w:val="ListParagraph"/>
        <w:numPr>
          <w:ilvl w:val="0"/>
          <w:numId w:val="3"/>
        </w:numPr>
        <w:spacing w:after="60" w:before="60"/>
      </w:pPr>
      <w:r>
        <w:rPr>
          <w:rFonts w:ascii="Arial" w:cs="Arial" w:eastAsia="Arial" w:hAnsi="Arial"/>
          <w:color w:val="404040"/>
          <w:sz w:val="22"/>
          <w:szCs w:val="22"/>
        </w:rPr>
        <w:t xml:space="preserve">Per-item inline delete with inline confirm row — no modal dialog, cross-platform compatible</w:t>
      </w:r>
    </w:p>
    <w:p>
      <w:pPr>
        <w:pStyle w:val="ListParagraph"/>
        <w:numPr>
          <w:ilvl w:val="0"/>
          <w:numId w:val="3"/>
        </w:numPr>
        <w:spacing w:after="60" w:before="60"/>
      </w:pPr>
      <w:r>
        <w:rPr>
          <w:rFonts w:ascii="Arial" w:cs="Arial" w:eastAsia="Arial" w:hAnsi="Arial"/>
          <w:color w:val="404040"/>
          <w:sz w:val="22"/>
          <w:szCs w:val="22"/>
        </w:rPr>
        <w:t xml:space="preserve">Pull-to-refresh reloads all data sources in parallel</w:t>
      </w:r>
    </w:p>
    <w:p>
      <w:pPr>
        <w:spacing w:after="200" w:before="400"/>
      </w:pPr>
      <w:r>
        <w:rPr>
          <w:rFonts w:ascii="Arial" w:cs="Arial" w:eastAsia="Arial" w:hAnsi="Arial"/>
          <w:b/>
          <w:bCs/>
          <w:color w:val="1A4B8C"/>
          <w:sz w:val="36"/>
          <w:szCs w:val="36"/>
        </w:rPr>
        <w:t xml:space="preserve">16. Profile &amp; Settings</w:t>
      </w:r>
    </w:p>
    <w:p>
      <w:pPr>
        <w:spacing w:after="160" w:before="320"/>
      </w:pPr>
      <w:r>
        <w:rPr>
          <w:rFonts w:ascii="Arial" w:cs="Arial" w:eastAsia="Arial" w:hAnsi="Arial"/>
          <w:b/>
          <w:bCs/>
          <w:color w:val="2E75B6"/>
          <w:sz w:val="28"/>
          <w:szCs w:val="28"/>
        </w:rPr>
        <w:t xml:space="preserve">16.1  Patient Settings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Patient Constants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Read-only display of all 15 patient constants: core values, activity coefficients, absorption modifiers, meal timing factors, active conditions, active medications.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Medications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Active medications with pharmacokinetic profiles (onset / peak / duration) and schedules.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Manage Doctors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Browse available doctors. Authorize / revoke doctor access to personal health data.</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Database</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Search with 300ms debounce. Category filter. Favourites. Create custom food entries.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LibreLinkUp CGM</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Day-grouped SectionList of CGM readings. Manual sync. Auto-sync toggle with interval selector (4–30 min).</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Connect LibreLinkUp</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Email + password credential form. 10+ region chip selector. Fernet encryption privacy notice.</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Data Export (GDPR)</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One-tap JSON export of all health data. Full GDPR rights disclosure. Account deletion request.</w:t>
            </w:r>
          </w:p>
        </w:tc>
      </w:tr>
    </w:tbl>
    <w:p>
      <w:pPr>
        <w:spacing w:after="200" w:before="400"/>
      </w:pPr>
      <w:r>
        <w:rPr>
          <w:rFonts w:ascii="Arial" w:cs="Arial" w:eastAsia="Arial" w:hAnsi="Arial"/>
          <w:b/>
          <w:bCs/>
          <w:color w:val="1A4B8C"/>
          <w:sz w:val="36"/>
          <w:szCs w:val="36"/>
        </w:rPr>
        <w:t xml:space="preserve">17. Doctor Dashboard (Mobile)</w:t>
      </w:r>
    </w:p>
    <w:p>
      <w:pPr>
        <w:spacing w:after="80" w:before="80"/>
      </w:pPr>
      <w:r>
        <w:rPr>
          <w:rFonts w:ascii="Arial" w:cs="Arial" w:eastAsia="Arial" w:hAnsi="Arial"/>
          <w:color w:val="404040"/>
          <w:sz w:val="22"/>
          <w:szCs w:val="22"/>
        </w:rPr>
        <w:t xml:space="preserve">Doctors see an authorized-patient-only list. Selecting a patient opens PatientDataView — a seven-tab clinical deep-dive: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Overview</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Summary stats, active conditions, active medications — designed for quick pre-consultation review.</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Charts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DoctorBGChart + DoctorEffectsChart + DoctorBGVisualization, all scoped to the selected patient.</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Blood Sugar</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Readings list with date-range filter, average glucose, and time-in-range statistics.</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Dose history with per-dose details and daily totals summary.</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meal history with nutritional averages header.</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Activities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Activity log with type, level, duration, and impact factor.</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Settings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Edit patient constants inline, manage active conditions and medications, reset to defaults.</w:t>
            </w:r>
          </w:p>
        </w:tc>
      </w:tr>
    </w:tbl>
    <w:p>
      <w:pPr>
        <w:spacing w:after="200" w:before="400"/>
      </w:pPr>
      <w:r>
        <w:rPr>
          <w:rFonts w:ascii="Arial" w:cs="Arial" w:eastAsia="Arial" w:hAnsi="Arial"/>
          <w:b/>
          <w:bCs/>
          <w:color w:val="1A4B8C"/>
          <w:sz w:val="36"/>
          <w:szCs w:val="36"/>
        </w:rPr>
        <w:t xml:space="preserve">18. Authentication &amp; Onboarding</w:t>
      </w:r>
    </w:p>
    <w:p>
      <w:pPr>
        <w:spacing w:after="160" w:before="320"/>
      </w:pPr>
      <w:r>
        <w:rPr>
          <w:rFonts w:ascii="Arial" w:cs="Arial" w:eastAsia="Arial" w:hAnsi="Arial"/>
          <w:b/>
          <w:bCs/>
          <w:color w:val="2E75B6"/>
          <w:sz w:val="28"/>
          <w:szCs w:val="28"/>
        </w:rPr>
        <w:t xml:space="preserve">18.1  Login Screen</w:t>
      </w:r>
    </w:p>
    <w:p>
      <w:pPr>
        <w:pStyle w:val="ListParagraph"/>
        <w:numPr>
          <w:ilvl w:val="0"/>
          <w:numId w:val="3"/>
        </w:numPr>
        <w:spacing w:after="60" w:before="60"/>
      </w:pPr>
      <w:r>
        <w:rPr>
          <w:rFonts w:ascii="Arial" w:cs="Arial" w:eastAsia="Arial" w:hAnsi="Arial"/>
          <w:color w:val="404040"/>
          <w:sz w:val="22"/>
          <w:szCs w:val="22"/>
        </w:rPr>
        <w:t xml:space="preserve">User type toggle: Patient / Doctor segmented control</w:t>
      </w:r>
    </w:p>
    <w:p>
      <w:pPr>
        <w:pStyle w:val="ListParagraph"/>
        <w:numPr>
          <w:ilvl w:val="0"/>
          <w:numId w:val="3"/>
        </w:numPr>
        <w:spacing w:after="60" w:before="60"/>
      </w:pPr>
      <w:r>
        <w:rPr>
          <w:rFonts w:ascii="Arial" w:cs="Arial" w:eastAsia="Arial" w:hAnsi="Arial"/>
          <w:color w:val="404040"/>
          <w:sz w:val="22"/>
          <w:szCs w:val="22"/>
        </w:rPr>
        <w:t xml:space="preserve">Username and password fields with inline validation</w:t>
      </w:r>
    </w:p>
    <w:p>
      <w:pPr>
        <w:pStyle w:val="ListParagraph"/>
        <w:numPr>
          <w:ilvl w:val="0"/>
          <w:numId w:val="3"/>
        </w:numPr>
        <w:spacing w:after="60" w:before="60"/>
      </w:pPr>
      <w:r>
        <w:rPr>
          <w:rFonts w:ascii="Arial" w:cs="Arial" w:eastAsia="Arial" w:hAnsi="Arial"/>
          <w:color w:val="404040"/>
          <w:sz w:val="22"/>
          <w:szCs w:val="22"/>
        </w:rPr>
        <w:t xml:space="preserve">Show/Hide password toggle button</w:t>
      </w:r>
    </w:p>
    <w:p>
      <w:pPr>
        <w:pStyle w:val="ListParagraph"/>
        <w:numPr>
          <w:ilvl w:val="0"/>
          <w:numId w:val="3"/>
        </w:numPr>
        <w:spacing w:after="60" w:before="60"/>
      </w:pPr>
      <w:r>
        <w:rPr>
          <w:rFonts w:ascii="Arial" w:cs="Arial" w:eastAsia="Arial" w:hAnsi="Arial"/>
          <w:color w:val="404040"/>
          <w:sz w:val="22"/>
          <w:szCs w:val="22"/>
        </w:rPr>
        <w:t xml:space="preserve">Forgot Password link to the recovery screen</w:t>
      </w:r>
    </w:p>
    <w:p>
      <w:pPr>
        <w:pStyle w:val="ListParagraph"/>
        <w:numPr>
          <w:ilvl w:val="0"/>
          <w:numId w:val="3"/>
        </w:numPr>
        <w:spacing w:after="60" w:before="60"/>
      </w:pPr>
      <w:r>
        <w:rPr>
          <w:rFonts w:ascii="Arial" w:cs="Arial" w:eastAsia="Arial" w:hAnsi="Arial"/>
          <w:color w:val="404040"/>
          <w:sz w:val="22"/>
          <w:szCs w:val="22"/>
        </w:rPr>
        <w:t xml:space="preserve">Create Account link to the registration screen</w:t>
      </w:r>
    </w:p>
    <w:p>
      <w:pPr>
        <w:spacing w:after="0" w:before="0"/>
      </w:pPr>
      <w:r>
        <w:t xml:space="preserve"/>
      </w:r>
    </w:p>
    <w:p>
      <w:pPr>
        <w:spacing w:after="80" w:before="80"/>
      </w:pPr>
      <w:r>
        <w:rPr>
          <w:rFonts w:ascii="Arial" w:cs="Arial" w:eastAsia="Arial" w:hAnsi="Arial"/>
          <w:color w:val="404040"/>
          <w:sz w:val="22"/>
          <w:szCs w:val="22"/>
        </w:rPr>
        <w:t xml:space="preserve">Cold-start detection: The useAuth hook detects ERR_NETWORK responses and activates a wake-up state. A WakeUpBanner component renders an animated progress bar with descriptive messages. The banner disappears automatically once the server responds successfully.</w:t>
      </w:r>
    </w:p>
    <w:p>
      <w:pPr>
        <w:spacing w:after="160" w:before="320"/>
      </w:pPr>
      <w:r>
        <w:rPr>
          <w:rFonts w:ascii="Arial" w:cs="Arial" w:eastAsia="Arial" w:hAnsi="Arial"/>
          <w:b/>
          <w:bCs/>
          <w:color w:val="2E75B6"/>
          <w:sz w:val="28"/>
          <w:szCs w:val="28"/>
        </w:rPr>
        <w:t xml:space="preserve">18.2  Registration &amp; Password Recovery</w:t>
      </w:r>
    </w:p>
    <w:p>
      <w:pPr>
        <w:pStyle w:val="ListParagraph"/>
        <w:numPr>
          <w:ilvl w:val="0"/>
          <w:numId w:val="3"/>
        </w:numPr>
        <w:spacing w:after="60" w:before="60"/>
      </w:pPr>
      <w:r>
        <w:rPr>
          <w:rFonts w:ascii="Arial" w:cs="Arial" w:eastAsia="Arial" w:hAnsi="Arial"/>
          <w:color w:val="404040"/>
          <w:sz w:val="22"/>
          <w:szCs w:val="22"/>
        </w:rPr>
        <w:t xml:space="preserve">Registration screen: username, email, password, user type selection, with validation</w:t>
      </w:r>
    </w:p>
    <w:p>
      <w:pPr>
        <w:pStyle w:val="ListParagraph"/>
        <w:numPr>
          <w:ilvl w:val="0"/>
          <w:numId w:val="3"/>
        </w:numPr>
        <w:spacing w:after="60" w:before="60"/>
      </w:pPr>
      <w:r>
        <w:rPr>
          <w:rFonts w:ascii="Arial" w:cs="Arial" w:eastAsia="Arial" w:hAnsi="Arial"/>
          <w:color w:val="404040"/>
          <w:sz w:val="22"/>
          <w:szCs w:val="22"/>
        </w:rPr>
        <w:t xml:space="preserve">Forgot password screen: email entry, backend sends reset link</w:t>
      </w:r>
    </w:p>
    <w:p>
      <w:pPr>
        <w:spacing w:after="200" w:before="400"/>
      </w:pPr>
      <w:r>
        <w:rPr>
          <w:rFonts w:ascii="Arial" w:cs="Arial" w:eastAsia="Arial" w:hAnsi="Arial"/>
          <w:b/>
          <w:bCs/>
          <w:color w:val="1A4B8C"/>
          <w:sz w:val="36"/>
          <w:szCs w:val="36"/>
        </w:rPr>
        <w:t xml:space="preserve">19. Offline Architecture &amp; Time-Sync Safety</w:t>
      </w:r>
    </w:p>
    <w:p>
      <w:pPr>
        <w:spacing w:after="160" w:before="320"/>
      </w:pPr>
      <w:r>
        <w:rPr>
          <w:rFonts w:ascii="Arial" w:cs="Arial" w:eastAsia="Arial" w:hAnsi="Arial"/>
          <w:b/>
          <w:bCs/>
          <w:color w:val="2E75B6"/>
          <w:sz w:val="28"/>
          <w:szCs w:val="28"/>
        </w:rPr>
        <w:t xml:space="preserve">19.1  Offline Queue (useOffline hook)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Network monitoring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Network.addEventListener subscribes to connectivity changes in real-time.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Action queue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queueAction(action) enqueues any API call for deferred execution. Each action gets a UUID, status (pending / syncing / failed), and retryCount.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Auto-sync</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When isOnline becomes true, processQueue() runs automatically — retrying all pending actions in order.</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Queue persistence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loadQueue() restores the queue from AsyncStorage on app launch.</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Failed action retry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retryFailed() resets all failed actions to pending and re-triggers processQueue().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Status tracking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pendingCount and failedCount exposed for UI indicators.</w:t>
            </w:r>
          </w:p>
        </w:tc>
      </w:tr>
    </w:tbl>
    <w:p>
      <w:pPr>
        <w:spacing w:after="160" w:before="320"/>
      </w:pPr>
      <w:r>
        <w:rPr>
          <w:rFonts w:ascii="Arial" w:cs="Arial" w:eastAsia="Arial" w:hAnsi="Arial"/>
          <w:b/>
          <w:bCs/>
          <w:color w:val="2E75B6"/>
          <w:sz w:val="28"/>
          <w:szCs w:val="28"/>
        </w:rPr>
        <w:t xml:space="preserve">19.2  Time-Sync Validation (useTimeSyncValidation hook)</w:t>
      </w:r>
    </w:p>
    <w:p>
      <w:pPr>
        <w:pStyle w:val="ListParagraph"/>
        <w:numPr>
          <w:ilvl w:val="0"/>
          <w:numId w:val="3"/>
        </w:numPr>
        <w:spacing w:after="60" w:before="60"/>
      </w:pPr>
      <w:r>
        <w:rPr>
          <w:rFonts w:ascii="Arial" w:cs="Arial" w:eastAsia="Arial" w:hAnsi="Arial"/>
          <w:color w:val="404040"/>
          <w:sz w:val="22"/>
          <w:szCs w:val="22"/>
        </w:rPr>
        <w:t xml:space="preserve">Runs on every update to MOB data (meal contributions) and IOB data (insulin contributions)</w:t>
      </w:r>
    </w:p>
    <w:p>
      <w:pPr>
        <w:pStyle w:val="ListParagraph"/>
        <w:numPr>
          <w:ilvl w:val="0"/>
          <w:numId w:val="3"/>
        </w:numPr>
        <w:spacing w:after="60" w:before="60"/>
      </w:pPr>
      <w:r>
        <w:rPr>
          <w:rFonts w:ascii="Arial" w:cs="Arial" w:eastAsia="Arial" w:hAnsi="Arial"/>
          <w:color w:val="404040"/>
          <w:sz w:val="22"/>
          <w:szCs w:val="22"/>
        </w:rPr>
        <w:t xml:space="preserve">For each contribution, computes: clientHours = (now − eventTimeUTC) / 3600. Compares against backend’s hours_elapsed / hours_since_dose.</w:t>
      </w:r>
    </w:p>
    <w:p>
      <w:pPr>
        <w:pStyle w:val="ListParagraph"/>
        <w:numPr>
          <w:ilvl w:val="0"/>
          <w:numId w:val="3"/>
        </w:numPr>
        <w:spacing w:after="60" w:before="60"/>
      </w:pPr>
      <w:r>
        <w:rPr>
          <w:rFonts w:ascii="Arial" w:cs="Arial" w:eastAsia="Arial" w:hAnsi="Arial"/>
          <w:color w:val="404040"/>
          <w:sz w:val="22"/>
          <w:szCs w:val="22"/>
        </w:rPr>
        <w:t xml:space="preserve">Discrepancy threshold: &gt;6 minutes (0.1 hours) triggers a console.error with full diagnostic table</w:t>
      </w:r>
    </w:p>
    <w:p>
      <w:pPr>
        <w:pStyle w:val="ListParagraph"/>
        <w:numPr>
          <w:ilvl w:val="0"/>
          <w:numId w:val="3"/>
        </w:numPr>
        <w:spacing w:after="60" w:before="60"/>
      </w:pPr>
      <w:r>
        <w:rPr>
          <w:rFonts w:ascii="Arial" w:cs="Arial" w:eastAsia="Arial" w:hAnsi="Arial"/>
          <w:color w:val="404040"/>
          <w:sz w:val="22"/>
          <w:szCs w:val="22"/>
        </w:rPr>
        <w:t xml:space="preserve">validateTimestamp() utility for manual testing: returns { valid: boolean, discrepancyMinutes: number }</w:t>
      </w:r>
    </w:p>
    <w:p>
      <w:pPr>
        <w:spacing w:after="200" w:before="400"/>
      </w:pPr>
      <w:r>
        <w:rPr>
          <w:rFonts w:ascii="Arial" w:cs="Arial" w:eastAsia="Arial" w:hAnsi="Arial"/>
          <w:b/>
          <w:bCs/>
          <w:color w:val="1A4B8C"/>
          <w:sz w:val="36"/>
          <w:szCs w:val="36"/>
        </w:rPr>
        <w:t xml:space="preserve">20. Meal Detail Screen</w:t>
      </w:r>
    </w:p>
    <w:p>
      <w:pPr>
        <w:spacing w:after="80" w:before="80"/>
      </w:pPr>
      <w:r>
        <w:rPr>
          <w:rFonts w:ascii="Arial" w:cs="Arial" w:eastAsia="Arial" w:hAnsi="Arial"/>
          <w:color w:val="404040"/>
          <w:sz w:val="22"/>
          <w:szCs w:val="22"/>
        </w:rPr>
        <w:t xml:space="preserve">The dynamic route app/(app)/meal/[id].tsx renders a complete audit-quality record of a single logged meal. Accessible to both patients (own meals) and doctors (patient meals via patientId query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Items List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Each food item with its portion amount and unit.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Nutrition Breakdown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Carbohydrates (g), protein (g), fat (g), calories (kcal), and total carb equivalents (g).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Blood Sugar</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BG reading at meal time with timestamp.</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Doses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Suggested insulin (from calculation) vs. actually taken dose — side-by-side for quick comparison.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InsulinBreakdown panel</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Expandable calculation audit trail: base insulin, carb equivalents breakdown, absorption factor, meal timing factor, activity coefficient, correction insulin, IOB deduction, health multiplier, and final formula string.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Notes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Free-text meal notes display.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D — PLATFORM &amp; COMMUNITY FEATURES</w:t>
            </w:r>
          </w:p>
        </w:tc>
      </w:tr>
    </w:tbl>
    <w:p>
      <w:pPr>
        <w:spacing w:after="0" w:before="0"/>
      </w:pPr>
      <w:r>
        <w:t xml:space="preserve"/>
      </w:r>
    </w:p>
    <w:p>
      <w:pPr>
        <w:spacing w:after="200" w:before="400"/>
      </w:pPr>
      <w:r>
        <w:rPr>
          <w:rFonts w:ascii="Arial" w:cs="Arial" w:eastAsia="Arial" w:hAnsi="Arial"/>
          <w:b/>
          <w:bCs/>
          <w:color w:val="1A4B8C"/>
          <w:sz w:val="36"/>
          <w:szCs w:val="36"/>
        </w:rPr>
        <w:t xml:space="preserve">21. Multi-Platform Architecture</w:t>
      </w:r>
    </w:p>
    <w:p>
      <w:pPr>
        <w:spacing w:after="80" w:before="80"/>
      </w:pPr>
      <w:r>
        <w:rPr>
          <w:rFonts w:ascii="Arial" w:cs="Arial" w:eastAsia="Arial" w:hAnsi="Arial"/>
          <w:color w:val="404040"/>
          <w:sz w:val="22"/>
          <w:szCs w:val="22"/>
        </w:rPr>
        <w:t xml:space="preserve">DiaTwin is deployed as a unified platform across three surfaces: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after="80" w:before="80"/>
            </w:pPr>
            <w:r>
              <w:rPr>
                <w:rFonts w:ascii="Arial" w:cs="Arial" w:eastAsia="Arial" w:hAnsi="Arial"/>
                <w:b/>
                <w:bCs/>
                <w:color w:val="1A4B8C"/>
                <w:sz w:val="22"/>
                <w:szCs w:val="22"/>
              </w:rPr>
              <w:t xml:space="preserve">Web Application (React JS)</w:t>
            </w:r>
          </w:p>
          <w:p>
            <w:pPr>
              <w:spacing w:after="80" w:before="60"/>
            </w:pPr>
            <w:r>
              <w:rPr>
                <w:rFonts w:ascii="Arial" w:cs="Arial" w:eastAsia="Arial" w:hAnsi="Arial"/>
                <w:color w:val="404040"/>
                <w:sz w:val="20"/>
                <w:szCs w:val="20"/>
              </w:rPr>
              <w:t xml:space="preserve">Full-featured browser application covering all patient and doctor workflows. Rich visualisation components (recharts-based), admin dashboard, CGM monitoring dashboard, and clinical validation dashboard.</w:t>
            </w:r>
          </w:p>
        </w:tc>
      </w:tr>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after="80" w:before="80"/>
            </w:pPr>
            <w:r>
              <w:rPr>
                <w:rFonts w:ascii="Arial" w:cs="Arial" w:eastAsia="Arial" w:hAnsi="Arial"/>
                <w:b/>
                <w:bCs/>
                <w:color w:val="1A4B8C"/>
                <w:sz w:val="22"/>
                <w:szCs w:val="22"/>
              </w:rPr>
              <w:t xml:space="preserve">Mobile Application (React Native / Expo)</w:t>
            </w:r>
          </w:p>
          <w:p>
            <w:pPr>
              <w:spacing w:after="80" w:before="60"/>
            </w:pPr>
            <w:r>
              <w:rPr>
                <w:rFonts w:ascii="Arial" w:cs="Arial" w:eastAsia="Arial" w:hAnsi="Arial"/>
                <w:color w:val="404040"/>
                <w:sz w:val="20"/>
                <w:szCs w:val="20"/>
              </w:rPr>
              <w:t xml:space="preserve">Full-featured iOS and Android application built with Expo Router. TypeScript throughout. victory-native for SVG charting. On-device insulin calculation engine mirrors backend logic exactly. Offline-first Zustand stores with pending-record sync queue. JWT 90-day tokens.</w:t>
            </w:r>
          </w:p>
        </w:tc>
      </w:tr>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after="80" w:before="80"/>
            </w:pPr>
            <w:r>
              <w:rPr>
                <w:rFonts w:ascii="Arial" w:cs="Arial" w:eastAsia="Arial" w:hAnsi="Arial"/>
                <w:b/>
                <w:bCs/>
                <w:color w:val="1A4B8C"/>
                <w:sz w:val="22"/>
                <w:szCs w:val="22"/>
              </w:rPr>
              <w:t xml:space="preserve">REST API (Flask / Python)</w:t>
            </w:r>
          </w:p>
          <w:p>
            <w:pPr>
              <w:spacing w:after="80" w:before="60"/>
            </w:pPr>
            <w:r>
              <w:rPr>
                <w:rFonts w:ascii="Arial" w:cs="Arial" w:eastAsia="Arial" w:hAnsi="Arial"/>
                <w:color w:val="404040"/>
                <w:sz w:val="20"/>
                <w:szCs w:val="20"/>
              </w:rPr>
              <w:t xml:space="preserve">Stateless JSON API serving both web and mobile clients. All business logic lives in the backend. MongoDB for flexible document storage. JWT authentication with role-based middleware. APScheduler background job for CGM auto-sync every 4 minutes.</w:t>
            </w:r>
          </w:p>
        </w:tc>
      </w:tr>
    </w:tbl>
    <w:p>
      <w:pPr>
        <w:spacing w:after="160" w:before="320"/>
      </w:pPr>
      <w:r>
        <w:rPr>
          <w:rFonts w:ascii="Arial" w:cs="Arial" w:eastAsia="Arial" w:hAnsi="Arial"/>
          <w:b/>
          <w:bCs/>
          <w:color w:val="2E75B6"/>
          <w:sz w:val="28"/>
          <w:szCs w:val="28"/>
        </w:rPr>
        <w:t xml:space="preserve">21.1  Shared Constants System</w:t>
      </w:r>
    </w:p>
    <w:p>
      <w:pPr>
        <w:spacing w:after="80" w:before="80"/>
      </w:pPr>
      <w:r>
        <w:rPr>
          <w:rFonts w:ascii="Arial" w:cs="Arial" w:eastAsia="Arial" w:hAnsi="Arial"/>
          <w:color w:val="404040"/>
          <w:sz w:val="22"/>
          <w:szCs w:val="22"/>
        </w:rPr>
        <w:t xml:space="preserve">A single constants.py file serves as the source of truth for all pharmacokinetic parameters, dose calculation constants, and absorption profiles. On every login, the full constant set is serialised and embedded in the login response payload (shared_constants).</w:t>
      </w:r>
    </w:p>
    <w:p>
      <w:pPr>
        <w:spacing w:after="200" w:before="400"/>
      </w:pPr>
      <w:r>
        <w:rPr>
          <w:rFonts w:ascii="Arial" w:cs="Arial" w:eastAsia="Arial" w:hAnsi="Arial"/>
          <w:b/>
          <w:bCs/>
          <w:color w:val="1A4B8C"/>
          <w:sz w:val="36"/>
          <w:szCs w:val="36"/>
        </w:rPr>
        <w:t xml:space="preserve">22. Data Import &amp; Export</w:t>
      </w:r>
    </w:p>
    <w:p>
      <w:pPr>
        <w:pStyle w:val="ListParagraph"/>
        <w:numPr>
          <w:ilvl w:val="0"/>
          <w:numId w:val="3"/>
        </w:numPr>
        <w:spacing w:after="60" w:before="60"/>
      </w:pPr>
      <w:r>
        <w:rPr>
          <w:rFonts w:ascii="Arial" w:cs="Arial" w:eastAsia="Arial" w:hAnsi="Arial"/>
          <w:color w:val="404040"/>
          <w:sz w:val="22"/>
          <w:szCs w:val="22"/>
        </w:rPr>
        <w:t xml:space="preserve">Import workflow: upload CSV or JSON → validate endpoint reports row counts and errors → confirmed import writes to meals, blood_sugar, activities, and insulin collections</w:t>
      </w:r>
    </w:p>
    <w:p>
      <w:pPr>
        <w:pStyle w:val="ListParagraph"/>
        <w:numPr>
          <w:ilvl w:val="0"/>
          <w:numId w:val="3"/>
        </w:numPr>
        <w:spacing w:after="60" w:before="60"/>
      </w:pPr>
      <w:r>
        <w:rPr>
          <w:rFonts w:ascii="Arial" w:cs="Arial" w:eastAsia="Arial" w:hAnsi="Arial"/>
          <w:color w:val="404040"/>
          <w:sz w:val="22"/>
          <w:szCs w:val="22"/>
        </w:rPr>
        <w:t xml:space="preserve">Selective import by data type: all, meals, blood_sugar, activities, or insulin only</w:t>
      </w:r>
    </w:p>
    <w:p>
      <w:pPr>
        <w:pStyle w:val="ListParagraph"/>
        <w:numPr>
          <w:ilvl w:val="0"/>
          <w:numId w:val="3"/>
        </w:numPr>
        <w:spacing w:after="60" w:before="60"/>
      </w:pPr>
      <w:r>
        <w:rPr>
          <w:rFonts w:ascii="Arial" w:cs="Arial" w:eastAsia="Arial" w:hAnsi="Arial"/>
          <w:color w:val="404040"/>
          <w:sz w:val="22"/>
          <w:szCs w:val="22"/>
        </w:rPr>
        <w:t xml:space="preserve">Export: one-tap JSON download of complete patient history — suitable for backup, migration, or clinical sharing</w:t>
      </w:r>
    </w:p>
    <w:p>
      <w:pPr>
        <w:pStyle w:val="ListParagraph"/>
        <w:numPr>
          <w:ilvl w:val="0"/>
          <w:numId w:val="3"/>
        </w:numPr>
        <w:spacing w:after="60" w:before="60"/>
      </w:pPr>
      <w:r>
        <w:rPr>
          <w:rFonts w:ascii="Arial" w:cs="Arial" w:eastAsia="Arial" w:hAnsi="Arial"/>
          <w:color w:val="404040"/>
          <w:sz w:val="22"/>
          <w:szCs w:val="22"/>
        </w:rPr>
        <w:t xml:space="preserve">GDPR compliance: full data portability, account deletion request, and rights disclosure in the export screen</w:t>
      </w:r>
    </w:p>
    <w:p>
      <w:pPr>
        <w:spacing w:after="200" w:before="400"/>
      </w:pPr>
      <w:r>
        <w:rPr>
          <w:rFonts w:ascii="Arial" w:cs="Arial" w:eastAsia="Arial" w:hAnsi="Arial"/>
          <w:b/>
          <w:bCs/>
          <w:color w:val="1A4B8C"/>
          <w:sz w:val="36"/>
          <w:szCs w:val="36"/>
        </w:rPr>
        <w:t xml:space="preserve">23. Food Community Features</w:t>
      </w:r>
    </w:p>
    <w:p>
      <w:pPr>
        <w:spacing w:after="160" w:before="320"/>
      </w:pPr>
      <w:r>
        <w:rPr>
          <w:rFonts w:ascii="Arial" w:cs="Arial" w:eastAsia="Arial" w:hAnsi="Arial"/>
          <w:b/>
          <w:bCs/>
          <w:color w:val="2E75B6"/>
          <w:sz w:val="28"/>
          <w:szCs w:val="28"/>
        </w:rPr>
        <w:t xml:space="preserve">23.1  Custom Food Database</w:t>
      </w:r>
    </w:p>
    <w:p>
      <w:pPr>
        <w:spacing w:after="80" w:before="80"/>
      </w:pPr>
      <w:r>
        <w:rPr>
          <w:rFonts w:ascii="Arial" w:cs="Arial" w:eastAsia="Arial" w:hAnsi="Arial"/>
          <w:color w:val="404040"/>
          <w:sz w:val="22"/>
          <w:szCs w:val="22"/>
        </w:rPr>
        <w:t xml:space="preserve">Any patient can add custom food items to their personal food database — local dishes, branded products, or any food not covered by the built-in categories.</w:t>
      </w:r>
    </w:p>
    <w:p>
      <w:pPr>
        <w:spacing w:after="160" w:before="320"/>
      </w:pPr>
      <w:r>
        <w:rPr>
          <w:rFonts w:ascii="Arial" w:cs="Arial" w:eastAsia="Arial" w:hAnsi="Arial"/>
          <w:b/>
          <w:bCs/>
          <w:color w:val="2E75B6"/>
          <w:sz w:val="28"/>
          <w:szCs w:val="28"/>
        </w:rPr>
        <w:t xml:space="preserve">23.2  Favourite Foods</w:t>
      </w:r>
    </w:p>
    <w:p>
      <w:pPr>
        <w:spacing w:after="80" w:before="80"/>
      </w:pPr>
      <w:r>
        <w:rPr>
          <w:rFonts w:ascii="Arial" w:cs="Arial" w:eastAsia="Arial" w:hAnsi="Arial"/>
          <w:color w:val="404040"/>
          <w:sz w:val="22"/>
          <w:szCs w:val="22"/>
        </w:rPr>
        <w:t xml:space="preserve">Patients mark frequently eaten foods as favourites for rapid access during meal logging. The FoodSearch component maintains a module-level cache (_cachedFavorites) so the favourites list renders instantly on subsequent opens within the same session.</w:t>
      </w:r>
    </w:p>
    <w:p>
      <w:pPr>
        <w:spacing w:after="160" w:before="320"/>
      </w:pPr>
      <w:r>
        <w:rPr>
          <w:rFonts w:ascii="Arial" w:cs="Arial" w:eastAsia="Arial" w:hAnsi="Arial"/>
          <w:b/>
          <w:bCs/>
          <w:color w:val="2E75B6"/>
          <w:sz w:val="28"/>
          <w:szCs w:val="28"/>
        </w:rPr>
        <w:t xml:space="preserve">23.3  Global Cuisine Coverage</w:t>
      </w:r>
    </w:p>
    <w:p>
      <w:pPr>
        <w:spacing w:after="80" w:before="80"/>
      </w:pPr>
      <w:r>
        <w:rPr>
          <w:rFonts w:ascii="Arial" w:cs="Arial" w:eastAsia="Arial" w:hAnsi="Arial"/>
          <w:color w:val="404040"/>
          <w:sz w:val="22"/>
          <w:szCs w:val="22"/>
        </w:rPr>
        <w:t xml:space="preserve">The food database’s four ethnic cuisine categories (Indian, Chinese, Italian, Egyptian) reflect DiaTwin’s ambition to be a globally usable tool. Carbohydrate values for culturally specific dishes are included with serving size and absorption characteristics.</w:t>
      </w:r>
    </w:p>
    <w:p>
      <w:pPr>
        <w:spacing w:after="200" w:before="400"/>
      </w:pPr>
      <w:r>
        <w:rPr>
          <w:rFonts w:ascii="Arial" w:cs="Arial" w:eastAsia="Arial" w:hAnsi="Arial"/>
          <w:b/>
          <w:bCs/>
          <w:color w:val="1A4B8C"/>
          <w:sz w:val="36"/>
          <w:szCs w:val="36"/>
        </w:rPr>
        <w:t xml:space="preserve">24. Security &amp; Privacy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Password Security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bcrypt hashing via Werkzeug — passwords never stored in plaintext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JWT Authentication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Signed tokens with role claim; 24-hour expiry for web, 90 days for mobile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Credential Encryption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LibreLinkUp credentials encrypted with Fernet (AES-128-CBC) before MongoDB storage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Role-Based Access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 / Doctor / Admin roles enforced on every API endpoint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Consent-Based Sharing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Patients explicitly authorise individual doctors; revocable at any time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Input Validation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All glucose values, timestamps, and food data validated before persistence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 Cross-Patient Leakage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 queries always scoped to authorised patient list; admin scope gated separately</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Secure Doctor Routes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 endpoints use doctor-namespaced routes with @token_required and authorization checks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E — TECHNICAL SUMMARY</w:t>
            </w:r>
          </w:p>
        </w:tc>
      </w:tr>
    </w:tbl>
    <w:p>
      <w:pPr>
        <w:spacing w:after="0" w:before="0"/>
      </w:pPr>
      <w:r>
        <w:t xml:space="preserve"/>
      </w:r>
    </w:p>
    <w:p>
      <w:pPr>
        <w:spacing w:after="200" w:before="400"/>
      </w:pPr>
      <w:r>
        <w:rPr>
          <w:rFonts w:ascii="Arial" w:cs="Arial" w:eastAsia="Arial" w:hAnsi="Arial"/>
          <w:b/>
          <w:bCs/>
          <w:color w:val="1A4B8C"/>
          <w:sz w:val="36"/>
          <w:szCs w:val="36"/>
        </w:rPr>
        <w:t xml:space="preserve">25. Technology Stack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Backend Language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Python 3.x with Flask microframework</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Database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MongoDB (via Flask-PyMongo) — document-based, schema-flexible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Background Jobs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APScheduler 3.10+ (BackgroundScheduler + IntervalTrigger, coalesce=True, max_instances=1)</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Authentication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PyJWT — signed JWT tokens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Encryption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cryptography library (Fernet symmetric encryption for CGM credentials)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Web Frontend</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React JS (JavaScript) — recharts for visualization, context API for state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Mobile Frontend</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React Native with Expo Router — TypeScript, victory-native for charting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Mobile State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Zustand stores (auth, meal, offline, patient)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HTTP Client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Axios (mobile + web), versioned API endpoint constants (endpoints.ts)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Deployment Target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Render.com (free tier with APScheduler keep-alive every 4 min)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Clinical Reference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German S3 Guideline AWMF 057-013 — Table 9 insulin profiles</w:t>
            </w:r>
          </w:p>
        </w:tc>
      </w:tr>
    </w:tbl>
    <w:p>
      <w:pPr>
        <w:spacing w:after="200" w:before="400"/>
      </w:pPr>
      <w:r>
        <w:rPr>
          <w:rFonts w:ascii="Arial" w:cs="Arial" w:eastAsia="Arial" w:hAnsi="Arial"/>
          <w:b/>
          <w:bCs/>
          <w:color w:val="1A4B8C"/>
          <w:sz w:val="36"/>
          <w:szCs w:val="36"/>
        </w:rPr>
        <w:t xml:space="preserve">26. API Endpoint Index</w:t>
      </w:r>
    </w:p>
    <w:p>
      <w:pPr>
        <w:spacing w:after="80" w:before="80"/>
      </w:pPr>
      <w:r>
        <w:rPr>
          <w:rFonts w:ascii="Arial" w:cs="Arial" w:eastAsia="Arial" w:hAnsi="Arial"/>
          <w:color w:val="404040"/>
          <w:sz w:val="22"/>
          <w:szCs w:val="22"/>
        </w:rPr>
        <w:t xml:space="preserve">Complete endpoint catalog from endpoints.ts — single source of truth for all client-to-backend communication:</w:t>
      </w:r>
    </w:p>
    <w:p>
      <w:pPr>
        <w:spacing w:after="120" w:before="200"/>
      </w:pPr>
      <w:r>
        <w:rPr>
          <w:rFonts w:ascii="Arial" w:cs="Arial" w:eastAsia="Arial" w:hAnsi="Arial"/>
          <w:b/>
          <w:bCs/>
          <w:color w:val="0D7377"/>
          <w:sz w:val="24"/>
          <w:szCs w:val="24"/>
        </w:rPr>
        <w:t xml:space="preserve">Authentication</w:t>
      </w:r>
    </w:p>
    <w:p>
      <w:pPr>
        <w:pStyle w:val="ListParagraph"/>
        <w:numPr>
          <w:ilvl w:val="0"/>
          <w:numId w:val="3"/>
        </w:numPr>
        <w:spacing w:after="60" w:before="60"/>
      </w:pPr>
      <w:r>
        <w:rPr>
          <w:rFonts w:ascii="Arial" w:cs="Arial" w:eastAsia="Arial" w:hAnsi="Arial"/>
          <w:color w:val="404040"/>
          <w:sz w:val="22"/>
          <w:szCs w:val="22"/>
        </w:rPr>
        <w:t xml:space="preserve">POST /login — sign in, returns JWT + role + shared_constants payload</w:t>
      </w:r>
    </w:p>
    <w:p>
      <w:pPr>
        <w:pStyle w:val="ListParagraph"/>
        <w:numPr>
          <w:ilvl w:val="0"/>
          <w:numId w:val="3"/>
        </w:numPr>
        <w:spacing w:after="60" w:before="60"/>
      </w:pPr>
      <w:r>
        <w:rPr>
          <w:rFonts w:ascii="Arial" w:cs="Arial" w:eastAsia="Arial" w:hAnsi="Arial"/>
          <w:color w:val="404040"/>
          <w:sz w:val="22"/>
          <w:szCs w:val="22"/>
        </w:rPr>
        <w:t xml:space="preserve">POST /register — create patient/doctor/admin account</w:t>
      </w:r>
    </w:p>
    <w:p>
      <w:pPr>
        <w:pStyle w:val="ListParagraph"/>
        <w:numPr>
          <w:ilvl w:val="0"/>
          <w:numId w:val="3"/>
        </w:numPr>
        <w:spacing w:after="60" w:before="60"/>
      </w:pPr>
      <w:r>
        <w:rPr>
          <w:rFonts w:ascii="Arial" w:cs="Arial" w:eastAsia="Arial" w:hAnsi="Arial"/>
          <w:color w:val="404040"/>
          <w:sz w:val="22"/>
          <w:szCs w:val="22"/>
        </w:rPr>
        <w:t xml:space="preserve">POST /logout</w:t>
      </w:r>
    </w:p>
    <w:p>
      <w:pPr>
        <w:spacing w:after="120" w:before="200"/>
      </w:pPr>
      <w:r>
        <w:rPr>
          <w:rFonts w:ascii="Arial" w:cs="Arial" w:eastAsia="Arial" w:hAnsi="Arial"/>
          <w:b/>
          <w:bCs/>
          <w:color w:val="0D7377"/>
          <w:sz w:val="24"/>
          <w:szCs w:val="24"/>
        </w:rPr>
        <w:t xml:space="preserve">Patient</w:t>
      </w:r>
    </w:p>
    <w:p>
      <w:pPr>
        <w:pStyle w:val="ListParagraph"/>
        <w:numPr>
          <w:ilvl w:val="0"/>
          <w:numId w:val="3"/>
        </w:numPr>
        <w:spacing w:after="60" w:before="60"/>
      </w:pPr>
      <w:r>
        <w:rPr>
          <w:rFonts w:ascii="Arial" w:cs="Arial" w:eastAsia="Arial" w:hAnsi="Arial"/>
          <w:color w:val="404040"/>
          <w:sz w:val="22"/>
          <w:szCs w:val="22"/>
        </w:rPr>
        <w:t xml:space="preserve">GET/PUT /api/patient/constants — retrieve and update all patient parameters</w:t>
      </w:r>
    </w:p>
    <w:p>
      <w:pPr>
        <w:pStyle w:val="ListParagraph"/>
        <w:numPr>
          <w:ilvl w:val="0"/>
          <w:numId w:val="3"/>
        </w:numPr>
        <w:spacing w:after="60" w:before="60"/>
      </w:pPr>
      <w:r>
        <w:rPr>
          <w:rFonts w:ascii="Arial" w:cs="Arial" w:eastAsia="Arial" w:hAnsi="Arial"/>
          <w:color w:val="404040"/>
          <w:sz w:val="22"/>
          <w:szCs w:val="22"/>
        </w:rPr>
        <w:t xml:space="preserve">GET /api/patient/profile</w:t>
      </w:r>
    </w:p>
    <w:p>
      <w:pPr>
        <w:pStyle w:val="ListParagraph"/>
        <w:numPr>
          <w:ilvl w:val="0"/>
          <w:numId w:val="3"/>
        </w:numPr>
        <w:spacing w:after="60" w:before="60"/>
      </w:pPr>
      <w:r>
        <w:rPr>
          <w:rFonts w:ascii="Arial" w:cs="Arial" w:eastAsia="Arial" w:hAnsi="Arial"/>
          <w:color w:val="404040"/>
          <w:sz w:val="22"/>
          <w:szCs w:val="22"/>
        </w:rPr>
        <w:t xml:space="preserve">GET /api/patient/authorized-doctors</w:t>
      </w:r>
    </w:p>
    <w:p>
      <w:pPr>
        <w:pStyle w:val="ListParagraph"/>
        <w:numPr>
          <w:ilvl w:val="0"/>
          <w:numId w:val="3"/>
        </w:numPr>
        <w:spacing w:after="60" w:before="60"/>
      </w:pPr>
      <w:r>
        <w:rPr>
          <w:rFonts w:ascii="Arial" w:cs="Arial" w:eastAsia="Arial" w:hAnsi="Arial"/>
          <w:color w:val="404040"/>
          <w:sz w:val="22"/>
          <w:szCs w:val="22"/>
        </w:rPr>
        <w:t xml:space="preserve">POST /api/patient/authorize-doctor</w:t>
      </w:r>
    </w:p>
    <w:p>
      <w:pPr>
        <w:pStyle w:val="ListParagraph"/>
        <w:numPr>
          <w:ilvl w:val="0"/>
          <w:numId w:val="3"/>
        </w:numPr>
        <w:spacing w:after="60" w:before="60"/>
      </w:pPr>
      <w:r>
        <w:rPr>
          <w:rFonts w:ascii="Arial" w:cs="Arial" w:eastAsia="Arial" w:hAnsi="Arial"/>
          <w:color w:val="404040"/>
          <w:sz w:val="22"/>
          <w:szCs w:val="22"/>
        </w:rPr>
        <w:t xml:space="preserve">DELETE /api/patient/revoke-doctor</w:t>
      </w:r>
    </w:p>
    <w:p>
      <w:pPr>
        <w:pStyle w:val="ListParagraph"/>
        <w:numPr>
          <w:ilvl w:val="0"/>
          <w:numId w:val="3"/>
        </w:numPr>
        <w:spacing w:after="60" w:before="60"/>
      </w:pPr>
      <w:r>
        <w:rPr>
          <w:rFonts w:ascii="Arial" w:cs="Arial" w:eastAsia="Arial" w:hAnsi="Arial"/>
          <w:color w:val="404040"/>
          <w:sz w:val="22"/>
          <w:szCs w:val="22"/>
        </w:rPr>
        <w:t xml:space="preserve">GET /api/patient/export — full GDPR data export</w:t>
      </w:r>
    </w:p>
    <w:p>
      <w:pPr>
        <w:spacing w:after="120" w:before="200"/>
      </w:pPr>
      <w:r>
        <w:rPr>
          <w:rFonts w:ascii="Arial" w:cs="Arial" w:eastAsia="Arial" w:hAnsi="Arial"/>
          <w:b/>
          <w:bCs/>
          <w:color w:val="0D7377"/>
          <w:sz w:val="24"/>
          <w:szCs w:val="24"/>
        </w:rPr>
        <w:t xml:space="preserve">Blood Glucose</w:t>
      </w:r>
    </w:p>
    <w:p>
      <w:pPr>
        <w:pStyle w:val="ListParagraph"/>
        <w:numPr>
          <w:ilvl w:val="0"/>
          <w:numId w:val="3"/>
        </w:numPr>
        <w:spacing w:after="60" w:before="60"/>
      </w:pPr>
      <w:r>
        <w:rPr>
          <w:rFonts w:ascii="Arial" w:cs="Arial" w:eastAsia="Arial" w:hAnsi="Arial"/>
          <w:color w:val="404040"/>
          <w:sz w:val="22"/>
          <w:szCs w:val="22"/>
        </w:rPr>
        <w:t xml:space="preserve">POST /api/blood-sugar — log a reading (automatic baseline calculation)</w:t>
      </w:r>
    </w:p>
    <w:p>
      <w:pPr>
        <w:pStyle w:val="ListParagraph"/>
        <w:numPr>
          <w:ilvl w:val="0"/>
          <w:numId w:val="3"/>
        </w:numPr>
        <w:spacing w:after="60" w:before="60"/>
      </w:pPr>
      <w:r>
        <w:rPr>
          <w:rFonts w:ascii="Arial" w:cs="Arial" w:eastAsia="Arial" w:hAnsi="Arial"/>
          <w:color w:val="404040"/>
          <w:sz w:val="22"/>
          <w:szCs w:val="22"/>
        </w:rPr>
        <w:t xml:space="preserve">GET /api/blood-sugar — retrieve readings with date/time range filter</w:t>
      </w:r>
    </w:p>
    <w:p>
      <w:pPr>
        <w:pStyle w:val="ListParagraph"/>
        <w:numPr>
          <w:ilvl w:val="0"/>
          <w:numId w:val="3"/>
        </w:numPr>
        <w:spacing w:after="60" w:before="60"/>
      </w:pPr>
      <w:r>
        <w:rPr>
          <w:rFonts w:ascii="Arial" w:cs="Arial" w:eastAsia="Arial" w:hAnsi="Arial"/>
          <w:color w:val="404040"/>
          <w:sz w:val="22"/>
          <w:szCs w:val="22"/>
        </w:rPr>
        <w:t xml:space="preserve">DELETE /api/blood-sugar/{id}</w:t>
      </w:r>
    </w:p>
    <w:p>
      <w:pPr>
        <w:pStyle w:val="ListParagraph"/>
        <w:numPr>
          <w:ilvl w:val="0"/>
          <w:numId w:val="3"/>
        </w:numPr>
        <w:spacing w:after="60" w:before="60"/>
      </w:pPr>
      <w:r>
        <w:rPr>
          <w:rFonts w:ascii="Arial" w:cs="Arial" w:eastAsia="Arial" w:hAnsi="Arial"/>
          <w:color w:val="404040"/>
          <w:sz w:val="22"/>
          <w:szCs w:val="22"/>
        </w:rPr>
        <w:t xml:space="preserve">GET /api/doctor/patient/{id}/blood-sugar — secure doctor-namespaced route</w:t>
      </w:r>
    </w:p>
    <w:p>
      <w:pPr>
        <w:spacing w:after="120" w:before="200"/>
      </w:pPr>
      <w:r>
        <w:rPr>
          <w:rFonts w:ascii="Arial" w:cs="Arial" w:eastAsia="Arial" w:hAnsi="Arial"/>
          <w:b/>
          <w:bCs/>
          <w:color w:val="0D7377"/>
          <w:sz w:val="24"/>
          <w:szCs w:val="24"/>
        </w:rPr>
        <w:t xml:space="preserve">Meals</w:t>
      </w:r>
    </w:p>
    <w:p>
      <w:pPr>
        <w:pStyle w:val="ListParagraph"/>
        <w:numPr>
          <w:ilvl w:val="0"/>
          <w:numId w:val="3"/>
        </w:numPr>
        <w:spacing w:after="60" w:before="60"/>
      </w:pPr>
      <w:r>
        <w:rPr>
          <w:rFonts w:ascii="Arial" w:cs="Arial" w:eastAsia="Arial" w:hAnsi="Arial"/>
          <w:color w:val="404040"/>
          <w:sz w:val="22"/>
          <w:szCs w:val="22"/>
        </w:rPr>
        <w:t xml:space="preserve">POST /api/meal — log a meal with full server-side insulin calculation</w:t>
      </w:r>
    </w:p>
    <w:p>
      <w:pPr>
        <w:pStyle w:val="ListParagraph"/>
        <w:numPr>
          <w:ilvl w:val="0"/>
          <w:numId w:val="3"/>
        </w:numPr>
        <w:spacing w:after="60" w:before="60"/>
      </w:pPr>
      <w:r>
        <w:rPr>
          <w:rFonts w:ascii="Arial" w:cs="Arial" w:eastAsia="Arial" w:hAnsi="Arial"/>
          <w:color w:val="404040"/>
          <w:sz w:val="22"/>
          <w:szCs w:val="22"/>
        </w:rPr>
        <w:t xml:space="preserve">GET /api/meals-only — retrieve meal history</w:t>
      </w:r>
    </w:p>
    <w:p>
      <w:pPr>
        <w:pStyle w:val="ListParagraph"/>
        <w:numPr>
          <w:ilvl w:val="0"/>
          <w:numId w:val="3"/>
        </w:numPr>
        <w:spacing w:after="60" w:before="60"/>
      </w:pPr>
      <w:r>
        <w:rPr>
          <w:rFonts w:ascii="Arial" w:cs="Arial" w:eastAsia="Arial" w:hAnsi="Arial"/>
          <w:color w:val="404040"/>
          <w:sz w:val="22"/>
          <w:szCs w:val="22"/>
        </w:rPr>
        <w:t xml:space="preserve">GET /api/meal/{id} — single meal detail</w:t>
      </w:r>
    </w:p>
    <w:p>
      <w:pPr>
        <w:pStyle w:val="ListParagraph"/>
        <w:numPr>
          <w:ilvl w:val="0"/>
          <w:numId w:val="3"/>
        </w:numPr>
        <w:spacing w:after="60" w:before="60"/>
      </w:pPr>
      <w:r>
        <w:rPr>
          <w:rFonts w:ascii="Arial" w:cs="Arial" w:eastAsia="Arial" w:hAnsi="Arial"/>
          <w:color w:val="404040"/>
          <w:sz w:val="22"/>
          <w:szCs w:val="22"/>
        </w:rPr>
        <w:t xml:space="preserve">DELETE /api/meal/{id}</w:t>
      </w:r>
    </w:p>
    <w:p>
      <w:pPr>
        <w:pStyle w:val="ListParagraph"/>
        <w:numPr>
          <w:ilvl w:val="0"/>
          <w:numId w:val="3"/>
        </w:numPr>
        <w:spacing w:after="60" w:before="60"/>
      </w:pPr>
      <w:r>
        <w:rPr>
          <w:rFonts w:ascii="Arial" w:cs="Arial" w:eastAsia="Arial" w:hAnsi="Arial"/>
          <w:color w:val="404040"/>
          <w:sz w:val="22"/>
          <w:szCs w:val="22"/>
        </w:rPr>
        <w:t xml:space="preserve">POST /api/meal/calculate — calculate insulin without logging</w:t>
      </w:r>
    </w:p>
    <w:p>
      <w:pPr>
        <w:spacing w:after="120" w:before="200"/>
      </w:pPr>
      <w:r>
        <w:rPr>
          <w:rFonts w:ascii="Arial" w:cs="Arial" w:eastAsia="Arial" w:hAnsi="Arial"/>
          <w:b/>
          <w:bCs/>
          <w:color w:val="0D7377"/>
          <w:sz w:val="24"/>
          <w:szCs w:val="24"/>
        </w:rPr>
        <w:t xml:space="preserve">MOB (Meal On Board)</w:t>
      </w:r>
    </w:p>
    <w:p>
      <w:pPr>
        <w:pStyle w:val="ListParagraph"/>
        <w:numPr>
          <w:ilvl w:val="0"/>
          <w:numId w:val="3"/>
        </w:numPr>
        <w:spacing w:after="60" w:before="60"/>
      </w:pPr>
      <w:r>
        <w:rPr>
          <w:rFonts w:ascii="Arial" w:cs="Arial" w:eastAsia="Arial" w:hAnsi="Arial"/>
          <w:color w:val="404040"/>
          <w:sz w:val="22"/>
          <w:szCs w:val="22"/>
        </w:rPr>
        <w:t xml:space="preserve">GET /api/meal-on-board — current MOB with absorption breakdown</w:t>
      </w:r>
    </w:p>
    <w:p>
      <w:pPr>
        <w:pStyle w:val="ListParagraph"/>
        <w:numPr>
          <w:ilvl w:val="0"/>
          <w:numId w:val="3"/>
        </w:numPr>
        <w:spacing w:after="60" w:before="60"/>
      </w:pPr>
      <w:r>
        <w:rPr>
          <w:rFonts w:ascii="Arial" w:cs="Arial" w:eastAsia="Arial" w:hAnsi="Arial"/>
          <w:color w:val="404040"/>
          <w:sz w:val="22"/>
          <w:szCs w:val="22"/>
        </w:rPr>
        <w:t xml:space="preserve">GET /api/active-meals — all currently absorbing meals</w:t>
      </w:r>
    </w:p>
    <w:p>
      <w:pPr>
        <w:pStyle w:val="ListParagraph"/>
        <w:numPr>
          <w:ilvl w:val="0"/>
          <w:numId w:val="3"/>
        </w:numPr>
        <w:spacing w:after="60" w:before="60"/>
      </w:pPr>
      <w:r>
        <w:rPr>
          <w:rFonts w:ascii="Arial" w:cs="Arial" w:eastAsia="Arial" w:hAnsi="Arial"/>
          <w:color w:val="404040"/>
          <w:sz w:val="22"/>
          <w:szCs w:val="22"/>
        </w:rPr>
        <w:t xml:space="preserve">GET /api/meal-timing-assessment — pre-meal safety check</w:t>
      </w:r>
    </w:p>
    <w:p>
      <w:pPr>
        <w:spacing w:after="120" w:before="200"/>
      </w:pPr>
      <w:r>
        <w:rPr>
          <w:rFonts w:ascii="Arial" w:cs="Arial" w:eastAsia="Arial" w:hAnsi="Arial"/>
          <w:b/>
          <w:bCs/>
          <w:color w:val="0D7377"/>
          <w:sz w:val="24"/>
          <w:szCs w:val="24"/>
        </w:rPr>
        <w:t xml:space="preserve">Insulin &amp; Medication</w:t>
      </w:r>
    </w:p>
    <w:p>
      <w:pPr>
        <w:pStyle w:val="ListParagraph"/>
        <w:numPr>
          <w:ilvl w:val="0"/>
          <w:numId w:val="3"/>
        </w:numPr>
        <w:spacing w:after="60" w:before="60"/>
      </w:pPr>
      <w:r>
        <w:rPr>
          <w:rFonts w:ascii="Arial" w:cs="Arial" w:eastAsia="Arial" w:hAnsi="Arial"/>
          <w:color w:val="404040"/>
          <w:sz w:val="22"/>
          <w:szCs w:val="22"/>
        </w:rPr>
        <w:t xml:space="preserve">POST /api/insulin/log — log a standalone insulin dose</w:t>
      </w:r>
    </w:p>
    <w:p>
      <w:pPr>
        <w:pStyle w:val="ListParagraph"/>
        <w:numPr>
          <w:ilvl w:val="0"/>
          <w:numId w:val="3"/>
        </w:numPr>
        <w:spacing w:after="60" w:before="60"/>
      </w:pPr>
      <w:r>
        <w:rPr>
          <w:rFonts w:ascii="Arial" w:cs="Arial" w:eastAsia="Arial" w:hAnsi="Arial"/>
          <w:color w:val="404040"/>
          <w:sz w:val="22"/>
          <w:szCs w:val="22"/>
        </w:rPr>
        <w:t xml:space="preserve">GET /api/insulin/active-effect — current IOB</w:t>
      </w:r>
    </w:p>
    <w:p>
      <w:pPr>
        <w:pStyle w:val="ListParagraph"/>
        <w:numPr>
          <w:ilvl w:val="0"/>
          <w:numId w:val="3"/>
        </w:numPr>
        <w:spacing w:after="60" w:before="60"/>
      </w:pPr>
      <w:r>
        <w:rPr>
          <w:rFonts w:ascii="Arial" w:cs="Arial" w:eastAsia="Arial" w:hAnsi="Arial"/>
          <w:color w:val="404040"/>
          <w:sz w:val="22"/>
          <w:szCs w:val="22"/>
        </w:rPr>
        <w:t xml:space="preserve">GET /api/insulin-data — dose history</w:t>
      </w:r>
    </w:p>
    <w:p>
      <w:pPr>
        <w:pStyle w:val="ListParagraph"/>
        <w:numPr>
          <w:ilvl w:val="0"/>
          <w:numId w:val="3"/>
        </w:numPr>
        <w:spacing w:after="60" w:before="60"/>
      </w:pPr>
      <w:r>
        <w:rPr>
          <w:rFonts w:ascii="Arial" w:cs="Arial" w:eastAsia="Arial" w:hAnsi="Arial"/>
          <w:color w:val="404040"/>
          <w:sz w:val="22"/>
          <w:szCs w:val="22"/>
        </w:rPr>
        <w:t xml:space="preserve">GET/POST /api/medication-schedule — manage recurring schedules</w:t>
      </w:r>
    </w:p>
    <w:p>
      <w:pPr>
        <w:spacing w:after="120" w:before="200"/>
      </w:pPr>
      <w:r>
        <w:rPr>
          <w:rFonts w:ascii="Arial" w:cs="Arial" w:eastAsia="Arial" w:hAnsi="Arial"/>
          <w:b/>
          <w:bCs/>
          <w:color w:val="0D7377"/>
          <w:sz w:val="24"/>
          <w:szCs w:val="24"/>
        </w:rPr>
        <w:t xml:space="preserve">Cumulative Effects</w:t>
      </w:r>
    </w:p>
    <w:p>
      <w:pPr>
        <w:pStyle w:val="ListParagraph"/>
        <w:numPr>
          <w:ilvl w:val="0"/>
          <w:numId w:val="3"/>
        </w:numPr>
        <w:spacing w:after="60" w:before="60"/>
      </w:pPr>
      <w:r>
        <w:rPr>
          <w:rFonts w:ascii="Arial" w:cs="Arial" w:eastAsia="Arial" w:hAnsi="Arial"/>
          <w:color w:val="404040"/>
          <w:sz w:val="22"/>
          <w:szCs w:val="22"/>
        </w:rPr>
        <w:t xml:space="preserve">GET /api/cumulative-effects — daily cumulative baseline shift</w:t>
      </w:r>
    </w:p>
    <w:p>
      <w:pPr>
        <w:pStyle w:val="ListParagraph"/>
        <w:numPr>
          <w:ilvl w:val="0"/>
          <w:numId w:val="3"/>
        </w:numPr>
        <w:spacing w:after="60" w:before="60"/>
      </w:pPr>
      <w:r>
        <w:rPr>
          <w:rFonts w:ascii="Arial" w:cs="Arial" w:eastAsia="Arial" w:hAnsi="Arial"/>
          <w:color w:val="404040"/>
          <w:sz w:val="22"/>
          <w:szCs w:val="22"/>
        </w:rPr>
        <w:t xml:space="preserve">GET /api/net-effect — current net pharmacodynamic effect</w:t>
      </w:r>
    </w:p>
    <w:p>
      <w:pPr>
        <w:pStyle w:val="ListParagraph"/>
        <w:numPr>
          <w:ilvl w:val="0"/>
          <w:numId w:val="3"/>
        </w:numPr>
        <w:spacing w:after="60" w:before="60"/>
      </w:pPr>
      <w:r>
        <w:rPr>
          <w:rFonts w:ascii="Arial" w:cs="Arial" w:eastAsia="Arial" w:hAnsi="Arial"/>
          <w:color w:val="404040"/>
          <w:sz w:val="22"/>
          <w:szCs w:val="22"/>
        </w:rPr>
        <w:t xml:space="preserve">GET /api/active-effects-full — complete real-time picture (IOB + MOB + cumulative + baseline)</w:t>
      </w:r>
    </w:p>
    <w:p>
      <w:pPr>
        <w:spacing w:after="120" w:before="200"/>
      </w:pPr>
      <w:r>
        <w:rPr>
          <w:rFonts w:ascii="Arial" w:cs="Arial" w:eastAsia="Arial" w:hAnsi="Arial"/>
          <w:b/>
          <w:bCs/>
          <w:color w:val="0D7377"/>
          <w:sz w:val="24"/>
          <w:szCs w:val="24"/>
        </w:rPr>
        <w:t xml:space="preserve">Activities</w:t>
      </w:r>
    </w:p>
    <w:p>
      <w:pPr>
        <w:pStyle w:val="ListParagraph"/>
        <w:numPr>
          <w:ilvl w:val="0"/>
          <w:numId w:val="3"/>
        </w:numPr>
        <w:spacing w:after="60" w:before="60"/>
      </w:pPr>
      <w:r>
        <w:rPr>
          <w:rFonts w:ascii="Arial" w:cs="Arial" w:eastAsia="Arial" w:hAnsi="Arial"/>
          <w:color w:val="404040"/>
          <w:sz w:val="22"/>
          <w:szCs w:val="22"/>
        </w:rPr>
        <w:t xml:space="preserve">GET /api/activities — activity list</w:t>
      </w:r>
    </w:p>
    <w:p>
      <w:pPr>
        <w:pStyle w:val="ListParagraph"/>
        <w:numPr>
          <w:ilvl w:val="0"/>
          <w:numId w:val="3"/>
        </w:numPr>
        <w:spacing w:after="60" w:before="60"/>
      </w:pPr>
      <w:r>
        <w:rPr>
          <w:rFonts w:ascii="Arial" w:cs="Arial" w:eastAsia="Arial" w:hAnsi="Arial"/>
          <w:color w:val="404040"/>
          <w:sz w:val="22"/>
          <w:szCs w:val="22"/>
        </w:rPr>
        <w:t xml:space="preserve">POST /api/record-activities — log expected and/or completed activities</w:t>
      </w:r>
    </w:p>
    <w:p>
      <w:pPr>
        <w:pStyle w:val="ListParagraph"/>
        <w:numPr>
          <w:ilvl w:val="0"/>
          <w:numId w:val="3"/>
        </w:numPr>
        <w:spacing w:after="60" w:before="60"/>
      </w:pPr>
      <w:r>
        <w:rPr>
          <w:rFonts w:ascii="Arial" w:cs="Arial" w:eastAsia="Arial" w:hAnsi="Arial"/>
          <w:color w:val="404040"/>
          <w:sz w:val="22"/>
          <w:szCs w:val="22"/>
        </w:rPr>
        <w:t xml:space="preserve">GET /api/activity/pharmacodynamics — stacked ODE effect</w:t>
      </w:r>
    </w:p>
    <w:p>
      <w:pPr>
        <w:pStyle w:val="ListParagraph"/>
        <w:numPr>
          <w:ilvl w:val="0"/>
          <w:numId w:val="3"/>
        </w:numPr>
        <w:spacing w:after="60" w:before="60"/>
      </w:pPr>
      <w:r>
        <w:rPr>
          <w:rFonts w:ascii="Arial" w:cs="Arial" w:eastAsia="Arial" w:hAnsi="Arial"/>
          <w:color w:val="404040"/>
          <w:sz w:val="22"/>
          <w:szCs w:val="22"/>
        </w:rPr>
        <w:t xml:space="preserve">POST /api/watch/activity/start — open a real-time wearable session</w:t>
      </w:r>
    </w:p>
    <w:p>
      <w:pPr>
        <w:pStyle w:val="ListParagraph"/>
        <w:numPr>
          <w:ilvl w:val="0"/>
          <w:numId w:val="3"/>
        </w:numPr>
        <w:spacing w:after="60" w:before="60"/>
      </w:pPr>
      <w:r>
        <w:rPr>
          <w:rFonts w:ascii="Arial" w:cs="Arial" w:eastAsia="Arial" w:hAnsi="Arial"/>
          <w:color w:val="404040"/>
          <w:sz w:val="22"/>
          <w:szCs w:val="22"/>
        </w:rPr>
        <w:t xml:space="preserve">POST /api/watch/hr/stream — push batched per-second HR samples</w:t>
      </w:r>
    </w:p>
    <w:p>
      <w:pPr>
        <w:pStyle w:val="ListParagraph"/>
        <w:numPr>
          <w:ilvl w:val="0"/>
          <w:numId w:val="3"/>
        </w:numPr>
        <w:spacing w:after="60" w:before="60"/>
      </w:pPr>
      <w:r>
        <w:rPr>
          <w:rFonts w:ascii="Arial" w:cs="Arial" w:eastAsia="Arial" w:hAnsi="Arial"/>
          <w:color w:val="404040"/>
          <w:sz w:val="22"/>
          <w:szCs w:val="22"/>
        </w:rPr>
        <w:t xml:space="preserve">POST /api/watch/activity/end — finalise session</w:t>
      </w:r>
    </w:p>
    <w:p>
      <w:pPr>
        <w:pStyle w:val="ListParagraph"/>
        <w:numPr>
          <w:ilvl w:val="0"/>
          <w:numId w:val="3"/>
        </w:numPr>
        <w:spacing w:after="60" w:before="60"/>
      </w:pPr>
      <w:r>
        <w:rPr>
          <w:rFonts w:ascii="Arial" w:cs="Arial" w:eastAsia="Arial" w:hAnsi="Arial"/>
          <w:color w:val="404040"/>
          <w:sz w:val="22"/>
          <w:szCs w:val="22"/>
        </w:rPr>
        <w:t xml:space="preserve">POST /api/watch/hr/continuous — upload an all-day HR stream for swim-lane auto-segmentation</w:t>
      </w:r>
    </w:p>
    <w:p>
      <w:pPr>
        <w:spacing w:after="120" w:before="200"/>
      </w:pPr>
      <w:r>
        <w:rPr>
          <w:rFonts w:ascii="Arial" w:cs="Arial" w:eastAsia="Arial" w:hAnsi="Arial"/>
          <w:b/>
          <w:bCs/>
          <w:color w:val="0D7377"/>
          <w:sz w:val="24"/>
          <w:szCs w:val="24"/>
        </w:rPr>
        <w:t xml:space="preserve">Doctor</w:t>
      </w:r>
    </w:p>
    <w:p>
      <w:pPr>
        <w:pStyle w:val="ListParagraph"/>
        <w:numPr>
          <w:ilvl w:val="0"/>
          <w:numId w:val="3"/>
        </w:numPr>
        <w:spacing w:after="60" w:before="60"/>
      </w:pPr>
      <w:r>
        <w:rPr>
          <w:rFonts w:ascii="Arial" w:cs="Arial" w:eastAsia="Arial" w:hAnsi="Arial"/>
          <w:color w:val="404040"/>
          <w:sz w:val="22"/>
          <w:szCs w:val="22"/>
        </w:rPr>
        <w:t xml:space="preserve">GET /api/doctor/patients — authorised patient list</w:t>
      </w:r>
    </w:p>
    <w:p>
      <w:pPr>
        <w:pStyle w:val="ListParagraph"/>
        <w:numPr>
          <w:ilvl w:val="0"/>
          <w:numId w:val="3"/>
        </w:numPr>
        <w:spacing w:after="60" w:before="60"/>
      </w:pPr>
      <w:r>
        <w:rPr>
          <w:rFonts w:ascii="Arial" w:cs="Arial" w:eastAsia="Arial" w:hAnsi="Arial"/>
          <w:color w:val="404040"/>
          <w:sz w:val="22"/>
          <w:szCs w:val="22"/>
        </w:rPr>
        <w:t xml:space="preserve">GET/PUT /api/doctor/patient/{id}/constants — read and update patient constants</w:t>
      </w:r>
    </w:p>
    <w:p>
      <w:pPr>
        <w:pStyle w:val="ListParagraph"/>
        <w:numPr>
          <w:ilvl w:val="0"/>
          <w:numId w:val="3"/>
        </w:numPr>
        <w:spacing w:after="60" w:before="60"/>
      </w:pPr>
      <w:r>
        <w:rPr>
          <w:rFonts w:ascii="Arial" w:cs="Arial" w:eastAsia="Arial" w:hAnsi="Arial"/>
          <w:color w:val="404040"/>
          <w:sz w:val="22"/>
          <w:szCs w:val="22"/>
        </w:rPr>
        <w:t xml:space="preserve">POST /api/doctor/patient/{id}/constants/reset — reset to defaults</w:t>
      </w:r>
    </w:p>
    <w:p>
      <w:pPr>
        <w:spacing w:after="120" w:before="200"/>
      </w:pPr>
      <w:r>
        <w:rPr>
          <w:rFonts w:ascii="Arial" w:cs="Arial" w:eastAsia="Arial" w:hAnsi="Arial"/>
          <w:b/>
          <w:bCs/>
          <w:color w:val="0D7377"/>
          <w:sz w:val="24"/>
          <w:szCs w:val="24"/>
        </w:rPr>
        <w:t xml:space="preserve">Food</w:t>
      </w:r>
    </w:p>
    <w:p>
      <w:pPr>
        <w:pStyle w:val="ListParagraph"/>
        <w:numPr>
          <w:ilvl w:val="0"/>
          <w:numId w:val="3"/>
        </w:numPr>
        <w:spacing w:after="60" w:before="60"/>
      </w:pPr>
      <w:r>
        <w:rPr>
          <w:rFonts w:ascii="Arial" w:cs="Arial" w:eastAsia="Arial" w:hAnsi="Arial"/>
          <w:color w:val="404040"/>
          <w:sz w:val="22"/>
          <w:szCs w:val="22"/>
        </w:rPr>
        <w:t xml:space="preserve">GET /api/food/categories — full category list with measurements</w:t>
      </w:r>
    </w:p>
    <w:p>
      <w:pPr>
        <w:pStyle w:val="ListParagraph"/>
        <w:numPr>
          <w:ilvl w:val="0"/>
          <w:numId w:val="3"/>
        </w:numPr>
        <w:spacing w:after="60" w:before="60"/>
      </w:pPr>
      <w:r>
        <w:rPr>
          <w:rFonts w:ascii="Arial" w:cs="Arial" w:eastAsia="Arial" w:hAnsi="Arial"/>
          <w:color w:val="404040"/>
          <w:sz w:val="22"/>
          <w:szCs w:val="22"/>
        </w:rPr>
        <w:t xml:space="preserve">GET /api/food/search?q=&amp;category= — unified search (built-in + custom)</w:t>
      </w:r>
    </w:p>
    <w:p>
      <w:pPr>
        <w:pStyle w:val="ListParagraph"/>
        <w:numPr>
          <w:ilvl w:val="0"/>
          <w:numId w:val="3"/>
        </w:numPr>
        <w:spacing w:after="60" w:before="60"/>
      </w:pPr>
      <w:r>
        <w:rPr>
          <w:rFonts w:ascii="Arial" w:cs="Arial" w:eastAsia="Arial" w:hAnsi="Arial"/>
          <w:color w:val="404040"/>
          <w:sz w:val="22"/>
          <w:szCs w:val="22"/>
        </w:rPr>
        <w:t xml:space="preserve">GET/POST/DELETE /api/food/custom — manage custom foods</w:t>
      </w:r>
    </w:p>
    <w:p>
      <w:pPr>
        <w:pStyle w:val="ListParagraph"/>
        <w:numPr>
          <w:ilvl w:val="0"/>
          <w:numId w:val="3"/>
        </w:numPr>
        <w:spacing w:after="60" w:before="60"/>
      </w:pPr>
      <w:r>
        <w:rPr>
          <w:rFonts w:ascii="Arial" w:cs="Arial" w:eastAsia="Arial" w:hAnsi="Arial"/>
          <w:color w:val="404040"/>
          <w:sz w:val="22"/>
          <w:szCs w:val="22"/>
        </w:rPr>
        <w:t xml:space="preserve">GET/POST/DELETE /api/food/favorite — manage favourites</w:t>
      </w:r>
    </w:p>
    <w:p>
      <w:pPr>
        <w:spacing w:after="120" w:before="200"/>
      </w:pPr>
      <w:r>
        <w:rPr>
          <w:rFonts w:ascii="Arial" w:cs="Arial" w:eastAsia="Arial" w:hAnsi="Arial"/>
          <w:b/>
          <w:bCs/>
          <w:color w:val="0D7377"/>
          <w:sz w:val="24"/>
          <w:szCs w:val="24"/>
        </w:rPr>
        <w:t xml:space="preserve">LibreLinkUp CGM</w:t>
      </w:r>
    </w:p>
    <w:p>
      <w:pPr>
        <w:pStyle w:val="ListParagraph"/>
        <w:numPr>
          <w:ilvl w:val="0"/>
          <w:numId w:val="3"/>
        </w:numPr>
        <w:spacing w:after="60" w:before="60"/>
      </w:pPr>
      <w:r>
        <w:rPr>
          <w:rFonts w:ascii="Arial" w:cs="Arial" w:eastAsia="Arial" w:hAnsi="Arial"/>
          <w:color w:val="404040"/>
          <w:sz w:val="22"/>
          <w:szCs w:val="22"/>
        </w:rPr>
        <w:t xml:space="preserve">POST /api/libre/connect — store encrypted Abbott credentials and connect</w:t>
      </w:r>
    </w:p>
    <w:p>
      <w:pPr>
        <w:pStyle w:val="ListParagraph"/>
        <w:numPr>
          <w:ilvl w:val="0"/>
          <w:numId w:val="3"/>
        </w:numPr>
        <w:spacing w:after="60" w:before="60"/>
      </w:pPr>
      <w:r>
        <w:rPr>
          <w:rFonts w:ascii="Arial" w:cs="Arial" w:eastAsia="Arial" w:hAnsi="Arial"/>
          <w:color w:val="404040"/>
          <w:sz w:val="22"/>
          <w:szCs w:val="22"/>
        </w:rPr>
        <w:t xml:space="preserve">DELETE /api/libre/disconnect</w:t>
      </w:r>
    </w:p>
    <w:p>
      <w:pPr>
        <w:pStyle w:val="ListParagraph"/>
        <w:numPr>
          <w:ilvl w:val="0"/>
          <w:numId w:val="3"/>
        </w:numPr>
        <w:spacing w:after="60" w:before="60"/>
      </w:pPr>
      <w:r>
        <w:rPr>
          <w:rFonts w:ascii="Arial" w:cs="Arial" w:eastAsia="Arial" w:hAnsi="Arial"/>
          <w:color w:val="404040"/>
          <w:sz w:val="22"/>
          <w:szCs w:val="22"/>
        </w:rPr>
        <w:t xml:space="preserve">GET /api/libre/status — connection status, last sync time</w:t>
      </w:r>
    </w:p>
    <w:p>
      <w:pPr>
        <w:pStyle w:val="ListParagraph"/>
        <w:numPr>
          <w:ilvl w:val="0"/>
          <w:numId w:val="3"/>
        </w:numPr>
        <w:spacing w:after="60" w:before="60"/>
      </w:pPr>
      <w:r>
        <w:rPr>
          <w:rFonts w:ascii="Arial" w:cs="Arial" w:eastAsia="Arial" w:hAnsi="Arial"/>
          <w:color w:val="404040"/>
          <w:sz w:val="22"/>
          <w:szCs w:val="22"/>
        </w:rPr>
        <w:t xml:space="preserve">POST /api/libre/sync — manual sync, pulls latest ~8 h of readings</w:t>
      </w:r>
    </w:p>
    <w:p>
      <w:pPr>
        <w:pStyle w:val="ListParagraph"/>
        <w:numPr>
          <w:ilvl w:val="0"/>
          <w:numId w:val="3"/>
        </w:numPr>
        <w:spacing w:after="60" w:before="60"/>
      </w:pPr>
      <w:r>
        <w:rPr>
          <w:rFonts w:ascii="Arial" w:cs="Arial" w:eastAsia="Arial" w:hAnsi="Arial"/>
          <w:color w:val="404040"/>
          <w:sz w:val="22"/>
          <w:szCs w:val="22"/>
        </w:rPr>
        <w:t xml:space="preserve">PUT /api/libre/settings — update auto_sync_enabled / sync_interval_minutes</w:t>
      </w:r>
    </w:p>
    <w:p>
      <w:pPr>
        <w:pStyle w:val="ListParagraph"/>
        <w:numPr>
          <w:ilvl w:val="0"/>
          <w:numId w:val="3"/>
        </w:numPr>
        <w:spacing w:after="60" w:before="60"/>
      </w:pPr>
      <w:r>
        <w:rPr>
          <w:rFonts w:ascii="Arial" w:cs="Arial" w:eastAsia="Arial" w:hAnsi="Arial"/>
          <w:color w:val="404040"/>
          <w:sz w:val="22"/>
          <w:szCs w:val="22"/>
        </w:rPr>
        <w:t xml:space="preserve">GET /api/libre/readings — stored CGM readings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F — ROADMAP CONTEXT &amp; CLOSING</w:t>
            </w:r>
          </w:p>
        </w:tc>
      </w:tr>
    </w:tbl>
    <w:p>
      <w:pPr>
        <w:spacing w:after="0" w:before="0"/>
      </w:pPr>
      <w:r>
        <w:t xml:space="preserve"/>
      </w:r>
    </w:p>
    <w:p>
      <w:pPr>
        <w:spacing w:after="200" w:before="400"/>
      </w:pPr>
      <w:r>
        <w:rPr>
          <w:rFonts w:ascii="Arial" w:cs="Arial" w:eastAsia="Arial" w:hAnsi="Arial"/>
          <w:b/>
          <w:bCs/>
          <w:color w:val="1A4B8C"/>
          <w:sz w:val="36"/>
          <w:szCs w:val="36"/>
        </w:rPr>
        <w:t xml:space="preserve">27. What Makes DiaTwin Different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pPr>
              <w:spacing w:after="80" w:before="80"/>
            </w:pPr>
            <w:r>
              <w:rPr>
                <w:rFonts w:ascii="Arial" w:cs="Arial" w:eastAsia="Arial" w:hAnsi="Arial"/>
                <w:b/>
                <w:bCs/>
                <w:color w:val="1A6B3C"/>
                <w:sz w:val="22"/>
                <w:szCs w:val="22"/>
              </w:rPr>
              <w:t xml:space="preserve">Physiologically Grounded, Not Rule-Based</w:t>
            </w:r>
          </w:p>
          <w:p>
            <w:pPr>
              <w:spacing w:after="80" w:before="60"/>
            </w:pPr>
            <w:r>
              <w:rPr>
                <w:rFonts w:ascii="Arial" w:cs="Arial" w:eastAsia="Arial" w:hAnsi="Arial"/>
                <w:color w:val="404040"/>
                <w:sz w:val="20"/>
                <w:szCs w:val="20"/>
              </w:rPr>
              <w:t xml:space="preserve">Most consumer diabetes apps use simple carb-counting rules. DiaTwin uses gamma distribution pharmacodynamic curves grounded in published clinical guidelines (S3 Table 9), modelling the actual shape of carbohydrate absorption and insulin activity — including onset lag, peak, and trailing tail — for every insulin type and absorption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pPr>
              <w:spacing w:after="80" w:before="80"/>
            </w:pPr>
            <w:r>
              <w:rPr>
                <w:rFonts w:ascii="Arial" w:cs="Arial" w:eastAsia="Arial" w:hAnsi="Arial"/>
                <w:b/>
                <w:bCs/>
                <w:color w:val="1A6B3C"/>
                <w:sz w:val="22"/>
                <w:szCs w:val="22"/>
              </w:rPr>
              <w:t xml:space="preserve">T1D-First Model</w:t>
            </w:r>
          </w:p>
          <w:p>
            <w:pPr>
              <w:spacing w:after="80" w:before="60"/>
            </w:pPr>
            <w:r>
              <w:rPr>
                <w:rFonts w:ascii="Arial" w:cs="Arial" w:eastAsia="Arial" w:hAnsi="Arial"/>
                <w:color w:val="404040"/>
                <w:sz w:val="20"/>
                <w:szCs w:val="20"/>
              </w:rPr>
              <w:t xml:space="preserve">The core glucose estimation model is built for T1D physiology: no endogenous insulin, persistent cumulative effects, and the need to track stacked doses. Most apps treat T1D as a harder version of T2D; DiaTwin starts from T1D first principles.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pPr>
              <w:spacing w:after="80" w:before="80"/>
            </w:pPr>
            <w:r>
              <w:rPr>
                <w:rFonts w:ascii="Arial" w:cs="Arial" w:eastAsia="Arial" w:hAnsi="Arial"/>
                <w:b/>
                <w:bCs/>
                <w:color w:val="1A6B3C"/>
                <w:sz w:val="22"/>
                <w:szCs w:val="22"/>
              </w:rPr>
              <w:t xml:space="preserve">Dual-Layer CGM + SMBG</w:t>
            </w:r>
          </w:p>
          <w:p>
            <w:pPr>
              <w:spacing w:after="80" w:before="60"/>
            </w:pPr>
            <w:r>
              <w:rPr>
                <w:rFonts w:ascii="Arial" w:cs="Arial" w:eastAsia="Arial" w:hAnsi="Arial"/>
                <w:color w:val="404040"/>
                <w:sz w:val="20"/>
                <w:szCs w:val="20"/>
              </w:rPr>
              <w:t xml:space="preserve">DiaTwin works with both fingerstick readings and Abbott LibreLinkUp CGM data, fusing them in a unified timeline with source badges and automatic baseline recalculation on every new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pPr>
              <w:spacing w:after="80" w:before="80"/>
            </w:pPr>
            <w:r>
              <w:rPr>
                <w:rFonts w:ascii="Arial" w:cs="Arial" w:eastAsia="Arial" w:hAnsi="Arial"/>
                <w:b/>
                <w:bCs/>
                <w:color w:val="1A6B3C"/>
                <w:sz w:val="22"/>
                <w:szCs w:val="22"/>
              </w:rPr>
              <w:t xml:space="preserve">Global Food Coverage</w:t>
            </w:r>
          </w:p>
          <w:p>
            <w:pPr>
              <w:spacing w:after="80" w:before="60"/>
            </w:pPr>
            <w:r>
              <w:rPr>
                <w:rFonts w:ascii="Arial" w:cs="Arial" w:eastAsia="Arial" w:hAnsi="Arial"/>
                <w:color w:val="404040"/>
                <w:sz w:val="20"/>
                <w:szCs w:val="20"/>
              </w:rPr>
              <w:t xml:space="preserve">With 15 food categories including Indian, Chinese, Italian, and Egyptian cuisine libraries, DiaTwin is built for the world — not just Western dietary patterns.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pPr>
              <w:spacing w:after="80" w:before="80"/>
            </w:pPr>
            <w:r>
              <w:rPr>
                <w:rFonts w:ascii="Arial" w:cs="Arial" w:eastAsia="Arial" w:hAnsi="Arial"/>
                <w:b/>
                <w:bCs/>
                <w:color w:val="1A6B3C"/>
                <w:sz w:val="22"/>
                <w:szCs w:val="22"/>
              </w:rPr>
              <w:t xml:space="preserve">Single Source of Truth Across All Clients</w:t>
            </w:r>
          </w:p>
          <w:p>
            <w:pPr>
              <w:spacing w:after="80" w:before="60"/>
            </w:pPr>
            <w:r>
              <w:rPr>
                <w:rFonts w:ascii="Arial" w:cs="Arial" w:eastAsia="Arial" w:hAnsi="Arial"/>
                <w:color w:val="404040"/>
                <w:sz w:val="20"/>
                <w:szCs w:val="20"/>
              </w:rPr>
              <w:t xml:space="preserve">constants.py governs all pharmacokinetic parameters, absorption profiles, and dose-adjustment factors across backend, web, and mobile simultaneously. The shared_constants login payload eliminates platform drift.</w:t>
            </w:r>
          </w:p>
        </w:tc>
      </w:tr>
    </w:tbl>
    <w:p>
      <w:pPr>
        <w:spacing w:after="0" w:before="0"/>
      </w:pPr>
      <w:r>
        <w:t xml:space="preserve"/>
      </w:r>
    </w:p>
    <w:p>
      <w:pPr>
        <w:spacing w:after="0" w:before="0"/>
      </w:pPr>
      <w:r>
        <w:t xml:space="preserve"/>
      </w:r>
    </w:p>
    <w:p>
      <w:pPr>
        <w:spacing w:after="200" w:before="400"/>
      </w:pPr>
      <w:r>
        <w:rPr>
          <w:rFonts w:ascii="Arial" w:cs="Arial" w:eastAsia="Arial" w:hAnsi="Arial"/>
          <w:b/>
          <w:bCs/>
          <w:color w:val="1A4B8C"/>
          <w:sz w:val="36"/>
          <w:szCs w:val="36"/>
        </w:rPr>
        <w:t xml:space="preserve">28. Acknowledgements</w:t>
      </w:r>
    </w:p>
    <w:p>
      <w:pPr>
        <w:spacing w:after="80" w:before="80"/>
      </w:pPr>
      <w:r>
        <w:rPr>
          <w:rFonts w:ascii="Arial" w:cs="Arial" w:eastAsia="Arial" w:hAnsi="Arial"/>
          <w:color w:val="404040"/>
          <w:sz w:val="22"/>
          <w:szCs w:val="22"/>
        </w:rPr>
        <w:t xml:space="preserve">Insulin pharmacokinetic parameters are based on the German S3 Guideline ‘Therapie des Typ-1-Diabetes’, Version 5.0 (AWMF-Registry: 057-013), published in Diabetologie und Stoffwechsel 2024; 19: S155–S166. DOI: 10.1055/a-2312-0276.</w:t>
      </w:r>
    </w:p>
    <w:p>
      <w:pPr>
        <w:spacing w:after="0" w:before="0"/>
      </w:pPr>
      <w:r>
        <w:t xml:space="preserve"/>
      </w:r>
    </w:p>
    <w:p>
      <w:pPr>
        <w:spacing w:after="80" w:before="80"/>
      </w:pPr>
      <w:r>
        <w:rPr>
          <w:rFonts w:ascii="Arial" w:cs="Arial" w:eastAsia="Arial" w:hAnsi="Arial"/>
          <w:color w:val="404040"/>
          <w:sz w:val="22"/>
          <w:szCs w:val="22"/>
        </w:rPr>
        <w:t xml:space="preserve">CGM integration is provided via the Abbott LibreLinkUp API. Abbott and FreeStyle Libre are trademarks of Abbott Laboratories.</w:t>
      </w:r>
    </w:p>
    <w:p>
      <w:pPr>
        <w:spacing w:after="0" w:before="0"/>
      </w:pPr>
      <w:r>
        <w:t xml:space="preserve"/>
      </w:r>
    </w:p>
    <w:p>
      <w:pPr>
        <w:spacing w:after="0" w:before="0"/>
      </w:pPr>
      <w:r>
        <w:t xml:space="preserve"/>
      </w:r>
    </w:p>
    <w:p>
      <w:pPr>
        <w:spacing w:before="200"/>
        <w:jc w:val="center"/>
      </w:pPr>
      <w:r>
        <w:rPr>
          <w:rFonts w:ascii="Arial" w:cs="Arial" w:eastAsia="Arial" w:hAnsi="Arial"/>
          <w:color w:val="666666"/>
          <w:sz w:val="22"/>
          <w:szCs w:val="22"/>
        </w:rPr>
        <w:t xml:space="preserve">DiaTwin — Empowering patients. Supporting clinicians. Built on science.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2026-05-02T00:47:00.589Z</dcterms:created>
  <dcterms:modified xsi:type="dcterms:W3CDTF">2026-05-02T00:47:00.606Z</dcterms:modified>
</cp:coreProperties>
</file>

<file path=docProps/custom.xml><?xml version="1.0" encoding="utf-8"?>
<Properties xmlns="http://schemas.openxmlformats.org/officeDocument/2006/custom-properties" xmlns:vt="http://schemas.openxmlformats.org/officeDocument/2006/docPropsVTypes"/>
</file>