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DiaTwin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C8DCF0"/>
                <w:sz w:val="17"/>
                <w:szCs w:val="17"/>
              </w:rPr>
              <w:t xml:space="preserve">Research Concept Brief  |  TRL 4–5  |  </w:t>
            </w:r>
            <w:hyperlink w:history="1" r:id="rIdagtw6rb_lbi69zdaigxup">
              <w:r>
                <w:rPr>
                  <w:rFonts w:ascii="Arial" w:cs="Arial" w:eastAsia="Arial" w:hAnsi="Arial"/>
                  <w:color w:val="ADD8FF"/>
                  <w:sz w:val="17"/>
                  <w:szCs w:val="17"/>
                  <w:u w:val="single"/>
                </w:rPr>
                <w:t xml:space="preserve">dia-twin.vercel.app</w:t>
              </w:r>
            </w:hyperlink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4E9FF"/>
                <w:sz w:val="22"/>
                <w:szCs w:val="22"/>
              </w:rPr>
              <w:t xml:space="preserve">Personalised Insulin Dosing Through Circadian-Aware Reinforcement Learning</w:t>
            </w:r>
          </w:p>
        </w:tc>
      </w:tr>
    </w:tbl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1A3557"/>
          <w:sz w:val="18"/>
          <w:szCs w:val="18"/>
        </w:rPr>
        <w:t xml:space="preserve">The Problem</w:t>
      </w:r>
    </w:p>
    <w:p>
      <w:pPr>
        <w:pBdr>
          <w:bottom w:val="single" w:color="2B5B9E" w:sz="8" w:space="1"/>
        </w:pBdr>
        <w:spacing w:after="0" w:before="0"/>
      </w:pPr>
    </w:p>
    <w:p>
      <w:pPr>
        <w:spacing w:after="0" w:before="40"/>
      </w:pPr>
    </w:p>
    <w:p>
      <w:pPr>
        <w:spacing w:after="3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Over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8 million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people with Type 1 Diabetes world-wide rely on insulin pens. Despite widespread CGM adoption, no affordable decision-support tool simultaneously accounts for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insulin pharmacodynamics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meal absorption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physical activity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and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circadian variation in insulin sensitivity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. Fixed correction ratios cannot adapt, leading to chronic dosing errors, elevated hypoglycaemia risk, and high cognitive burden.</w:t>
      </w:r>
    </w:p>
    <w:p>
      <w:pPr>
        <w:spacing w:after="0" w:before="7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1A3557"/>
          <w:sz w:val="18"/>
          <w:szCs w:val="18"/>
        </w:rPr>
        <w:t xml:space="preserve">How It Works — The Contextual Dosing Pipeline</w:t>
      </w:r>
    </w:p>
    <w:p>
      <w:pPr>
        <w:pBdr>
          <w:bottom w:val="single" w:color="2B5B9E" w:sz="8" w:space="1"/>
        </w:pBdr>
        <w:spacing w:after="0" w:before="0"/>
      </w:pPr>
    </w:p>
    <w:p>
      <w:pPr>
        <w:spacing w:after="0" w:before="40"/>
      </w:pPr>
    </w:p>
    <w:p>
      <w:pPr>
        <w:spacing w:after="3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Every insulin recommendation integrates all available patient context in a single on-device calculation:</w:t>
      </w:r>
    </w:p>
    <w:p>
      <w:pPr>
        <w:spacing w:after="0" w:before="3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80"/>
        <w:gridCol w:w="8612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📷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Meal photo → carbs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Camera-based food recognition extracts macronutrients (carbs, protein, fat) and assigns an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absorption profile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(very fast → very slow) automatically.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🍽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PK/PD modelling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IOB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(Insulin-on-Board) and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MOB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(Meal-on-Board) computed via gamma-distribution curves; cumulative daily effects and predictive peak-overlap included.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💓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HR + Activity ODE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Wearable HR stream (real-time or end-of-day upload) feeds a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Y / Z / W ODE system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: Y filters HR above resting baseline; Z captures acute insulin-independent GLUT4 uptake (IIRd, τ = 10 min); W integrates exercise load and drives the post-exercise ISF/ICR sensitivity multiplier (capped at +60%). Categorical fallback (no wearable) synthesises HR from patient resting/max HR. Activity-on-Board (AOB) tracked continuously.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📡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CGM integration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Abbott LibreLinkUp auto-sync (every 4 min, 10+ regions, Fernet-encrypted credentials) fuses continuous sensor data with finger-prick readings on a unified timeline. CGM readings update the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stable baseline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in real time, refining all downstream projections.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📈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BG + circadian baseline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 glucose (CGM or finger-prick) corrected against a 24-hour circadian anchor: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overnight nadir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dawn phenomenon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, and daytime plateau.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💉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Dose + insulin type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Suggested units (rounded to 0.1 u, 0.5 u safety floor) plus the appropriate insulin analogue (rapid vs standard) matched to the meal’s absorption profile.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Clinician-guided personalisation</w:t>
            </w:r>
          </w:p>
        </w:tc>
        <w:tc>
          <w:tcPr>
            <w:tcW w:type="dxa" w:w="86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meal–insulin–activity–outcome tuples are logged and visible to supervising clinicians. Doctors review glucose trend graphs and can update ISF/ICR directly. Full ML-driven automated parameter refinement per 2-hour circadian block is planned for the next phase.</w:t>
            </w:r>
          </w:p>
        </w:tc>
      </w:tr>
    </w:tbl>
    <w:p>
      <w:pPr>
        <w:spacing w:after="0" w:before="7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1A3557"/>
          <w:sz w:val="18"/>
          <w:szCs w:val="18"/>
        </w:rPr>
        <w:t xml:space="preserve">What Sets It Apart</w:t>
      </w:r>
    </w:p>
    <w:p>
      <w:pPr>
        <w:pBdr>
          <w:bottom w:val="single" w:color="2B5B9E" w:sz="8" w:space="1"/>
        </w:pBdr>
        <w:spacing w:after="0" w:before="0"/>
      </w:pPr>
    </w:p>
    <w:p>
      <w:pPr>
        <w:spacing w:after="0" w:before="4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8692"/>
      </w:tblGrid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Photo-to-dose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camera at a meal → carb estimate → insulin suggestion. No manual entry required.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Full context window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Saved meals, doses, wearable activity, and BG readings all contribute to every new recommendation — not just the current meal.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Circadian adaptation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Time-of-day ISF/ICR personalisation via RL — absent from all current pen-user tools.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Wearable HR → ODE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or end-of-day HR stream drives the Y/Z/W pharmacodynamic engine; swim-lane auto-segmentation converts all-day data into discrete exercise sessions automatically.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CGM → closed feedback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LibreLinkUp fusion keeps the glucose baseline current between finger-prick readings, reducing estimation error.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No pump required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Operates entirely with standard insulin pens and finger-prick or CGM data.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Equity by design</w:t>
            </w:r>
          </w:p>
        </w:tc>
        <w:tc>
          <w:tcPr>
            <w:tcW w:type="dxa" w:w="869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Designed for settings with limited CGM access — a planned LMIC arm.</w:t>
            </w:r>
          </w:p>
        </w:tc>
      </w:tr>
    </w:tbl>
    <w:p>
      <w:pPr>
        <w:spacing w:after="0" w:before="7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1A3557"/>
          <w:sz w:val="18"/>
          <w:szCs w:val="18"/>
        </w:rPr>
        <w:t xml:space="preserve">Current Status &amp; Credentials</w:t>
      </w:r>
    </w:p>
    <w:p>
      <w:pPr>
        <w:pBdr>
          <w:bottom w:val="single" w:color="2B5B9E" w:sz="8" w:space="1"/>
        </w:pBdr>
        <w:spacing w:after="0" w:before="0"/>
      </w:pPr>
    </w:p>
    <w:p>
      <w:pPr>
        <w:spacing w:after="0" w:before="4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91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Prototype</w:t>
            </w: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web app + Android app — deployable, demo-ready (</w:t>
            </w:r>
            <w:hyperlink w:history="1" r:id="rIdeg_y2jol0et0kidadbk7b">
              <w:r>
                <w:rPr>
                  <w:rFonts w:ascii="Arial" w:cs="Arial" w:eastAsia="Arial" w:hAnsi="Arial"/>
                  <w:color w:val="3A80C1"/>
                  <w:sz w:val="18"/>
                  <w:szCs w:val="18"/>
                  <w:u w:val="single"/>
                </w:rPr>
                <w:t xml:space="preserve">dia-twin.vercel.app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Academic</w:t>
            </w: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M.Sc. Digital Health, DIT Germany — grade 1.6 (Excellent, 2025).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Clinical advisory</w:t>
            </w: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Prof. Dr. Klaus Parhofer, LMU Munich (Medizinische Klinik IV) — thesis supervisor.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Training data</w:t>
            </w: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2F7FC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RL engine pre-trained on 50,000+ real meal–outcome clinical data pairs; out-of-sample stress-tested against the </w:t>
            </w: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AZT1D dataset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(25 T1D patients, CGM + bolus + carbohydrate data, spanning pen-based MDI and automated insulin delivery therapy periods).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Researcher</w:t>
            </w:r>
          </w:p>
        </w:tc>
        <w:tc>
          <w:tcPr>
            <w:tcW w:type="dxa" w:w="8912"/>
            <w:tcBorders>
              <w:top w:val="none" w:color="FFFFFF" w:sz="0"/>
              <w:left w:val="none" w:color="FFFFFF" w:sz="0"/>
              <w:bottom w:val="single" w:color="E0E8F0" w:sz="1"/>
              <w:right w:val="none" w:color="FFFFFF" w:sz="0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Pharmacist (§11 BApO licence), M.Sc. Digital Health, Senior Clinical Informatics (HL7-FHIR R4).</w:t>
            </w:r>
          </w:p>
        </w:tc>
      </w:tr>
    </w:tbl>
    <w:p>
      <w:pPr>
        <w:spacing w:after="0" w:before="7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aps/>
          <w:color w:val="1A3557"/>
          <w:sz w:val="18"/>
          <w:szCs w:val="18"/>
        </w:rPr>
        <w:t xml:space="preserve">Proposed Collaboration</w:t>
      </w:r>
    </w:p>
    <w:p>
      <w:pPr>
        <w:pBdr>
          <w:bottom w:val="single" w:color="2B5B9E" w:sz="8" w:space="1"/>
        </w:pBdr>
        <w:spacing w:after="0" w:before="0"/>
      </w:pPr>
    </w:p>
    <w:p>
      <w:pPr>
        <w:spacing w:after="0" w:before="40"/>
      </w:pPr>
    </w:p>
    <w:p>
      <w:pPr>
        <w:spacing w:after="3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 am seeking a PhD supervision context to design and execute a prospective </w:t>
      </w:r>
      <w:r>
        <w:rPr>
          <w:rFonts w:ascii="Arial" w:cs="Arial" w:eastAsia="Arial" w:hAnsi="Arial"/>
          <w:b/>
          <w:bCs/>
          <w:color w:val="1A3557"/>
          <w:sz w:val="18"/>
          <w:szCs w:val="18"/>
        </w:rPr>
        <w:t xml:space="preserve">Pilot RCT (N = 30, 6 months)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validating circadian ML adaptation against standard-of-care pen dosing. I welcome discussion around supervision, clinical trial infrastructure, and grant co-development.</w:t>
      </w:r>
    </w:p>
    <w:p>
      <w:pPr>
        <w:spacing w:after="0" w:before="8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 Attia</w:t>
            </w:r>
          </w:p>
          <w:p>
            <w:pPr>
              <w:spacing w:after="0" w:before="0"/>
              <w:jc w:val="center"/>
            </w:pPr>
            <w:hyperlink w:history="1" r:id="rIduqa2k6rfe8sjeb1t8rawj">
              <w:r>
                <w:rPr>
                  <w:rFonts w:ascii="Arial" w:cs="Arial" w:eastAsia="Arial" w:hAnsi="Arial"/>
                  <w:color w:val="ADD8FF"/>
                  <w:sz w:val="17"/>
                  <w:szCs w:val="17"/>
                  <w:u w:val="single"/>
                </w:rPr>
                <w:t xml:space="preserve">dia-twin.vercel.app</w:t>
              </w:r>
            </w:hyperlink>
            <w:r>
              <w:rPr>
                <w:rFonts w:ascii="Arial" w:cs="Arial" w:eastAsia="Arial" w:hAnsi="Arial"/>
                <w:color w:val="8BBDD9"/>
                <w:sz w:val="17"/>
                <w:szCs w:val="17"/>
              </w:rPr>
              <w:t xml:space="preserve">  |  </w:t>
            </w:r>
            <w:hyperlink w:history="1" r:id="rIdn6cqi6wpyolwftkkv9nas">
              <w:r>
                <w:rPr>
                  <w:rFonts w:ascii="Arial" w:cs="Arial" w:eastAsia="Arial" w:hAnsi="Arial"/>
                  <w:color w:val="ADD8FF"/>
                  <w:sz w:val="17"/>
                  <w:szCs w:val="17"/>
                  <w:u w:val="single"/>
                </w:rPr>
                <w:t xml:space="preserve">linkedin.com/in/ali-attia-74748bb4</w:t>
              </w:r>
            </w:hyperlink>
            <w:r>
              <w:rPr>
                <w:rFonts w:ascii="Arial" w:cs="Arial" w:eastAsia="Arial" w:hAnsi="Arial"/>
                <w:color w:val="8BBDD9"/>
                <w:sz w:val="17"/>
                <w:szCs w:val="17"/>
              </w:rPr>
              <w:t xml:space="preserve">  |  </w:t>
            </w:r>
            <w:hyperlink w:history="1" r:id="rIdzfbz5r5-xcu_lmm2e7y72">
              <w:r>
                <w:rPr>
                  <w:rFonts w:ascii="Arial" w:cs="Arial" w:eastAsia="Arial" w:hAnsi="Arial"/>
                  <w:color w:val="ADD8FF"/>
                  <w:sz w:val="17"/>
                  <w:szCs w:val="17"/>
                  <w:u w:val="single"/>
                </w:rPr>
                <w:t xml:space="preserve">github.com/aliattia2</w:t>
              </w:r>
            </w:hyperlink>
            <w:r>
              <w:rPr>
                <w:sz w:val="17"/>
                <w:szCs w:val="17"/>
              </w:rPr>
              <w:t xml:space="preserve">
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8BBDD9"/>
                <w:sz w:val="17"/>
                <w:szCs w:val="17"/>
              </w:rPr>
              <w:t xml:space="preserve">M.Sc. Digital Health  |  German Pharmacist (§11 BApO)  |  aliattia2@gmail.com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gtw6rb_lbi69zdaigxup" Type="http://schemas.openxmlformats.org/officeDocument/2006/relationships/hyperlink" Target="https://dia-twin.vercel.app" TargetMode="External"/><Relationship Id="rIdeg_y2jol0et0kidadbk7b" Type="http://schemas.openxmlformats.org/officeDocument/2006/relationships/hyperlink" Target="https://dia-twin.vercel.app" TargetMode="External"/><Relationship Id="rIduqa2k6rfe8sjeb1t8rawj" Type="http://schemas.openxmlformats.org/officeDocument/2006/relationships/hyperlink" Target="https://dia-twin.vercel.app" TargetMode="External"/><Relationship Id="rIdn6cqi6wpyolwftkkv9nas" Type="http://schemas.openxmlformats.org/officeDocument/2006/relationships/hyperlink" Target="https://linkedin.com/in/ali-attia-74748bb4" TargetMode="External"/><Relationship Id="rIdzfbz5r5-xcu_lmm2e7y72" Type="http://schemas.openxmlformats.org/officeDocument/2006/relationships/hyperlink" Target="https://github.com/aliattia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2026-05-02T01:36:23.706Z</dcterms:created>
  <dcterms:modified xsi:type="dcterms:W3CDTF">2026-05-02T01:36:23.708Z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