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5FA3" w:sz="6" w:space="4"/>
        </w:pBdr>
        <w:spacing w:after="200" w:before="0"/>
      </w:pPr>
      <w:r>
        <w:rPr>
          <w:b/>
          <w:bCs/>
          <w:color w:val="1F3E7A"/>
        </w:rPr>
        <w:t xml:space="preserve">DiaTwin — Activity Integration</w:t>
      </w:r>
    </w:p>
    <w:p>
      <w:pPr>
        <w:spacing w:after="60" w:before="60"/>
      </w:pPr>
      <w:r>
        <w:rPr>
          <w:i/>
          <w:iCs/>
          <w:color w:val="666666"/>
          <w:sz w:val="20"/>
          <w:szCs w:val="20"/>
        </w:rPr>
        <w:t xml:space="preserve">Updated Technical Description  </w:t>
      </w:r>
      <w:r>
        <w:rPr>
          <w:color w:val="888888"/>
          <w:sz w:val="20"/>
          <w:szCs w:val="20"/>
        </w:rPr>
        <w:t xml:space="preserve">│  DiaTwin Research Summary, Section 3</w:t>
      </w:r>
    </w:p>
    <w:p>
      <w:pPr>
        <w:pBdr>
          <w:bottom w:val="single" w:color="CCCCCC" w:sz="4" w:space="1"/>
        </w:pBdr>
        <w:spacing w:after="200" w:before="200"/>
      </w:pPr>
    </w:p>
    <w:p>
      <w:pPr>
        <w:pStyle w:val="Heading2"/>
        <w:spacing w:after="100" w:before="200"/>
      </w:pPr>
      <w:r>
        <w:rPr>
          <w:b/>
          <w:bCs/>
        </w:rPr>
        <w:t xml:space="preserve">Overview</w:t>
      </w:r>
    </w:p>
    <w:p>
      <w:pPr>
        <w:spacing w:after="60" w:before="60"/>
      </w:pPr>
      <w:r>
        <w:t xml:space="preserve">Physical activity is incorporated as a real-time, session-aware modifier of predicted blood glucose, adjusting for both the acute insulin-independent glucose uptake during exercise (IIRd) and the prolonged post-exercise enhancement of insulin sensitivity (IDRd). The system operates end-to-end: from raw heart rate ingestion through auto-segmentation and ODE pharmacodynamics to a signed cumulative BG effect and a sensitivity multiplier applied to ISF and carbohydrate ratio.</w:t>
      </w:r>
    </w:p>
    <w:p>
      <w:pPr>
        <w:pBdr>
          <w:bottom w:val="single" w:color="CCCCCC" w:sz="4" w:space="1"/>
        </w:pBdr>
        <w:spacing w:after="200" w:before="200"/>
      </w:pPr>
    </w:p>
    <w:p>
      <w:pPr>
        <w:pStyle w:val="Heading2"/>
        <w:spacing w:after="100" w:before="200"/>
      </w:pPr>
      <w:r>
        <w:rPr>
          <w:b/>
          <w:bCs/>
        </w:rPr>
        <w:t xml:space="preserve">1.  ODE Model — Y / Z / W System</w:t>
      </w:r>
    </w:p>
    <w:p>
      <w:pPr>
        <w:spacing w:after="60" w:before="60"/>
      </w:pPr>
      <w:r>
        <w:t xml:space="preserve">Activity pharmacodynamics are modelled via a three-state ODE system (Dalla Man, Breton &amp; Cobelli, 2009; Breton, 2008; Romeres et al., 2021), numerically integrated at 1-minute Euler steps. The system is implemented identically in both the Python backend (activity_pharmacodynamics.py) and a JavaScript frontend port (activityPharmacodynamics.js) for offline-capable calculation.</w:t>
      </w:r>
    </w:p>
    <w:p>
      <w:pPr>
        <w:pStyle w:val="Heading3"/>
        <w:spacing w:after="80" w:before="140"/>
      </w:pPr>
      <w:r>
        <w:rPr>
          <w:b/>
          <w:bCs/>
        </w:rPr>
        <w:t xml:space="preserve">State Variables</w:t>
      </w:r>
    </w:p>
    <w:p>
      <w:pPr>
        <w:pStyle w:val="ListParagraph"/>
        <w:numPr>
          <w:ilvl w:val="0"/>
          <w:numId w:val="2"/>
        </w:numPr>
        <w:spacing w:after="40" w:before="40"/>
      </w:pPr>
      <w:r>
        <w:rPr>
          <w:b/>
          <w:bCs/>
        </w:rPr>
        <w:t xml:space="preserve">Y  —  HR Filter (Energy Expenditure Proxy).  </w:t>
      </w:r>
      <w:r>
        <w:t xml:space="preserve">First-order low-pass filter of heart rate above the patient's resting baseline (τ_HR = 5 min). </w:t>
      </w:r>
      <w:r>
        <w:rPr>
          <w:rFonts w:ascii="Courier New" w:cs="Courier New" w:eastAsia="Courier New" w:hAnsi="Courier New"/>
          <w:color w:val="555555"/>
          <w:sz w:val="20"/>
          <w:szCs w:val="20"/>
        </w:rPr>
        <w:t xml:space="preserve">dY/dt = (HR_above / τ_HR) − (Y / τ_HR)</w:t>
      </w:r>
      <w:r>
        <w:t xml:space="preserve">. Captures the physiologically meaningful fraction of HR response, smoothing out beat-to-beat variability.</w:t>
      </w:r>
    </w:p>
    <w:p>
      <w:pPr>
        <w:pStyle w:val="ListParagraph"/>
        <w:numPr>
          <w:ilvl w:val="0"/>
          <w:numId w:val="2"/>
        </w:numPr>
        <w:spacing w:after="40" w:before="40"/>
      </w:pPr>
      <w:r>
        <w:rPr>
          <w:b/>
          <w:bCs/>
        </w:rPr>
        <w:t xml:space="preserve">Z  —  Acute IIRd Signal.  </w:t>
      </w:r>
      <w:r>
        <w:t xml:space="preserve">Encodes direct, insulin-independent muscle glucose uptake via contractile GLUT4 activation. Z rises toward 1 while the patient is in the exercise window and Y exceeds the onset threshold (</w:t>
      </w:r>
      <w:r>
        <w:rPr>
          <w:rFonts w:ascii="Courier New" w:cs="Courier New" w:eastAsia="Courier New" w:hAnsi="Courier New"/>
          <w:color w:val="555555"/>
          <w:sz w:val="20"/>
          <w:szCs w:val="20"/>
        </w:rPr>
        <w:t xml:space="preserve">a · HR_base</w:t>
      </w:r>
      <w:r>
        <w:t xml:space="preserve">, a = 0.05); it decays exponentially with τ_Z = 10 min after exercise ends. The cumulative integral of </w:t>
      </w:r>
      <w:r>
        <w:rPr>
          <w:rFonts w:ascii="Courier New" w:cs="Courier New" w:eastAsia="Courier New" w:hAnsi="Courier New"/>
          <w:color w:val="555555"/>
          <w:sz w:val="20"/>
          <w:szCs w:val="20"/>
        </w:rPr>
        <w:t xml:space="preserve">Z × 0.15 mg/dL/min</w:t>
      </w:r>
      <w:r>
        <w:t xml:space="preserve"> constitutes the acute BG-lowering effect (IIRd pathway), with an allometric weight correction of </w:t>
      </w:r>
      <w:r>
        <w:rPr>
          <w:rFonts w:ascii="Courier New" w:cs="Courier New" w:eastAsia="Courier New" w:hAnsi="Courier New"/>
          <w:color w:val="555555"/>
          <w:sz w:val="20"/>
          <w:szCs w:val="20"/>
        </w:rPr>
        <w:t xml:space="preserve">(70 / weight_kg)^0.25</w:t>
      </w:r>
      <w:r>
        <w:t xml:space="preserve"> applied to account for inter-patient body-mass variation.</w:t>
      </w:r>
    </w:p>
    <w:p>
      <w:pPr>
        <w:pStyle w:val="ListParagraph"/>
        <w:numPr>
          <w:ilvl w:val="0"/>
          <w:numId w:val="2"/>
        </w:numPr>
        <w:spacing w:after="40" w:before="40"/>
      </w:pPr>
      <w:r>
        <w:rPr>
          <w:b/>
          <w:bCs/>
        </w:rPr>
        <w:t xml:space="preserve">W  —  Cumulative Load Integral.  </w:t>
      </w:r>
      <w:r>
        <w:t xml:space="preserve">Integrates Y during exercise (dW/dt = Y), then decays with τ_W = 90 min in recovery. W encodes the joint intensity × duration load that drives prolonged GLUT4 receptor upregulation. The post-exercise ISF/CR sensitivity multiplier is computed as </w:t>
      </w:r>
      <w:r>
        <w:rPr>
          <w:rFonts w:ascii="Courier New" w:cs="Courier New" w:eastAsia="Courier New" w:hAnsi="Courier New"/>
          <w:color w:val="555555"/>
          <w:sz w:val="20"/>
          <w:szCs w:val="20"/>
        </w:rPr>
        <w:t xml:space="preserve">1 + α · W · (1 + Z)</w:t>
      </w:r>
      <w:r>
        <w:t xml:space="preserve">, with α = 0.0008 and a hard cap of 60% above baseline. Because GLUT4 upregulation is not linearly additive across concurrent sessions, the maximum multiplier across all active sessions in the current window is applied rather than their arithmetic sum.</w:t>
      </w:r>
    </w:p>
    <w:p>
      <w:pPr>
        <w:pStyle w:val="Heading3"/>
        <w:spacing w:after="80" w:before="140"/>
      </w:pPr>
      <w:r>
        <w:rPr>
          <w:b/>
          <w:bCs/>
        </w:rPr>
        <w:t xml:space="preserve">Derived Clinical Outputs</w:t>
      </w:r>
    </w:p>
    <w:p>
      <w:pPr>
        <w:pStyle w:val="ListParagraph"/>
        <w:numPr>
          <w:ilvl w:val="0"/>
          <w:numId w:val="2"/>
        </w:numPr>
        <w:spacing w:after="40" w:before="40"/>
      </w:pPr>
      <w:r>
        <w:rPr>
          <w:b/>
          <w:bCs/>
        </w:rPr>
        <w:t xml:space="preserve">Signed cumulative BG effect  </w:t>
      </w:r>
      <w:r>
        <w:t xml:space="preserve">(mg/dL). Controlled by a </w:t>
      </w:r>
      <w:r>
        <w:rPr>
          <w:rFonts w:ascii="Courier New" w:cs="Courier New" w:eastAsia="Courier New" w:hAnsi="Courier New"/>
          <w:color w:val="555555"/>
          <w:sz w:val="20"/>
          <w:szCs w:val="20"/>
        </w:rPr>
        <w:t xml:space="preserve">bg_direction</w:t>
      </w:r>
      <w:r>
        <w:t xml:space="preserve"> field per session: −1 = aerobic / BG-lowering (default); +1 = BG-raising for specific session types. Effects are summed across all sessions within the current daily reset window.</w:t>
      </w:r>
    </w:p>
    <w:p>
      <w:pPr>
        <w:pStyle w:val="ListParagraph"/>
        <w:numPr>
          <w:ilvl w:val="0"/>
          <w:numId w:val="2"/>
        </w:numPr>
        <w:spacing w:after="40" w:before="40"/>
      </w:pPr>
      <w:r>
        <w:rPr>
          <w:b/>
          <w:bCs/>
        </w:rPr>
        <w:t xml:space="preserve">Sensitivity multiplier  </w:t>
      </w:r>
      <w:r>
        <w:t xml:space="preserve">applied directly to dosing parameters: </w:t>
      </w:r>
      <w:r>
        <w:rPr>
          <w:rFonts w:ascii="Courier New" w:cs="Courier New" w:eastAsia="Courier New" w:hAnsi="Courier New"/>
          <w:color w:val="555555"/>
          <w:sz w:val="20"/>
          <w:szCs w:val="20"/>
        </w:rPr>
        <w:t xml:space="preserve">correction_factor</w:t>
      </w:r>
      <w:r>
        <w:t xml:space="preserve"> (ISF) is multiplied; </w:t>
      </w:r>
      <w:r>
        <w:rPr>
          <w:rFonts w:ascii="Courier New" w:cs="Courier New" w:eastAsia="Courier New" w:hAnsi="Courier New"/>
          <w:color w:val="555555"/>
          <w:sz w:val="20"/>
          <w:szCs w:val="20"/>
        </w:rPr>
        <w:t xml:space="preserve">carb_to_bg_ratio</w:t>
      </w:r>
      <w:r>
        <w:t xml:space="preserve"> (ICR) is divided, producing activity-adjusted constants active for the duration of the post-exercise window.</w:t>
      </w:r>
    </w:p>
    <w:p>
      <w:pPr>
        <w:pStyle w:val="ListParagraph"/>
        <w:numPr>
          <w:ilvl w:val="0"/>
          <w:numId w:val="2"/>
        </w:numPr>
        <w:spacing w:after="40" w:before="40"/>
      </w:pPr>
      <w:r>
        <w:rPr>
          <w:b/>
          <w:bCs/>
        </w:rPr>
        <w:t xml:space="preserve">Activity-on-Board (AOB)  </w:t>
      </w:r>
      <w:r>
        <w:t xml:space="preserve">— analogous to IOB. Tracks the remaining undelivered BG-drop magnitude and absorbed fraction for each session in real time, exposed both per-session and as a total via the </w:t>
      </w:r>
      <w:r>
        <w:rPr>
          <w:rFonts w:ascii="Courier New" w:cs="Courier New" w:eastAsia="Courier New" w:hAnsi="Courier New"/>
          <w:color w:val="555555"/>
          <w:sz w:val="20"/>
          <w:szCs w:val="20"/>
        </w:rPr>
        <w:t xml:space="preserve">/api/activity/pharmacodynamics/aob</w:t>
      </w:r>
      <w:r>
        <w:t xml:space="preserve"> endpoint.</w:t>
      </w:r>
    </w:p>
    <w:p>
      <w:pPr>
        <w:pStyle w:val="ListParagraph"/>
        <w:numPr>
          <w:ilvl w:val="0"/>
          <w:numId w:val="2"/>
        </w:numPr>
        <w:spacing w:after="40" w:before="40"/>
      </w:pPr>
      <w:r>
        <w:rPr>
          <w:b/>
          <w:bCs/>
        </w:rPr>
        <w:t xml:space="preserve">Daily reset boundary  </w:t>
      </w:r>
      <w:r>
        <w:t xml:space="preserve">— both the cumulative BG effect and the sensitivity multiplier reset at the patient's configurable daily reset hour (default 07:00), using the patient's timezone offset to resolve the correct UTC boundary. This is consistent with the IOB and MOB reset logic.</w:t>
      </w:r>
    </w:p>
    <w:p>
      <w:pPr>
        <w:pBdr>
          <w:bottom w:val="single" w:color="CCCCCC" w:sz="4" w:space="1"/>
        </w:pBdr>
        <w:spacing w:after="200" w:before="200"/>
      </w:pPr>
    </w:p>
    <w:p>
      <w:pPr>
        <w:pStyle w:val="Heading2"/>
        <w:spacing w:after="100" w:before="200"/>
      </w:pPr>
      <w:r>
        <w:rPr>
          <w:b/>
          <w:bCs/>
        </w:rPr>
        <w:t xml:space="preserve">2.  Heart Rate Input Pipeline</w:t>
      </w:r>
    </w:p>
    <w:p>
      <w:pPr>
        <w:spacing w:after="60" w:before="60"/>
      </w:pPr>
      <w:r>
        <w:t xml:space="preserve">Heart rate serves as the primary exercise intensity signal. Three ingestion pathways are fully implemented, ordered by physiological precision. All three pathways produce identically normalised activity records, ensuring consistent ODE output regardless of data source. A model field in the per-session breakdown records whether real HR data or a synthetic trace was used ("hr_ode" vs. "synthetic_hr").</w:t>
      </w:r>
    </w:p>
    <w:p>
      <w:pPr>
        <w:pStyle w:val="Heading3"/>
        <w:spacing w:after="80" w:before="140"/>
      </w:pPr>
      <w:r>
        <w:rPr>
          <w:b/>
          <w:bCs/>
        </w:rPr>
        <w:t xml:space="preserve">2.1  Real-Time Session Recording (Wearable Streaming)</w:t>
      </w:r>
    </w:p>
    <w:p>
      <w:pPr>
        <w:spacing w:after="60" w:before="60"/>
      </w:pPr>
      <w:r>
        <w:t xml:space="preserve">Designed for live workout tracking where the wearable or companion app streams samples to the backend during exercise:</w:t>
      </w:r>
    </w:p>
    <w:p>
      <w:pPr>
        <w:pStyle w:val="ListParagraph"/>
        <w:numPr>
          <w:ilvl w:val="0"/>
          <w:numId w:val="2"/>
        </w:numPr>
        <w:spacing w:after="40" w:before="40"/>
      </w:pPr>
      <w:r>
        <w:rPr>
          <w:rFonts w:ascii="Courier New" w:cs="Courier New" w:eastAsia="Courier New" w:hAnsi="Courier New"/>
          <w:color w:val="555555"/>
          <w:sz w:val="20"/>
          <w:szCs w:val="20"/>
        </w:rPr>
        <w:t xml:space="preserve">POST /api/watch/activity/start</w:t>
      </w:r>
      <w:r>
        <w:t xml:space="preserve">  — opens a session and returns a </w:t>
      </w:r>
      <w:r>
        <w:rPr>
          <w:rFonts w:ascii="Courier New" w:cs="Courier New" w:eastAsia="Courier New" w:hAnsi="Courier New"/>
          <w:color w:val="555555"/>
          <w:sz w:val="20"/>
          <w:szCs w:val="20"/>
        </w:rPr>
        <w:t xml:space="preserve">session_id</w:t>
      </w:r>
      <w:r>
        <w:t xml:space="preserve">.</w:t>
      </w:r>
    </w:p>
    <w:p>
      <w:pPr>
        <w:pStyle w:val="ListParagraph"/>
        <w:numPr>
          <w:ilvl w:val="0"/>
          <w:numId w:val="2"/>
        </w:numPr>
        <w:spacing w:after="40" w:before="40"/>
      </w:pPr>
      <w:r>
        <w:rPr>
          <w:rFonts w:ascii="Courier New" w:cs="Courier New" w:eastAsia="Courier New" w:hAnsi="Courier New"/>
          <w:color w:val="555555"/>
          <w:sz w:val="20"/>
          <w:szCs w:val="20"/>
        </w:rPr>
        <w:t xml:space="preserve">POST /api/watch/hr/stream</w:t>
      </w:r>
      <w:r>
        <w:t xml:space="preserve">  — accepts batched per-second HR samples (format: </w:t>
      </w:r>
      <w:r>
        <w:rPr>
          <w:rFonts w:ascii="Courier New" w:cs="Courier New" w:eastAsia="Courier New" w:hAnsi="Courier New"/>
          <w:color w:val="555555"/>
          <w:sz w:val="20"/>
          <w:szCs w:val="20"/>
        </w:rPr>
        <w:t xml:space="preserve">{t_sec, hr_bpm}</w:t>
      </w:r>
      <w:r>
        <w:t xml:space="preserve">). Called every ~5 seconds by the watch sync loop. Samples accumulate in the session record.</w:t>
      </w:r>
    </w:p>
    <w:p>
      <w:pPr>
        <w:pStyle w:val="ListParagraph"/>
        <w:numPr>
          <w:ilvl w:val="0"/>
          <w:numId w:val="2"/>
        </w:numPr>
        <w:spacing w:after="40" w:before="40"/>
      </w:pPr>
      <w:r>
        <w:rPr>
          <w:rFonts w:ascii="Courier New" w:cs="Courier New" w:eastAsia="Courier New" w:hAnsi="Courier New"/>
          <w:color w:val="555555"/>
          <w:sz w:val="20"/>
          <w:szCs w:val="20"/>
        </w:rPr>
        <w:t xml:space="preserve">POST /api/watch/activity/end</w:t>
      </w:r>
      <w:r>
        <w:t xml:space="preserve">  — finalises the session. The raw per-second trace (</w:t>
      </w:r>
      <w:r>
        <w:rPr>
          <w:rFonts w:ascii="Courier New" w:cs="Courier New" w:eastAsia="Courier New" w:hAnsi="Courier New"/>
          <w:color w:val="555555"/>
          <w:sz w:val="20"/>
          <w:szCs w:val="20"/>
        </w:rPr>
        <w:t xml:space="preserve">hr_trace_raw</w:t>
      </w:r>
      <w:r>
        <w:t xml:space="preserve">) is stored for full-resolution visualisation; it is independently downsampled to per-minute averages (</w:t>
      </w:r>
      <w:r>
        <w:rPr>
          <w:rFonts w:ascii="Courier New" w:cs="Courier New" w:eastAsia="Courier New" w:hAnsi="Courier New"/>
          <w:color w:val="555555"/>
          <w:sz w:val="20"/>
          <w:szCs w:val="20"/>
        </w:rPr>
        <w:t xml:space="preserve">hr_trace</w:t>
      </w:r>
      <w:r>
        <w:t xml:space="preserve">, format: </w:t>
      </w:r>
      <w:r>
        <w:rPr>
          <w:rFonts w:ascii="Courier New" w:cs="Courier New" w:eastAsia="Courier New" w:hAnsi="Courier New"/>
          <w:color w:val="555555"/>
          <w:sz w:val="20"/>
          <w:szCs w:val="20"/>
        </w:rPr>
        <w:t xml:space="preserve">{t_min, hr_bpm}</w:t>
      </w:r>
      <w:r>
        <w:t xml:space="preserve">) for ODE input.</w:t>
      </w:r>
    </w:p>
    <w:p>
      <w:pPr>
        <w:pStyle w:val="ListParagraph"/>
        <w:numPr>
          <w:ilvl w:val="0"/>
          <w:numId w:val="2"/>
        </w:numPr>
        <w:spacing w:after="40" w:before="40"/>
      </w:pPr>
      <w:r>
        <w:rPr>
          <w:rFonts w:ascii="Courier New" w:cs="Courier New" w:eastAsia="Courier New" w:hAnsi="Courier New"/>
          <w:color w:val="555555"/>
          <w:sz w:val="20"/>
          <w:szCs w:val="20"/>
        </w:rPr>
        <w:t xml:space="preserve">GET /api/watch/activity/status</w:t>
      </w:r>
      <w:r>
        <w:t xml:space="preserve">  — crash-recovery endpoint. On app restart, any in-progress session is detected and recording can resume without data loss.</w:t>
      </w:r>
    </w:p>
    <w:p>
      <w:pPr>
        <w:pStyle w:val="ListParagraph"/>
        <w:numPr>
          <w:ilvl w:val="0"/>
          <w:numId w:val="2"/>
        </w:numPr>
        <w:spacing w:after="40" w:before="40"/>
      </w:pPr>
      <w:r>
        <w:rPr>
          <w:rFonts w:ascii="Courier New" w:cs="Courier New" w:eastAsia="Courier New" w:hAnsi="Courier New"/>
          <w:color w:val="555555"/>
          <w:sz w:val="20"/>
          <w:szCs w:val="20"/>
        </w:rPr>
        <w:t xml:space="preserve">GET /api/watch/hr/raw/&lt;session_id&gt;</w:t>
      </w:r>
      <w:r>
        <w:t xml:space="preserve">  — returns the full per-second trace for completed or in-progress sessions; used by the ActivityVisualization HR Live tab.</w:t>
      </w:r>
    </w:p>
    <w:p>
      <w:pPr>
        <w:pStyle w:val="Heading3"/>
        <w:spacing w:after="80" w:before="140"/>
      </w:pPr>
      <w:r>
        <w:rPr>
          <w:b/>
          <w:bCs/>
        </w:rPr>
        <w:t xml:space="preserve">2.2  Continuous All-Day Upload and Swim-Lane Auto-Segmentation</w:t>
      </w:r>
    </w:p>
    <w:p>
      <w:pPr>
        <w:spacing w:after="60" w:before="60"/>
      </w:pPr>
      <w:r>
        <w:t xml:space="preserve">Designed for end-of-day sync from any wearable supporting CSV or JSON export (e.g. Garmin, Fitbit, Apple Health). A flat array of timestamped HR samples is submitted to:</w:t>
      </w:r>
    </w:p>
    <w:p>
      <w:pPr>
        <w:pStyle w:val="ListParagraph"/>
        <w:numPr>
          <w:ilvl w:val="0"/>
          <w:numId w:val="2"/>
        </w:numPr>
        <w:spacing w:after="40" w:before="40"/>
      </w:pPr>
      <w:r>
        <w:rPr>
          <w:rFonts w:ascii="Courier New" w:cs="Courier New" w:eastAsia="Courier New" w:hAnsi="Courier New"/>
          <w:color w:val="555555"/>
          <w:sz w:val="20"/>
          <w:szCs w:val="20"/>
        </w:rPr>
        <w:t xml:space="preserve">POST /api/watch/hr/continuous</w:t>
      </w:r>
      <w:r>
        <w:t xml:space="preserve">  — accepts </w:t>
      </w:r>
      <w:r>
        <w:rPr>
          <w:rFonts w:ascii="Courier New" w:cs="Courier New" w:eastAsia="Courier New" w:hAnsi="Courier New"/>
          <w:color w:val="555555"/>
          <w:sz w:val="20"/>
          <w:szCs w:val="20"/>
        </w:rPr>
        <w:t xml:space="preserve">{timestamp_iso, hr_bpm}</w:t>
      </w:r>
      <w:r>
        <w:t xml:space="preserve"> samples (t_sec / t_min also supported with a base_time anchor).</w:t>
      </w:r>
    </w:p>
    <w:p>
      <w:pPr>
        <w:spacing w:after="60" w:before="60"/>
      </w:pPr>
      <w:r>
        <w:t xml:space="preserve">The backend auto-segmentation module (watch_hr_autosegment.py) converts the continuous stream into discrete activity session records using a swim-lane state machine:</w:t>
      </w:r>
    </w:p>
    <w:p>
      <w:pPr>
        <w:pStyle w:val="ListParagraph"/>
        <w:numPr>
          <w:ilvl w:val="0"/>
          <w:numId w:val="2"/>
        </w:numPr>
        <w:spacing w:after="40" w:before="40"/>
      </w:pPr>
      <w:r>
        <w:rPr>
          <w:b/>
          <w:bCs/>
        </w:rPr>
        <w:t xml:space="preserve">Zone classification  </w:t>
      </w:r>
      <w:r>
        <w:t xml:space="preserve">uses absolute BPM thresholds (not HR-reserve fractions, which require a known session context): HR &lt; 50 bpm → sedentary (no session created); 50–100 bpm → light; 100–140 bpm → moderate; &gt; 140 bpm → vigorous. All thresholds are configurable per call via a </w:t>
      </w:r>
      <w:r>
        <w:rPr>
          <w:rFonts w:ascii="Courier New" w:cs="Courier New" w:eastAsia="Courier New" w:hAnsi="Courier New"/>
          <w:color w:val="555555"/>
          <w:sz w:val="20"/>
          <w:szCs w:val="20"/>
        </w:rPr>
        <w:t xml:space="preserve">config</w:t>
      </w:r>
      <w:r>
        <w:t xml:space="preserve"> parameter, allowing user-level overrides for athletes with atypically low resting HR.</w:t>
      </w:r>
    </w:p>
    <w:p>
      <w:pPr>
        <w:pStyle w:val="ListParagraph"/>
        <w:numPr>
          <w:ilvl w:val="0"/>
          <w:numId w:val="2"/>
        </w:numPr>
        <w:spacing w:after="40" w:before="40"/>
      </w:pPr>
      <w:r>
        <w:rPr>
          <w:b/>
          <w:bCs/>
        </w:rPr>
        <w:t xml:space="preserve">Debounce logic  </w:t>
      </w:r>
      <w:r>
        <w:t xml:space="preserve">requires 6 consecutive readings in the target zone before a session starts, ends, or transitions between intensity tiers. Session start time is anchored to the first reading of the debounce window, ensuring no real exercise time is lost to the debounce delay. Transition debounce triggers a session split at the transition boundary, opening a new session at the new intensity.</w:t>
      </w:r>
    </w:p>
    <w:p>
      <w:pPr>
        <w:pStyle w:val="ListParagraph"/>
        <w:numPr>
          <w:ilvl w:val="0"/>
          <w:numId w:val="2"/>
        </w:numPr>
        <w:spacing w:after="40" w:before="40"/>
      </w:pPr>
      <w:r>
        <w:rPr>
          <w:b/>
          <w:bCs/>
        </w:rPr>
        <w:t xml:space="preserve">Temporal splitting  </w:t>
      </w:r>
      <w:r>
        <w:t xml:space="preserve">caps sessions at 15-minute intervals, split at aligned clock boundaries (:00, :15, :30, :45). This prevents pharmacodynamically oversized sessions from a single long bout and keeps sessions temporally well-defined for the ODE window.</w:t>
      </w:r>
    </w:p>
    <w:p>
      <w:pPr>
        <w:pStyle w:val="ListParagraph"/>
        <w:numPr>
          <w:ilvl w:val="0"/>
          <w:numId w:val="2"/>
        </w:numPr>
        <w:spacing w:after="40" w:before="40"/>
      </w:pPr>
      <w:r>
        <w:rPr>
          <w:b/>
          <w:bCs/>
        </w:rPr>
        <w:t xml:space="preserve">Minimum duration filter  </w:t>
      </w:r>
      <w:r>
        <w:t xml:space="preserve">discards sessions shorter than 2 minutes as noise artefacts.</w:t>
      </w:r>
    </w:p>
    <w:p>
      <w:pPr>
        <w:pStyle w:val="ListParagraph"/>
        <w:numPr>
          <w:ilvl w:val="0"/>
          <w:numId w:val="2"/>
        </w:numPr>
        <w:spacing w:after="40" w:before="40"/>
      </w:pPr>
      <w:r>
        <w:rPr>
          <w:b/>
          <w:bCs/>
        </w:rPr>
        <w:t xml:space="preserve">HR trace construction  </w:t>
      </w:r>
      <w:r>
        <w:t xml:space="preserve">each accepted segment carries a full per-minute </w:t>
      </w:r>
      <w:r>
        <w:rPr>
          <w:rFonts w:ascii="Courier New" w:cs="Courier New" w:eastAsia="Courier New" w:hAnsi="Courier New"/>
          <w:color w:val="555555"/>
          <w:sz w:val="20"/>
          <w:szCs w:val="20"/>
        </w:rPr>
        <w:t xml:space="preserve">hr_trace</w:t>
      </w:r>
      <w:r>
        <w:t xml:space="preserve"> (downsampled from the raw second-resolution data) and a </w:t>
      </w:r>
      <w:r>
        <w:rPr>
          <w:rFonts w:ascii="Courier New" w:cs="Courier New" w:eastAsia="Courier New" w:hAnsi="Courier New"/>
          <w:color w:val="555555"/>
          <w:sz w:val="20"/>
          <w:szCs w:val="20"/>
        </w:rPr>
        <w:t xml:space="preserve">hr_trace_raw</w:t>
      </w:r>
      <w:r>
        <w:t xml:space="preserve"> array for visualisation. Session minimum and peak HR are stored under display-only keys (</w:t>
      </w:r>
      <w:r>
        <w:rPr>
          <w:rFonts w:ascii="Courier New" w:cs="Courier New" w:eastAsia="Courier New" w:hAnsi="Courier New"/>
          <w:color w:val="555555"/>
          <w:sz w:val="20"/>
          <w:szCs w:val="20"/>
        </w:rPr>
        <w:t xml:space="preserve">session_hr_min</w:t>
      </w:r>
      <w:r>
        <w:t xml:space="preserve"> / </w:t>
      </w:r>
      <w:r>
        <w:rPr>
          <w:rFonts w:ascii="Courier New" w:cs="Courier New" w:eastAsia="Courier New" w:hAnsi="Courier New"/>
          <w:color w:val="555555"/>
          <w:sz w:val="20"/>
          <w:szCs w:val="20"/>
        </w:rPr>
        <w:t xml:space="preserve">session_hr_peak</w:t>
      </w:r>
      <w:r>
        <w:t xml:space="preserve">) and are explicitly not forwarded to the ODE as patient resting/max HR, preventing systematic underestimation of exercise intensity from within-session HR variation.</w:t>
      </w:r>
    </w:p>
    <w:p>
      <w:pPr>
        <w:pStyle w:val="Heading3"/>
        <w:spacing w:after="80" w:before="140"/>
      </w:pPr>
      <w:r>
        <w:rPr>
          <w:b/>
          <w:bCs/>
        </w:rPr>
        <w:t xml:space="preserve">2.3  Categorical Fallback — No Wearable Required</w:t>
      </w:r>
    </w:p>
    <w:p>
      <w:pPr>
        <w:spacing w:after="60" w:before="60"/>
      </w:pPr>
      <w:r>
        <w:t xml:space="preserve">When no HR trace is available, the model automatically constructs a synthetic HR trace from the patient's stored resting HR (hr_base) and maximum HR (hr_max) combined with the user-selected categorical intensity tier. The trace follows a 2-minute linear ramp to a plateau defined by the intensity HR-reserve fraction above hr_base:</w:t>
      </w:r>
    </w:p>
    <w:p>
      <w:pPr>
        <w:pStyle w:val="ListParagraph"/>
        <w:numPr>
          <w:ilvl w:val="0"/>
          <w:numId w:val="2"/>
        </w:numPr>
        <w:spacing w:after="40" w:before="40"/>
      </w:pPr>
      <w:r>
        <w:rPr>
          <w:rFonts w:ascii="Courier New" w:cs="Courier New" w:eastAsia="Courier New" w:hAnsi="Courier New"/>
          <w:color w:val="555555"/>
          <w:sz w:val="20"/>
          <w:szCs w:val="20"/>
        </w:rPr>
        <w:t xml:space="preserve">light</w:t>
      </w:r>
      <w:r>
        <w:t xml:space="preserve">  →  50% of HR reserve above resting (≈ 130 bpm at population defaults)</w:t>
      </w:r>
    </w:p>
    <w:p>
      <w:pPr>
        <w:pStyle w:val="ListParagraph"/>
        <w:numPr>
          <w:ilvl w:val="0"/>
          <w:numId w:val="2"/>
        </w:numPr>
        <w:spacing w:after="40" w:before="40"/>
      </w:pPr>
      <w:r>
        <w:rPr>
          <w:rFonts w:ascii="Courier New" w:cs="Courier New" w:eastAsia="Courier New" w:hAnsi="Courier New"/>
          <w:color w:val="555555"/>
          <w:sz w:val="20"/>
          <w:szCs w:val="20"/>
        </w:rPr>
        <w:t xml:space="preserve">moderate</w:t>
      </w:r>
      <w:r>
        <w:t xml:space="preserve">  →  65% of HR reserve (≈ 154 bpm)</w:t>
      </w:r>
    </w:p>
    <w:p>
      <w:pPr>
        <w:pStyle w:val="ListParagraph"/>
        <w:numPr>
          <w:ilvl w:val="0"/>
          <w:numId w:val="2"/>
        </w:numPr>
        <w:spacing w:after="40" w:before="40"/>
      </w:pPr>
      <w:r>
        <w:rPr>
          <w:rFonts w:ascii="Courier New" w:cs="Courier New" w:eastAsia="Courier New" w:hAnsi="Courier New"/>
          <w:color w:val="555555"/>
          <w:sz w:val="20"/>
          <w:szCs w:val="20"/>
        </w:rPr>
        <w:t xml:space="preserve">vigorous</w:t>
      </w:r>
      <w:r>
        <w:t xml:space="preserve">  →  80% of HR reserve (≈ 178 bpm)</w:t>
      </w:r>
    </w:p>
    <w:p>
      <w:pPr>
        <w:spacing w:after="60" w:before="60"/>
      </w:pPr>
      <w:r>
        <w:t xml:space="preserve">This path is fully supported and produces a physiologically plausible ODE input without requiring any wearable hardware, making the system functional for patients who do not own a smartwatch or heart rate monitor.</w:t>
      </w:r>
    </w:p>
    <w:p>
      <w:pPr>
        <w:pBdr>
          <w:bottom w:val="single" w:color="CCCCCC" w:sz="4" w:space="1"/>
        </w:pBdr>
        <w:spacing w:after="200" w:before="200"/>
      </w:pPr>
    </w:p>
    <w:p>
      <w:pPr>
        <w:pStyle w:val="Heading2"/>
        <w:spacing w:after="120" w:before="200"/>
      </w:pPr>
      <w:r>
        <w:rPr>
          <w:b/>
          <w:bCs/>
        </w:rPr>
        <w:t xml:space="preserve">3.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2E4A8B" w:sz="1"/>
              <w:left w:val="single" w:color="2E4A8B" w:sz="1"/>
              <w:bottom w:val="single" w:color="2E4A8B" w:sz="1"/>
              <w:right w:val="single" w:color="2E4A8B" w:sz="1"/>
            </w:tcBorders>
            <w:shd w:fill="1F3E7A" w:val="clear"/>
            <w:tcMar>
              <w:top w:type="dxa" w:w="100"/>
              <w:left w:type="dxa" w:w="160"/>
              <w:bottom w:type="dxa" w:w="100"/>
              <w:right w:type="dxa" w:w="160"/>
            </w:tcMar>
          </w:tcPr>
          <w:p>
            <w:r>
              <w:rPr>
                <w:b/>
                <w:bCs/>
                <w:color w:val="FFFFFF"/>
              </w:rPr>
              <w:t xml:space="preserve">Claimed Capability</w:t>
            </w:r>
          </w:p>
        </w:tc>
        <w:tc>
          <w:tcPr>
            <w:tcW w:type="dxa" w:w="3120"/>
            <w:tcBorders>
              <w:top w:val="single" w:color="2E4A8B" w:sz="1"/>
              <w:left w:val="single" w:color="2E4A8B" w:sz="1"/>
              <w:bottom w:val="single" w:color="2E4A8B" w:sz="1"/>
              <w:right w:val="single" w:color="2E4A8B" w:sz="1"/>
            </w:tcBorders>
            <w:shd w:fill="1F3E7A" w:val="clear"/>
            <w:tcMar>
              <w:top w:type="dxa" w:w="100"/>
              <w:left w:type="dxa" w:w="160"/>
              <w:bottom w:type="dxa" w:w="100"/>
              <w:right w:type="dxa" w:w="160"/>
            </w:tcMar>
          </w:tcPr>
          <w:p>
            <w:r>
              <w:rPr>
                <w:b/>
                <w:bCs/>
                <w:color w:val="FFFFFF"/>
              </w:rPr>
              <w:t xml:space="preserve">Status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rPr>
              <w:t xml:space="preserve">Y/Z/W ODE system (Dalla Man et 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7340"/>
              </w:rPr>
              <w:t xml:space="preserve">✅ Fully implemented (Python + JS)</w:t>
            </w:r>
          </w:p>
        </w:tc>
      </w:tr>
      <w:tr>
        <w:tc>
          <w:tcPr>
            <w:tcW w:type="dxa" w:w="6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val="false"/>
                <w:bCs w:val="false"/>
                <w:color w:val="333333"/>
              </w:rPr>
              <w:t xml:space="preserve">Z → acute IIRd / BG-lowering effect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bCs/>
                <w:color w:val="1A7340"/>
              </w:rPr>
              <w:t xml:space="preserve">✅ Z × 0.15 mg/dL/min with allometric scaling</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rPr>
              <w:t xml:space="preserve">W → prolonged GLUT4 / IDRd sensitivity multiplier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7340"/>
              </w:rPr>
              <w:t xml:space="preserve">✅ Applied to ISF and CR in real time</w:t>
            </w:r>
          </w:p>
        </w:tc>
      </w:tr>
      <w:tr>
        <w:tc>
          <w:tcPr>
            <w:tcW w:type="dxa" w:w="6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val="false"/>
                <w:bCs w:val="false"/>
                <w:color w:val="333333"/>
              </w:rPr>
              <w:t xml:space="preserve">HR from wearables as primary signal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bCs/>
                <w:color w:val="1A7340"/>
              </w:rPr>
              <w:t xml:space="preserve">✅ Real-time streaming + continuous upload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rPr>
              <w:t xml:space="preserve">Categorical fallback (no wearable)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7340"/>
              </w:rPr>
              <w:t xml:space="preserve">✅ Synthetic HR trace from intensity tier</w:t>
            </w:r>
          </w:p>
        </w:tc>
      </w:tr>
      <w:tr>
        <w:tc>
          <w:tcPr>
            <w:tcW w:type="dxa" w:w="6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val="false"/>
                <w:bCs w:val="false"/>
                <w:color w:val="333333"/>
              </w:rPr>
              <w:t xml:space="preserve">Auto-segmentation of continuous HR stream</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bCs/>
                <w:color w:val="1A7340"/>
              </w:rPr>
              <w:t xml:space="preserve">✅ Swim-lane FSM, debounce, 15-min splits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rPr>
              <w:t xml:space="preserve">Activity-on-Board (AOB)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7340"/>
              </w:rPr>
              <w:t xml:space="preserve">✅ Per-session and total; exposed via API</w:t>
            </w:r>
          </w:p>
        </w:tc>
      </w:tr>
      <w:tr>
        <w:tc>
          <w:tcPr>
            <w:tcW w:type="dxa" w:w="6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val="false"/>
                <w:bCs w:val="false"/>
                <w:color w:val="333333"/>
              </w:rPr>
              <w:t xml:space="preserve">Daily reset boundary</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bCs/>
                <w:color w:val="1A7340"/>
              </w:rPr>
              <w:t xml:space="preserve">✅ Mirrors IOB/MOB reset with tz offset</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rPr>
              <w:t xml:space="preserve">Stacking across multiple sessions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7340"/>
              </w:rPr>
              <w:t xml:space="preserve">✅ Signed sum (BG effect); max (sensitivity)</w:t>
            </w:r>
          </w:p>
        </w:tc>
      </w:tr>
      <w:tr>
        <w:tc>
          <w:tcPr>
            <w:tcW w:type="dxa" w:w="62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val="false"/>
                <w:bCs w:val="false"/>
                <w:color w:val="333333"/>
              </w:rPr>
              <w:t xml:space="preserve">bg_direction (+1 / −1)</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b/>
                <w:bCs/>
                <w:color w:val="1A7340"/>
              </w:rPr>
              <w:t xml:space="preserve">✅ Implemented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rPr>
              <w:t xml:space="preserve">Allometric weight 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7340"/>
              </w:rPr>
              <w:t xml:space="preserve">✅ (70/weight_kg)^0.25 applied to Z-integral</w:t>
            </w:r>
          </w:p>
        </w:tc>
      </w:tr>
    </w:tbl>
    <w:p>
      <w:pPr>
        <w:spacing w:before="200"/>
      </w:pPr>
    </w:p>
    <w:p>
      <w:pPr>
        <w:pBdr>
          <w:bottom w:val="single" w:color="CCCCCC" w:sz="4" w:space="1"/>
        </w:pBdr>
        <w:spacing w:after="200" w:before="200"/>
      </w:pPr>
    </w:p>
    <w:p>
      <w:pPr>
        <w:pStyle w:val="Heading3"/>
        <w:spacing w:after="80" w:before="140"/>
      </w:pPr>
      <w:r>
        <w:rPr>
          <w:b/>
          <w:bCs/>
        </w:rPr>
        <w:t xml:space="preserve">References</w:t>
      </w:r>
    </w:p>
    <w:p>
      <w:pPr>
        <w:spacing w:after="60" w:before="60"/>
      </w:pPr>
      <w:r>
        <w:t xml:space="preserve">Dalla Man C, Breton M, Cobelli C. Physical activity into the meal glucose—insulin model of type 1 diabetes. J Diabetes Sci Technol. 2009;3(1):56–67.</w:t>
      </w:r>
    </w:p>
    <w:p>
      <w:pPr>
        <w:spacing w:after="60" w:before="60"/>
      </w:pPr>
      <w:r>
        <w:t xml:space="preserve">Breton MD. Physical activity—the major unaccounted impediment to closed loop control. J Diabetes Sci Technol. 2008;2(1):169–174.</w:t>
      </w:r>
    </w:p>
    <w:p>
      <w:pPr>
        <w:spacing w:after="60" w:before="60"/>
      </w:pPr>
      <w:r>
        <w:t xml:space="preserve">Romeres D, Dalla Man C, Vella A, et al. Effect of walking on glucose metabolism in subjects with different degrees of glucose tolerance. Am J Physiol Endocrinol Metab. 2021;321:E122–E130.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E7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A3"/>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2026-05-02T00:05:18.867Z</dcterms:created>
  <dcterms:modified xsi:type="dcterms:W3CDTF">2026-05-02T00:05:18.868Z</dcterms:modified>
</cp:coreProperties>
</file>

<file path=docProps/custom.xml><?xml version="1.0" encoding="utf-8"?>
<Properties xmlns="http://schemas.openxmlformats.org/officeDocument/2006/custom-properties" xmlns:vt="http://schemas.openxmlformats.org/officeDocument/2006/docPropsVTypes"/>
</file>