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44"/>
          <w:szCs w:val="44"/>
        </w:rPr>
        <w:t xml:space="preserve">DiaTwin</w:t>
      </w:r>
    </w:p>
    <w:p>
      <w:pPr>
        <w:spacing w:after="40" w:before="0"/>
      </w:pPr>
      <w:r>
        <w:rPr>
          <w:rFonts w:ascii="Arial" w:cs="Arial" w:eastAsia="Arial" w:hAnsi="Arial"/>
          <w:i/>
          <w:iCs/>
          <w:color w:val="2E75B6"/>
          <w:sz w:val="24"/>
          <w:szCs w:val="24"/>
        </w:rPr>
        <w:t xml:space="preserve">Personalised Insulin Dosing Support Through Circadian-Aware Reinforcement Learning</w:t>
      </w:r>
    </w:p>
    <w:p>
      <w:pPr>
        <w:spacing w:after="20" w:before="0"/>
      </w:pPr>
      <w:r>
        <w:rPr>
          <w:rFonts w:ascii="Arial" w:cs="Arial" w:eastAsia="Arial" w:hAnsi="Arial"/>
          <w:color w:val="888888"/>
          <w:sz w:val="18"/>
          <w:szCs w:val="18"/>
        </w:rPr>
        <w:t xml:space="preserve">Clinical &amp; Technical Research Summary  |  TRL 4–5  |  dia-twin.vercel.app</w:t>
      </w:r>
    </w:p>
    <w:p>
      <w:pPr>
        <w:pBdr>
          <w:bottom w:val="single" w:color="2E75B6" w:sz="12" w:space="4"/>
        </w:pBdr>
        <w:spacing w:after="240" w:before="0"/>
      </w:pPr>
      <w:r>
        <w:t xml:space="preserve"/>
      </w:r>
    </w:p>
    <w:p>
      <w:pPr>
        <w:pBdr>
          <w:bottom w:val="single" w:color="2E75B6" w:sz="8" w:space="4"/>
        </w:pBdr>
        <w:spacing w:after="120" w:before="320"/>
      </w:pPr>
      <w:r>
        <w:rPr>
          <w:rFonts w:ascii="Arial" w:cs="Arial" w:eastAsia="Arial" w:hAnsi="Arial"/>
          <w:b/>
          <w:bCs/>
          <w:color w:val="1F4E79"/>
          <w:sz w:val="26"/>
          <w:szCs w:val="26"/>
        </w:rPr>
        <w:t xml:space="preserve">1. Clinical Problem</w:t>
      </w:r>
    </w:p>
    <w:p>
      <w:pPr>
        <w:spacing w:after="60" w:before="60"/>
      </w:pPr>
      <w:r>
        <w:rPr>
          <w:rFonts w:ascii="Arial" w:cs="Arial" w:eastAsia="Arial" w:hAnsi="Arial"/>
          <w:color w:val="4A4A4A"/>
          <w:sz w:val="20"/>
          <w:szCs w:val="20"/>
        </w:rPr>
        <w:t xml:space="preserve">Patients with Type 1 Diabetes (T1D) using standard insulin pens lack tools that can translate continuous glucose data into safe, personalised dosing decisions. Despite the widespread adoption of continuous glucose monitoring (CGM) and self-monitored blood glucose (SMBG), no affordable software-based decision-support system simultaneously models insulin pharmacodynamics, meal absorption, and physical activity in real time.</w:t>
      </w:r>
    </w:p>
    <w:p>
      <w:pPr>
        <w:spacing w:after="0" w:before="60"/>
      </w:pPr>
      <w:r>
        <w:t xml:space="preserve"/>
      </w:r>
    </w:p>
    <w:p>
      <w:pPr>
        <w:spacing w:after="60" w:before="60"/>
      </w:pPr>
      <w:r>
        <w:rPr>
          <w:rFonts w:ascii="Arial" w:cs="Arial" w:eastAsia="Arial" w:hAnsi="Arial"/>
          <w:color w:val="4A4A4A"/>
          <w:sz w:val="20"/>
          <w:szCs w:val="20"/>
        </w:rPr>
        <w:t xml:space="preserve">A further unresolved problem is the marked inter- and intra-patient variability in circadian insulin sensitivity — the time-of-day dependence of insulin requirements, meal absorption kinetics, and activity response. Current dosing guidelines apply static correction ratios (ISF, ICR) that do not adapt to this variability, contributing to chronic under- and overdosing, elevated hypoglycaemia risk, and high cognitive burden on patients and clinicians.</w:t>
      </w:r>
    </w:p>
    <w:p>
      <w:pPr>
        <w:spacing w:after="0" w:before="80"/>
      </w:pPr>
      <w:r>
        <w:t xml:space="preserve"/>
      </w:r>
    </w:p>
    <w:p>
      <w:pPr>
        <w:pBdr>
          <w:bottom w:val="single" w:color="2E75B6" w:sz="8" w:space="4"/>
        </w:pBdr>
        <w:spacing w:after="120" w:before="320"/>
      </w:pPr>
      <w:r>
        <w:rPr>
          <w:rFonts w:ascii="Arial" w:cs="Arial" w:eastAsia="Arial" w:hAnsi="Arial"/>
          <w:b/>
          <w:bCs/>
          <w:color w:val="1F4E79"/>
          <w:sz w:val="26"/>
          <w:szCs w:val="26"/>
        </w:rPr>
        <w:t xml:space="preserve">2. System Overview</w:t>
      </w:r>
    </w:p>
    <w:p>
      <w:pPr>
        <w:spacing w:after="60" w:before="60"/>
      </w:pPr>
      <w:r>
        <w:rPr>
          <w:rFonts w:ascii="Arial" w:cs="Arial" w:eastAsia="Arial" w:hAnsi="Arial"/>
          <w:color w:val="4A4A4A"/>
          <w:sz w:val="20"/>
          <w:szCs w:val="20"/>
        </w:rPr>
        <w:t xml:space="preserve">DiaTwin is a clinically supervised decision-support platform combining pharmacokinetic/pharmacodynamic (PK/PD) modelling, physical activity integration, and reinforcement learning (RL) to provide personalised dosing guidance for T1D patients using standard insulin pens — without requiring an insulin pump.</w:t>
      </w:r>
    </w:p>
    <w:p>
      <w:pPr>
        <w:spacing w:after="0" w:before="60"/>
      </w:pPr>
      <w:r>
        <w:t xml:space="preserve"/>
      </w:r>
    </w:p>
    <w:p>
      <w:pPr>
        <w:spacing w:after="60" w:before="60"/>
      </w:pPr>
      <w:r>
        <w:rPr>
          <w:rFonts w:ascii="Arial" w:cs="Arial" w:eastAsia="Arial" w:hAnsi="Arial"/>
          <w:b/>
          <w:bCs/>
          <w:color w:val="4A4A4A"/>
          <w:sz w:val="20"/>
          <w:szCs w:val="20"/>
        </w:rPr>
        <w:t xml:space="preserve">Platform: </w:t>
      </w:r>
      <w:r>
        <w:rPr>
          <w:rFonts w:ascii="Arial" w:cs="Arial" w:eastAsia="Arial" w:hAnsi="Arial"/>
          <w:color w:val="4A4A4A"/>
          <w:sz w:val="20"/>
          <w:szCs w:val="20"/>
        </w:rPr>
        <w:t xml:space="preserve">Web application (React/TypeScript) + Android app; Python/Flask backend; MongoDB</w:t>
      </w:r>
    </w:p>
    <w:p>
      <w:pPr>
        <w:spacing w:after="60" w:before="60"/>
      </w:pPr>
      <w:r>
        <w:rPr>
          <w:rFonts w:ascii="Arial" w:cs="Arial" w:eastAsia="Arial" w:hAnsi="Arial"/>
          <w:b/>
          <w:bCs/>
          <w:color w:val="4A4A4A"/>
          <w:sz w:val="20"/>
          <w:szCs w:val="20"/>
        </w:rPr>
        <w:t xml:space="preserve">Academic basis: </w:t>
      </w:r>
      <w:r>
        <w:rPr>
          <w:rFonts w:ascii="Arial" w:cs="Arial" w:eastAsia="Arial" w:hAnsi="Arial"/>
          <w:color w:val="4A4A4A"/>
          <w:sz w:val="20"/>
          <w:szCs w:val="20"/>
        </w:rPr>
        <w:t xml:space="preserve">M.Sc. thesis, DIT Germany (grade 1.6 — Excellent). Clinical supervision: Prof. Dr. Klaus Parhofer, LMU Munich (Medizinische Klinik IV). External evaluation: Excellent. Clinical Utility Score: 8.7/10.</w:t>
      </w:r>
    </w:p>
    <w:p>
      <w:pPr>
        <w:spacing w:after="60" w:before="60"/>
      </w:pPr>
      <w:r>
        <w:rPr>
          <w:rFonts w:ascii="Arial" w:cs="Arial" w:eastAsia="Arial" w:hAnsi="Arial"/>
          <w:b/>
          <w:bCs/>
          <w:color w:val="4A4A4A"/>
          <w:sz w:val="20"/>
          <w:szCs w:val="20"/>
        </w:rPr>
        <w:t xml:space="preserve">Live prototype: </w:t>
      </w:r>
      <w:r>
        <w:rPr>
          <w:rFonts w:ascii="Arial" w:cs="Arial" w:eastAsia="Arial" w:hAnsi="Arial"/>
          <w:color w:val="4A4A4A"/>
          <w:sz w:val="20"/>
          <w:szCs w:val="20"/>
        </w:rPr>
        <w:t xml:space="preserve">dia-twin.vercel.app (Doctor: doctor/4444 | Patient: ahmed/4444)</w:t>
      </w:r>
    </w:p>
    <w:p>
      <w:pPr>
        <w:spacing w:after="0" w:before="80"/>
      </w:pPr>
      <w:r>
        <w:t xml:space="preserve"/>
      </w:r>
    </w:p>
    <w:p>
      <w:pPr>
        <w:pBdr>
          <w:bottom w:val="single" w:color="2E75B6" w:sz="8" w:space="4"/>
        </w:pBdr>
        <w:spacing w:after="120" w:before="320"/>
      </w:pPr>
      <w:r>
        <w:rPr>
          <w:rFonts w:ascii="Arial" w:cs="Arial" w:eastAsia="Arial" w:hAnsi="Arial"/>
          <w:b/>
          <w:bCs/>
          <w:color w:val="1F4E79"/>
          <w:sz w:val="26"/>
          <w:szCs w:val="26"/>
        </w:rPr>
        <w:t xml:space="preserve">3. Core Technical Components</w:t>
      </w:r>
    </w:p>
    <w:p>
      <w:pPr>
        <w:spacing w:after="0" w:before="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BCFE0" w:sz="1"/>
              <w:left w:val="single" w:color="BBCFE0" w:sz="1"/>
              <w:bottom w:val="single" w:color="BBCFE0" w:sz="1"/>
              <w:right w:val="single" w:color="BBCFE0" w:sz="1"/>
            </w:tcBorders>
            <w:shd w:fill="1F4E79" w:val="clear"/>
            <w:tcMar>
              <w:top w:type="dxa" w:w="80"/>
              <w:left w:type="dxa" w:w="140"/>
              <w:bottom w:type="dxa" w:w="80"/>
              <w:right w:type="dxa" w:w="140"/>
            </w:tcMar>
          </w:tcPr>
          <w:p>
            <w:r>
              <w:rPr>
                <w:rFonts w:ascii="Arial" w:cs="Arial" w:eastAsia="Arial" w:hAnsi="Arial"/>
                <w:b/>
                <w:bCs/>
                <w:color w:val="FFFFFF"/>
                <w:sz w:val="19"/>
                <w:szCs w:val="19"/>
              </w:rPr>
              <w:t xml:space="preserve">Component</w:t>
            </w:r>
          </w:p>
        </w:tc>
        <w:tc>
          <w:tcPr>
            <w:tcW w:type="dxa" w:w="7346"/>
            <w:tcBorders>
              <w:top w:val="single" w:color="BBCFE0" w:sz="1"/>
              <w:left w:val="single" w:color="BBCFE0" w:sz="1"/>
              <w:bottom w:val="single" w:color="BBCFE0" w:sz="1"/>
              <w:right w:val="single" w:color="BBCFE0" w:sz="1"/>
            </w:tcBorders>
            <w:shd w:fill="1F4E79"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b/>
                <w:bCs/>
                <w:color w:val="4A4A4A"/>
                <w:sz w:val="19"/>
                <w:szCs w:val="19"/>
              </w:rPr>
              <w:t xml:space="preserve">PK/PD Engine</w:t>
            </w:r>
          </w:p>
        </w:tc>
        <w:tc>
          <w:tcPr>
            <w:tcW w:type="dxa" w:w="7346"/>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b w:val="false"/>
                <w:bCs w:val="false"/>
                <w:color w:val="4A4A4A"/>
                <w:sz w:val="19"/>
                <w:szCs w:val="19"/>
              </w:rPr>
              <w:t xml:space="preserve">Models Insulin-on-Board (IOB) and Meal-on-Board (MOB) using gamma distribution curves, referenced to German S3 clinical guidelines. Tracks cumulative daily effects with configurable reset.</w:t>
            </w:r>
          </w:p>
        </w:tc>
      </w:tr>
      <w:tr>
        <w:tc>
          <w:tcPr>
            <w:tcW w:type="dxa" w:w="2400"/>
            <w:tcBorders>
              <w:top w:val="single" w:color="BBCFE0" w:sz="1"/>
              <w:left w:val="single" w:color="BBCFE0" w:sz="1"/>
              <w:bottom w:val="single" w:color="BBCFE0" w:sz="1"/>
              <w:right w:val="single" w:color="BBCFE0" w:sz="1"/>
            </w:tcBorders>
            <w:shd w:fill="F5F5F5" w:val="clear"/>
            <w:tcMar>
              <w:top w:type="dxa" w:w="70"/>
              <w:left w:type="dxa" w:w="140"/>
              <w:bottom w:type="dxa" w:w="70"/>
              <w:right w:type="dxa" w:w="140"/>
            </w:tcMar>
          </w:tcPr>
          <w:p>
            <w:r>
              <w:rPr>
                <w:rFonts w:ascii="Arial" w:cs="Arial" w:eastAsia="Arial" w:hAnsi="Arial"/>
                <w:b/>
                <w:bCs/>
                <w:color w:val="4A4A4A"/>
                <w:sz w:val="19"/>
                <w:szCs w:val="19"/>
              </w:rPr>
              <w:t xml:space="preserve">Activity Integration</w:t>
            </w:r>
          </w:p>
        </w:tc>
        <w:tc>
          <w:tcPr>
            <w:tcW w:type="dxa" w:w="7346"/>
            <w:tcBorders>
              <w:top w:val="single" w:color="BBCFE0" w:sz="1"/>
              <w:left w:val="single" w:color="BBCFE0" w:sz="1"/>
              <w:bottom w:val="single" w:color="BBCFE0" w:sz="1"/>
              <w:right w:val="single" w:color="BBCFE0" w:sz="1"/>
            </w:tcBorders>
            <w:shd w:fill="F5F5F5" w:val="clear"/>
            <w:tcMar>
              <w:top w:type="dxa" w:w="70"/>
              <w:left w:type="dxa" w:w="140"/>
              <w:bottom w:type="dxa" w:w="70"/>
              <w:right w:type="dxa" w:w="140"/>
            </w:tcMar>
          </w:tcPr>
          <w:p>
            <w:r>
              <w:rPr>
                <w:rFonts w:ascii="Arial" w:cs="Arial" w:eastAsia="Arial" w:hAnsi="Arial"/>
                <w:b w:val="false"/>
                <w:bCs w:val="false"/>
                <w:color w:val="4A4A4A"/>
                <w:sz w:val="19"/>
                <w:szCs w:val="19"/>
              </w:rPr>
              <w:t xml:space="preserve">Physical activity (intensity × duration) is incorporated as a real-time modifier of the IOB and MOB curves, adjusting predicted glucose effect to account for exercise-induced changes in insulin sensitivity and carbohydrate utilisation.</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b/>
                <w:bCs/>
                <w:color w:val="4A4A4A"/>
                <w:sz w:val="19"/>
                <w:szCs w:val="19"/>
              </w:rPr>
              <w:t xml:space="preserve">Glucose Estimation</w:t>
            </w:r>
          </w:p>
        </w:tc>
        <w:tc>
          <w:tcPr>
            <w:tcW w:type="dxa" w:w="7346"/>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b w:val="false"/>
                <w:bCs w:val="false"/>
                <w:color w:val="4A4A4A"/>
                <w:sz w:val="19"/>
                <w:szCs w:val="19"/>
              </w:rPr>
              <w:t xml:space="preserve">Physiology-based interpolation between readings, accounting for T1D-specific persistence of glucose effects after absorption. Supports both CGM and SMBG inputs.</w:t>
            </w:r>
          </w:p>
        </w:tc>
      </w:tr>
      <w:tr>
        <w:tc>
          <w:tcPr>
            <w:tcW w:type="dxa" w:w="2400"/>
            <w:tcBorders>
              <w:top w:val="single" w:color="BBCFE0" w:sz="1"/>
              <w:left w:val="single" w:color="BBCFE0" w:sz="1"/>
              <w:bottom w:val="single" w:color="BBCFE0" w:sz="1"/>
              <w:right w:val="single" w:color="BBCFE0" w:sz="1"/>
            </w:tcBorders>
            <w:shd w:fill="F5F5F5" w:val="clear"/>
            <w:tcMar>
              <w:top w:type="dxa" w:w="70"/>
              <w:left w:type="dxa" w:w="140"/>
              <w:bottom w:type="dxa" w:w="70"/>
              <w:right w:type="dxa" w:w="140"/>
            </w:tcMar>
          </w:tcPr>
          <w:p>
            <w:r>
              <w:rPr>
                <w:rFonts w:ascii="Arial" w:cs="Arial" w:eastAsia="Arial" w:hAnsi="Arial"/>
                <w:b/>
                <w:bCs/>
                <w:color w:val="4A4A4A"/>
                <w:sz w:val="19"/>
                <w:szCs w:val="19"/>
              </w:rPr>
              <w:t xml:space="preserve">Dosing Recommendations</w:t>
            </w:r>
          </w:p>
        </w:tc>
        <w:tc>
          <w:tcPr>
            <w:tcW w:type="dxa" w:w="7346"/>
            <w:tcBorders>
              <w:top w:val="single" w:color="BBCFE0" w:sz="1"/>
              <w:left w:val="single" w:color="BBCFE0" w:sz="1"/>
              <w:bottom w:val="single" w:color="BBCFE0" w:sz="1"/>
              <w:right w:val="single" w:color="BBCFE0" w:sz="1"/>
            </w:tcBorders>
            <w:shd w:fill="F5F5F5" w:val="clear"/>
            <w:tcMar>
              <w:top w:type="dxa" w:w="70"/>
              <w:left w:type="dxa" w:w="140"/>
              <w:bottom w:type="dxa" w:w="70"/>
              <w:right w:type="dxa" w:w="140"/>
            </w:tcMar>
          </w:tcPr>
          <w:p>
            <w:r>
              <w:rPr>
                <w:rFonts w:ascii="Arial" w:cs="Arial" w:eastAsia="Arial" w:hAnsi="Arial"/>
                <w:b w:val="false"/>
                <w:bCs w:val="false"/>
                <w:color w:val="4A4A4A"/>
                <w:sz w:val="19"/>
                <w:szCs w:val="19"/>
              </w:rPr>
              <w:t xml:space="preserve">Calculates required insulin dose from carbohydrate content, protein, fat, meal type, absorption speed, activity context, and time-of-day. Provides pre-meal timing guidance.</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b/>
                <w:bCs/>
                <w:color w:val="4A4A4A"/>
                <w:sz w:val="19"/>
                <w:szCs w:val="19"/>
              </w:rPr>
              <w:t xml:space="preserve">Future Glucose Projection</w:t>
            </w:r>
          </w:p>
        </w:tc>
        <w:tc>
          <w:tcPr>
            <w:tcW w:type="dxa" w:w="7346"/>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b w:val="false"/>
                <w:bCs w:val="false"/>
                <w:color w:val="4A4A4A"/>
                <w:sz w:val="19"/>
                <w:szCs w:val="19"/>
              </w:rPr>
              <w:t xml:space="preserve">4-hour glucose trajectory combining active IOB, MOB, and activity curves with current trend data.</w:t>
            </w:r>
          </w:p>
        </w:tc>
      </w:tr>
      <w:tr>
        <w:tc>
          <w:tcPr>
            <w:tcW w:type="dxa" w:w="2400"/>
            <w:tcBorders>
              <w:top w:val="single" w:color="BBCFE0" w:sz="1"/>
              <w:left w:val="single" w:color="BBCFE0" w:sz="1"/>
              <w:bottom w:val="single" w:color="BBCFE0" w:sz="1"/>
              <w:right w:val="single" w:color="BBCFE0" w:sz="1"/>
            </w:tcBorders>
            <w:shd w:fill="F5F5F5" w:val="clear"/>
            <w:tcMar>
              <w:top w:type="dxa" w:w="70"/>
              <w:left w:type="dxa" w:w="140"/>
              <w:bottom w:type="dxa" w:w="70"/>
              <w:right w:type="dxa" w:w="140"/>
            </w:tcMar>
          </w:tcPr>
          <w:p>
            <w:r>
              <w:rPr>
                <w:rFonts w:ascii="Arial" w:cs="Arial" w:eastAsia="Arial" w:hAnsi="Arial"/>
                <w:b/>
                <w:bCs/>
                <w:color w:val="4A4A4A"/>
                <w:sz w:val="19"/>
                <w:szCs w:val="19"/>
              </w:rPr>
              <w:t xml:space="preserve">RL / ML Layer</w:t>
            </w:r>
          </w:p>
        </w:tc>
        <w:tc>
          <w:tcPr>
            <w:tcW w:type="dxa" w:w="7346"/>
            <w:tcBorders>
              <w:top w:val="single" w:color="BBCFE0" w:sz="1"/>
              <w:left w:val="single" w:color="BBCFE0" w:sz="1"/>
              <w:bottom w:val="single" w:color="BBCFE0" w:sz="1"/>
              <w:right w:val="single" w:color="BBCFE0" w:sz="1"/>
            </w:tcBorders>
            <w:shd w:fill="F5F5F5" w:val="clear"/>
            <w:tcMar>
              <w:top w:type="dxa" w:w="70"/>
              <w:left w:type="dxa" w:w="140"/>
              <w:bottom w:type="dxa" w:w="70"/>
              <w:right w:type="dxa" w:w="140"/>
            </w:tcMar>
          </w:tcPr>
          <w:p>
            <w:r>
              <w:rPr>
                <w:rFonts w:ascii="Arial" w:cs="Arial" w:eastAsia="Arial" w:hAnsi="Arial"/>
                <w:b w:val="false"/>
                <w:bCs w:val="false"/>
                <w:color w:val="4A4A4A"/>
                <w:sz w:val="19"/>
                <w:szCs w:val="19"/>
              </w:rPr>
              <w:t xml:space="preserve">Reinforcement learning engine learns from longitudinal meal-insulin-activity-outcome tuples to personalise dosing parameters over time. Trained on 50,000+ real clinical data pairs.</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b/>
                <w:bCs/>
                <w:color w:val="4A4A4A"/>
                <w:sz w:val="19"/>
                <w:szCs w:val="19"/>
              </w:rPr>
              <w:t xml:space="preserve">Food Photo Recognition</w:t>
            </w:r>
          </w:p>
        </w:tc>
        <w:tc>
          <w:tcPr>
            <w:tcW w:type="dxa" w:w="7346"/>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b w:val="false"/>
                <w:bCs w:val="false"/>
                <w:color w:val="4A4A4A"/>
                <w:sz w:val="19"/>
                <w:szCs w:val="19"/>
              </w:rPr>
              <w:t xml:space="preserve">Camera-based carbohydrate estimation with automatic insulin dose calculation (computer vision pipeline).</w:t>
            </w:r>
          </w:p>
        </w:tc>
      </w:tr>
      <w:tr>
        <w:tc>
          <w:tcPr>
            <w:tcW w:type="dxa" w:w="2400"/>
            <w:tcBorders>
              <w:top w:val="single" w:color="BBCFE0" w:sz="1"/>
              <w:left w:val="single" w:color="BBCFE0" w:sz="1"/>
              <w:bottom w:val="single" w:color="BBCFE0" w:sz="1"/>
              <w:right w:val="single" w:color="BBCFE0" w:sz="1"/>
            </w:tcBorders>
            <w:shd w:fill="F5F5F5" w:val="clear"/>
            <w:tcMar>
              <w:top w:type="dxa" w:w="70"/>
              <w:left w:type="dxa" w:w="140"/>
              <w:bottom w:type="dxa" w:w="70"/>
              <w:right w:type="dxa" w:w="140"/>
            </w:tcMar>
          </w:tcPr>
          <w:p>
            <w:r>
              <w:rPr>
                <w:rFonts w:ascii="Arial" w:cs="Arial" w:eastAsia="Arial" w:hAnsi="Arial"/>
                <w:b/>
                <w:bCs/>
                <w:color w:val="4A4A4A"/>
                <w:sz w:val="19"/>
                <w:szCs w:val="19"/>
              </w:rPr>
              <w:t xml:space="preserve">Physician Dashboard</w:t>
            </w:r>
          </w:p>
        </w:tc>
        <w:tc>
          <w:tcPr>
            <w:tcW w:type="dxa" w:w="7346"/>
            <w:tcBorders>
              <w:top w:val="single" w:color="BBCFE0" w:sz="1"/>
              <w:left w:val="single" w:color="BBCFE0" w:sz="1"/>
              <w:bottom w:val="single" w:color="BBCFE0" w:sz="1"/>
              <w:right w:val="single" w:color="BBCFE0" w:sz="1"/>
            </w:tcBorders>
            <w:shd w:fill="F5F5F5" w:val="clear"/>
            <w:tcMar>
              <w:top w:type="dxa" w:w="70"/>
              <w:left w:type="dxa" w:w="140"/>
              <w:bottom w:type="dxa" w:w="70"/>
              <w:right w:type="dxa" w:w="140"/>
            </w:tcMar>
          </w:tcPr>
          <w:p>
            <w:r>
              <w:rPr>
                <w:rFonts w:ascii="Arial" w:cs="Arial" w:eastAsia="Arial" w:hAnsi="Arial"/>
                <w:b w:val="false"/>
                <w:bCs w:val="false"/>
                <w:color w:val="4A4A4A"/>
                <w:sz w:val="19"/>
                <w:szCs w:val="19"/>
              </w:rPr>
              <w:t xml:space="preserve">Remote parameter configuration, patient monitoring, multi-patient clinical timeline view.</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b/>
                <w:bCs/>
                <w:color w:val="4A4A4A"/>
                <w:sz w:val="19"/>
                <w:szCs w:val="19"/>
              </w:rPr>
              <w:t xml:space="preserve">CGM Integration</w:t>
            </w:r>
          </w:p>
        </w:tc>
        <w:tc>
          <w:tcPr>
            <w:tcW w:type="dxa" w:w="7346"/>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b w:val="false"/>
                <w:bCs w:val="false"/>
                <w:color w:val="4A4A4A"/>
                <w:sz w:val="19"/>
                <w:szCs w:val="19"/>
              </w:rPr>
              <w:t xml:space="preserve">Direct sensor data ingestion (Abbott LibreLink, Dexcom); automatic glucose reading import.</w:t>
            </w:r>
          </w:p>
        </w:tc>
      </w:tr>
    </w:tbl>
    <w:p>
      <w:pPr>
        <w:spacing w:after="0" w:before="100"/>
      </w:pPr>
      <w:r>
        <w:t xml:space="preserve"/>
      </w:r>
    </w:p>
    <w:p>
      <w:pPr>
        <w:pBdr>
          <w:bottom w:val="single" w:color="2E75B6" w:sz="8" w:space="4"/>
        </w:pBdr>
        <w:spacing w:after="120" w:before="320"/>
      </w:pPr>
      <w:r>
        <w:rPr>
          <w:rFonts w:ascii="Arial" w:cs="Arial" w:eastAsia="Arial" w:hAnsi="Arial"/>
          <w:b/>
          <w:bCs/>
          <w:color w:val="1F4E79"/>
          <w:sz w:val="26"/>
          <w:szCs w:val="26"/>
        </w:rPr>
        <w:t xml:space="preserve">4. Identified Research Gap</w:t>
      </w:r>
    </w:p>
    <w:p>
      <w:pPr>
        <w:spacing w:after="60" w:before="60"/>
      </w:pPr>
      <w:r>
        <w:rPr>
          <w:rFonts w:ascii="Arial" w:cs="Arial" w:eastAsia="Arial" w:hAnsi="Arial"/>
          <w:color w:val="4A4A4A"/>
          <w:sz w:val="20"/>
          <w:szCs w:val="20"/>
        </w:rPr>
        <w:t xml:space="preserve">Existing clinical AI approaches for T1D dosing apply population-level or static individual parameters that do not adapt to circadian variability. The following capabilities are absent from current pen-user decision-support tools:</w:t>
      </w:r>
    </w:p>
    <w:p>
      <w:pPr>
        <w:spacing w:after="0" w:before="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846"/>
      </w:tblGrid>
      <w:tr>
        <w:trPr>
          <w:tblHeader/>
        </w:trPr>
        <w:tc>
          <w:tcPr>
            <w:tcW w:type="dxa" w:w="4200"/>
            <w:tcBorders>
              <w:top w:val="single" w:color="BBCFE0" w:sz="1"/>
              <w:left w:val="single" w:color="BBCFE0" w:sz="1"/>
              <w:bottom w:val="single" w:color="BBCFE0" w:sz="1"/>
              <w:right w:val="single" w:color="BBCFE0" w:sz="1"/>
            </w:tcBorders>
            <w:shd w:fill="1F4E79" w:val="clear"/>
            <w:tcMar>
              <w:top w:type="dxa" w:w="80"/>
              <w:left w:type="dxa" w:w="140"/>
              <w:bottom w:type="dxa" w:w="80"/>
              <w:right w:type="dxa" w:w="140"/>
            </w:tcMar>
          </w:tcPr>
          <w:p>
            <w:r>
              <w:rPr>
                <w:rFonts w:ascii="Arial" w:cs="Arial" w:eastAsia="Arial" w:hAnsi="Arial"/>
                <w:b/>
                <w:bCs/>
                <w:color w:val="FFFFFF"/>
                <w:sz w:val="19"/>
                <w:szCs w:val="19"/>
              </w:rPr>
              <w:t xml:space="preserve">Capability</w:t>
            </w:r>
          </w:p>
        </w:tc>
        <w:tc>
          <w:tcPr>
            <w:tcW w:type="dxa" w:w="1700"/>
            <w:tcBorders>
              <w:top w:val="single" w:color="BBCFE0" w:sz="1"/>
              <w:left w:val="single" w:color="BBCFE0" w:sz="1"/>
              <w:bottom w:val="single" w:color="BBCFE0" w:sz="1"/>
              <w:right w:val="single" w:color="BBCFE0" w:sz="1"/>
            </w:tcBorders>
            <w:shd w:fill="1F4E79" w:val="clear"/>
            <w:tcMar>
              <w:top w:type="dxa" w:w="80"/>
              <w:left w:type="dxa" w:w="140"/>
              <w:bottom w:type="dxa" w:w="80"/>
              <w:right w:type="dxa" w:w="140"/>
            </w:tcMar>
          </w:tcPr>
          <w:p>
            <w:r>
              <w:rPr>
                <w:rFonts w:ascii="Arial" w:cs="Arial" w:eastAsia="Arial" w:hAnsi="Arial"/>
                <w:b/>
                <w:bCs/>
                <w:color w:val="FFFFFF"/>
                <w:sz w:val="19"/>
                <w:szCs w:val="19"/>
              </w:rPr>
              <w:t xml:space="preserve">DiaTwin</w:t>
            </w:r>
          </w:p>
        </w:tc>
        <w:tc>
          <w:tcPr>
            <w:tcW w:type="dxa" w:w="3846"/>
            <w:tcBorders>
              <w:top w:val="single" w:color="BBCFE0" w:sz="1"/>
              <w:left w:val="single" w:color="BBCFE0" w:sz="1"/>
              <w:bottom w:val="single" w:color="BBCFE0" w:sz="1"/>
              <w:right w:val="single" w:color="BBCFE0" w:sz="1"/>
            </w:tcBorders>
            <w:shd w:fill="1F4E79" w:val="clear"/>
            <w:tcMar>
              <w:top w:type="dxa" w:w="80"/>
              <w:left w:type="dxa" w:w="140"/>
              <w:bottom w:type="dxa" w:w="80"/>
              <w:right w:type="dxa" w:w="140"/>
            </w:tcMar>
          </w:tcPr>
          <w:p>
            <w:r>
              <w:rPr>
                <w:rFonts w:ascii="Arial" w:cs="Arial" w:eastAsia="Arial" w:hAnsi="Arial"/>
                <w:b/>
                <w:bCs/>
                <w:color w:val="FFFFFF"/>
                <w:sz w:val="19"/>
                <w:szCs w:val="19"/>
              </w:rPr>
              <w:t xml:space="preserve">Existing CGM / App Solutions</w:t>
            </w:r>
          </w:p>
        </w:tc>
      </w:tr>
      <w:tr>
        <w:tc>
          <w:tcPr>
            <w:tcW w:type="dxa" w:w="4200"/>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color w:val="4A4A4A"/>
                <w:sz w:val="19"/>
                <w:szCs w:val="19"/>
              </w:rPr>
              <w:t xml:space="preserve">Real-time IOB + MOB tracking (gamma distribution, S3-referenced)</w:t>
            </w:r>
          </w:p>
        </w:tc>
        <w:tc>
          <w:tcPr>
            <w:tcW w:type="dxa" w:w="1700"/>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color w:val="4A4A4A"/>
                <w:sz w:val="19"/>
                <w:szCs w:val="19"/>
              </w:rPr>
              <w:t xml:space="preserve">✓</w:t>
            </w:r>
          </w:p>
        </w:tc>
        <w:tc>
          <w:tcPr>
            <w:tcW w:type="dxa" w:w="3846"/>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color w:val="4A4A4A"/>
                <w:sz w:val="19"/>
                <w:szCs w:val="19"/>
              </w:rPr>
              <w:t xml:space="preserve">✗ (trend only)</w:t>
            </w:r>
          </w:p>
        </w:tc>
      </w:tr>
      <w:tr>
        <w:tc>
          <w:tcPr>
            <w:tcW w:type="dxa" w:w="4200"/>
            <w:tcBorders>
              <w:top w:val="single" w:color="BBCFE0" w:sz="1"/>
              <w:left w:val="single" w:color="BBCFE0" w:sz="1"/>
              <w:bottom w:val="single" w:color="BBCFE0" w:sz="1"/>
              <w:right w:val="single" w:color="BBCFE0" w:sz="1"/>
            </w:tcBorders>
            <w:shd w:fill="F5F5F5" w:val="clear"/>
            <w:tcMar>
              <w:top w:type="dxa" w:w="70"/>
              <w:left w:type="dxa" w:w="140"/>
              <w:bottom w:type="dxa" w:w="70"/>
              <w:right w:type="dxa" w:w="140"/>
            </w:tcMar>
          </w:tcPr>
          <w:p>
            <w:r>
              <w:rPr>
                <w:rFonts w:ascii="Arial" w:cs="Arial" w:eastAsia="Arial" w:hAnsi="Arial"/>
                <w:color w:val="4A4A4A"/>
                <w:sz w:val="19"/>
                <w:szCs w:val="19"/>
              </w:rPr>
              <w:t xml:space="preserve">Physical activity as glucose effect modifier</w:t>
            </w:r>
          </w:p>
        </w:tc>
        <w:tc>
          <w:tcPr>
            <w:tcW w:type="dxa" w:w="1700"/>
            <w:tcBorders>
              <w:top w:val="single" w:color="BBCFE0" w:sz="1"/>
              <w:left w:val="single" w:color="BBCFE0" w:sz="1"/>
              <w:bottom w:val="single" w:color="BBCFE0" w:sz="1"/>
              <w:right w:val="single" w:color="BBCFE0" w:sz="1"/>
            </w:tcBorders>
            <w:shd w:fill="F5F5F5" w:val="clear"/>
            <w:tcMar>
              <w:top w:type="dxa" w:w="70"/>
              <w:left w:type="dxa" w:w="140"/>
              <w:bottom w:type="dxa" w:w="70"/>
              <w:right w:type="dxa" w:w="140"/>
            </w:tcMar>
          </w:tcPr>
          <w:p>
            <w:r>
              <w:rPr>
                <w:rFonts w:ascii="Arial" w:cs="Arial" w:eastAsia="Arial" w:hAnsi="Arial"/>
                <w:color w:val="4A4A4A"/>
                <w:sz w:val="19"/>
                <w:szCs w:val="19"/>
              </w:rPr>
              <w:t xml:space="preserve">✓</w:t>
            </w:r>
          </w:p>
        </w:tc>
        <w:tc>
          <w:tcPr>
            <w:tcW w:type="dxa" w:w="3846"/>
            <w:tcBorders>
              <w:top w:val="single" w:color="BBCFE0" w:sz="1"/>
              <w:left w:val="single" w:color="BBCFE0" w:sz="1"/>
              <w:bottom w:val="single" w:color="BBCFE0" w:sz="1"/>
              <w:right w:val="single" w:color="BBCFE0" w:sz="1"/>
            </w:tcBorders>
            <w:shd w:fill="F5F5F5" w:val="clear"/>
            <w:tcMar>
              <w:top w:type="dxa" w:w="70"/>
              <w:left w:type="dxa" w:w="140"/>
              <w:bottom w:type="dxa" w:w="70"/>
              <w:right w:type="dxa" w:w="140"/>
            </w:tcMar>
          </w:tcPr>
          <w:p>
            <w:r>
              <w:rPr>
                <w:rFonts w:ascii="Arial" w:cs="Arial" w:eastAsia="Arial" w:hAnsi="Arial"/>
                <w:color w:val="4A4A4A"/>
                <w:sz w:val="19"/>
                <w:szCs w:val="19"/>
              </w:rPr>
              <w:t xml:space="preserve">✗</w:t>
            </w:r>
          </w:p>
        </w:tc>
      </w:tr>
      <w:tr>
        <w:tc>
          <w:tcPr>
            <w:tcW w:type="dxa" w:w="4200"/>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color w:val="4A4A4A"/>
                <w:sz w:val="19"/>
                <w:szCs w:val="19"/>
              </w:rPr>
              <w:t xml:space="preserve">Time-of-day aware dosing (circadian ISF/ICR adaptation)</w:t>
            </w:r>
          </w:p>
        </w:tc>
        <w:tc>
          <w:tcPr>
            <w:tcW w:type="dxa" w:w="1700"/>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color w:val="4A4A4A"/>
                <w:sz w:val="19"/>
                <w:szCs w:val="19"/>
              </w:rPr>
              <w:t xml:space="preserve">✓ (under investigation)</w:t>
            </w:r>
          </w:p>
        </w:tc>
        <w:tc>
          <w:tcPr>
            <w:tcW w:type="dxa" w:w="3846"/>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color w:val="4A4A4A"/>
                <w:sz w:val="19"/>
                <w:szCs w:val="19"/>
              </w:rPr>
              <w:t xml:space="preserve">✗</w:t>
            </w:r>
          </w:p>
        </w:tc>
      </w:tr>
      <w:tr>
        <w:tc>
          <w:tcPr>
            <w:tcW w:type="dxa" w:w="4200"/>
            <w:tcBorders>
              <w:top w:val="single" w:color="BBCFE0" w:sz="1"/>
              <w:left w:val="single" w:color="BBCFE0" w:sz="1"/>
              <w:bottom w:val="single" w:color="BBCFE0" w:sz="1"/>
              <w:right w:val="single" w:color="BBCFE0" w:sz="1"/>
            </w:tcBorders>
            <w:shd w:fill="F5F5F5" w:val="clear"/>
            <w:tcMar>
              <w:top w:type="dxa" w:w="70"/>
              <w:left w:type="dxa" w:w="140"/>
              <w:bottom w:type="dxa" w:w="70"/>
              <w:right w:type="dxa" w:w="140"/>
            </w:tcMar>
          </w:tcPr>
          <w:p>
            <w:r>
              <w:rPr>
                <w:rFonts w:ascii="Arial" w:cs="Arial" w:eastAsia="Arial" w:hAnsi="Arial"/>
                <w:color w:val="4A4A4A"/>
                <w:sz w:val="19"/>
                <w:szCs w:val="19"/>
              </w:rPr>
              <w:t xml:space="preserve">RL-based personalisation from longitudinal outcomes</w:t>
            </w:r>
          </w:p>
        </w:tc>
        <w:tc>
          <w:tcPr>
            <w:tcW w:type="dxa" w:w="1700"/>
            <w:tcBorders>
              <w:top w:val="single" w:color="BBCFE0" w:sz="1"/>
              <w:left w:val="single" w:color="BBCFE0" w:sz="1"/>
              <w:bottom w:val="single" w:color="BBCFE0" w:sz="1"/>
              <w:right w:val="single" w:color="BBCFE0" w:sz="1"/>
            </w:tcBorders>
            <w:shd w:fill="F5F5F5" w:val="clear"/>
            <w:tcMar>
              <w:top w:type="dxa" w:w="70"/>
              <w:left w:type="dxa" w:w="140"/>
              <w:bottom w:type="dxa" w:w="70"/>
              <w:right w:type="dxa" w:w="140"/>
            </w:tcMar>
          </w:tcPr>
          <w:p>
            <w:r>
              <w:rPr>
                <w:rFonts w:ascii="Arial" w:cs="Arial" w:eastAsia="Arial" w:hAnsi="Arial"/>
                <w:color w:val="4A4A4A"/>
                <w:sz w:val="19"/>
                <w:szCs w:val="19"/>
              </w:rPr>
              <w:t xml:space="preserve">✓</w:t>
            </w:r>
          </w:p>
        </w:tc>
        <w:tc>
          <w:tcPr>
            <w:tcW w:type="dxa" w:w="3846"/>
            <w:tcBorders>
              <w:top w:val="single" w:color="BBCFE0" w:sz="1"/>
              <w:left w:val="single" w:color="BBCFE0" w:sz="1"/>
              <w:bottom w:val="single" w:color="BBCFE0" w:sz="1"/>
              <w:right w:val="single" w:color="BBCFE0" w:sz="1"/>
            </w:tcBorders>
            <w:shd w:fill="F5F5F5" w:val="clear"/>
            <w:tcMar>
              <w:top w:type="dxa" w:w="70"/>
              <w:left w:type="dxa" w:w="140"/>
              <w:bottom w:type="dxa" w:w="70"/>
              <w:right w:type="dxa" w:w="140"/>
            </w:tcMar>
          </w:tcPr>
          <w:p>
            <w:r>
              <w:rPr>
                <w:rFonts w:ascii="Arial" w:cs="Arial" w:eastAsia="Arial" w:hAnsi="Arial"/>
                <w:color w:val="4A4A4A"/>
                <w:sz w:val="19"/>
                <w:szCs w:val="19"/>
              </w:rPr>
              <w:t xml:space="preserve">✗</w:t>
            </w:r>
          </w:p>
        </w:tc>
      </w:tr>
      <w:tr>
        <w:tc>
          <w:tcPr>
            <w:tcW w:type="dxa" w:w="4200"/>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color w:val="4A4A4A"/>
                <w:sz w:val="19"/>
                <w:szCs w:val="19"/>
              </w:rPr>
              <w:t xml:space="preserve">Physician-set and remotely adjustable parameters</w:t>
            </w:r>
          </w:p>
        </w:tc>
        <w:tc>
          <w:tcPr>
            <w:tcW w:type="dxa" w:w="1700"/>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color w:val="4A4A4A"/>
                <w:sz w:val="19"/>
                <w:szCs w:val="19"/>
              </w:rPr>
              <w:t xml:space="preserve">✓</w:t>
            </w:r>
          </w:p>
        </w:tc>
        <w:tc>
          <w:tcPr>
            <w:tcW w:type="dxa" w:w="3846"/>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color w:val="4A4A4A"/>
                <w:sz w:val="19"/>
                <w:szCs w:val="19"/>
              </w:rPr>
              <w:t xml:space="preserve">✗</w:t>
            </w:r>
          </w:p>
        </w:tc>
      </w:tr>
      <w:tr>
        <w:tc>
          <w:tcPr>
            <w:tcW w:type="dxa" w:w="4200"/>
            <w:tcBorders>
              <w:top w:val="single" w:color="BBCFE0" w:sz="1"/>
              <w:left w:val="single" w:color="BBCFE0" w:sz="1"/>
              <w:bottom w:val="single" w:color="BBCFE0" w:sz="1"/>
              <w:right w:val="single" w:color="BBCFE0" w:sz="1"/>
            </w:tcBorders>
            <w:shd w:fill="F5F5F5" w:val="clear"/>
            <w:tcMar>
              <w:top w:type="dxa" w:w="70"/>
              <w:left w:type="dxa" w:w="140"/>
              <w:bottom w:type="dxa" w:w="70"/>
              <w:right w:type="dxa" w:w="140"/>
            </w:tcMar>
          </w:tcPr>
          <w:p>
            <w:r>
              <w:rPr>
                <w:rFonts w:ascii="Arial" w:cs="Arial" w:eastAsia="Arial" w:hAnsi="Arial"/>
                <w:color w:val="4A4A4A"/>
                <w:sz w:val="19"/>
                <w:szCs w:val="19"/>
              </w:rPr>
              <w:t xml:space="preserve">Operable with insulin pens (no pump required)</w:t>
            </w:r>
          </w:p>
        </w:tc>
        <w:tc>
          <w:tcPr>
            <w:tcW w:type="dxa" w:w="1700"/>
            <w:tcBorders>
              <w:top w:val="single" w:color="BBCFE0" w:sz="1"/>
              <w:left w:val="single" w:color="BBCFE0" w:sz="1"/>
              <w:bottom w:val="single" w:color="BBCFE0" w:sz="1"/>
              <w:right w:val="single" w:color="BBCFE0" w:sz="1"/>
            </w:tcBorders>
            <w:shd w:fill="F5F5F5" w:val="clear"/>
            <w:tcMar>
              <w:top w:type="dxa" w:w="70"/>
              <w:left w:type="dxa" w:w="140"/>
              <w:bottom w:type="dxa" w:w="70"/>
              <w:right w:type="dxa" w:w="140"/>
            </w:tcMar>
          </w:tcPr>
          <w:p>
            <w:r>
              <w:rPr>
                <w:rFonts w:ascii="Arial" w:cs="Arial" w:eastAsia="Arial" w:hAnsi="Arial"/>
                <w:color w:val="4A4A4A"/>
                <w:sz w:val="19"/>
                <w:szCs w:val="19"/>
              </w:rPr>
              <w:t xml:space="preserve">✓</w:t>
            </w:r>
          </w:p>
        </w:tc>
        <w:tc>
          <w:tcPr>
            <w:tcW w:type="dxa" w:w="3846"/>
            <w:tcBorders>
              <w:top w:val="single" w:color="BBCFE0" w:sz="1"/>
              <w:left w:val="single" w:color="BBCFE0" w:sz="1"/>
              <w:bottom w:val="single" w:color="BBCFE0" w:sz="1"/>
              <w:right w:val="single" w:color="BBCFE0" w:sz="1"/>
            </w:tcBorders>
            <w:shd w:fill="F5F5F5" w:val="clear"/>
            <w:tcMar>
              <w:top w:type="dxa" w:w="70"/>
              <w:left w:type="dxa" w:w="140"/>
              <w:bottom w:type="dxa" w:w="70"/>
              <w:right w:type="dxa" w:w="140"/>
            </w:tcMar>
          </w:tcPr>
          <w:p>
            <w:r>
              <w:rPr>
                <w:rFonts w:ascii="Arial" w:cs="Arial" w:eastAsia="Arial" w:hAnsi="Arial"/>
                <w:color w:val="4A4A4A"/>
                <w:sz w:val="19"/>
                <w:szCs w:val="19"/>
              </w:rPr>
              <w:t xml:space="preserve">✗ (closed-loop requires pump)</w:t>
            </w:r>
          </w:p>
        </w:tc>
      </w:tr>
    </w:tbl>
    <w:p>
      <w:pPr>
        <w:spacing w:after="0" w:before="100"/>
      </w:pPr>
      <w:r>
        <w:t xml:space="preserve"/>
      </w:r>
    </w:p>
    <w:p>
      <w:pPr>
        <w:pBdr>
          <w:bottom w:val="single" w:color="2E75B6" w:sz="8" w:space="4"/>
        </w:pBdr>
        <w:spacing w:after="120" w:before="320"/>
      </w:pPr>
      <w:r>
        <w:rPr>
          <w:rFonts w:ascii="Arial" w:cs="Arial" w:eastAsia="Arial" w:hAnsi="Arial"/>
          <w:b/>
          <w:bCs/>
          <w:color w:val="1F4E79"/>
          <w:sz w:val="26"/>
          <w:szCs w:val="26"/>
        </w:rPr>
        <w:t xml:space="preserve">5. Proposed Research</w:t>
      </w:r>
    </w:p>
    <w:p>
      <w:pPr>
        <w:spacing w:after="80" w:before="200"/>
      </w:pPr>
      <w:r>
        <w:rPr>
          <w:rFonts w:ascii="Arial" w:cs="Arial" w:eastAsia="Arial" w:hAnsi="Arial"/>
          <w:b/>
          <w:bCs/>
          <w:color w:val="2E75B6"/>
          <w:sz w:val="22"/>
          <w:szCs w:val="22"/>
        </w:rPr>
        <w:t xml:space="preserve">5.1 Primary Research Question</w:t>
      </w:r>
    </w:p>
    <w:p>
      <w:pPr>
        <w:pBdr>
          <w:left w:val="single" w:color="2E75B6" w:sz="12" w:space="8"/>
        </w:pBdr>
        <w:spacing w:after="80" w:before="80"/>
        <w:ind w:left="500"/>
      </w:pPr>
      <w:r>
        <w:rPr>
          <w:rFonts w:ascii="Arial" w:cs="Arial" w:eastAsia="Arial" w:hAnsi="Arial"/>
          <w:i/>
          <w:iCs/>
          <w:color w:val="4A4A4A"/>
          <w:sz w:val="20"/>
          <w:szCs w:val="20"/>
        </w:rPr>
        <w:t xml:space="preserve">Can a reinforcement learning algorithm, trained on longitudinal CGM, insulin, meal, and physical activity data, identify patient-specific circadian parameters — including time-of-day variation in insulin sensitivity (ISF), carbohydrate-to-insulin ratio (ICR), and activity response coefficients — that improve time-in-range compared to static parameter-based dosing in adults with Type 1 Diabetes?</w:t>
      </w:r>
    </w:p>
    <w:p>
      <w:pPr>
        <w:spacing w:after="0" w:before="80"/>
      </w:pPr>
      <w:r>
        <w:t xml:space="preserve"/>
      </w:r>
    </w:p>
    <w:p>
      <w:pPr>
        <w:spacing w:after="80" w:before="200"/>
      </w:pPr>
      <w:r>
        <w:rPr>
          <w:rFonts w:ascii="Arial" w:cs="Arial" w:eastAsia="Arial" w:hAnsi="Arial"/>
          <w:b/>
          <w:bCs/>
          <w:color w:val="2E75B6"/>
          <w:sz w:val="22"/>
          <w:szCs w:val="22"/>
        </w:rPr>
        <w:t xml:space="preserve">5.2 Study Design</w:t>
      </w:r>
    </w:p>
    <w:p>
      <w:pPr>
        <w:spacing w:after="60" w:before="60"/>
      </w:pPr>
      <w:r>
        <w:rPr>
          <w:rFonts w:ascii="Arial" w:cs="Arial" w:eastAsia="Arial" w:hAnsi="Arial"/>
          <w:color w:val="4A4A4A"/>
          <w:sz w:val="20"/>
          <w:szCs w:val="20"/>
        </w:rPr>
        <w:t xml:space="preserve">Prospective, randomised, open-label, two-arm parallel study. N = 100 adult T1D patients using insulin pens with CGM. Duration: 6 months per participant.</w:t>
      </w:r>
    </w:p>
    <w:p>
      <w:pPr>
        <w:spacing w:after="0" w:before="60"/>
      </w:pPr>
      <w:r>
        <w:t xml:space="preserve"/>
      </w:r>
    </w:p>
    <w:p>
      <w:pPr>
        <w:spacing w:after="60" w:before="60"/>
      </w:pPr>
      <w:r>
        <w:rPr>
          <w:rFonts w:ascii="Arial" w:cs="Arial" w:eastAsia="Arial" w:hAnsi="Arial"/>
          <w:b/>
          <w:bCs/>
          <w:color w:val="4A4A4A"/>
          <w:sz w:val="20"/>
          <w:szCs w:val="20"/>
        </w:rPr>
        <w:t xml:space="preserve">Arm A — Intervention: </w:t>
      </w:r>
      <w:r>
        <w:rPr>
          <w:rFonts w:ascii="Arial" w:cs="Arial" w:eastAsia="Arial" w:hAnsi="Arial"/>
          <w:color w:val="4A4A4A"/>
          <w:sz w:val="20"/>
          <w:szCs w:val="20"/>
        </w:rPr>
        <w:t xml:space="preserve">DiaTwin decision-support with RL-derived circadian parameter adaptation (ISF and ICR updated weekly from longitudinal outcome data).</w:t>
      </w:r>
    </w:p>
    <w:p>
      <w:pPr>
        <w:spacing w:after="60" w:before="60"/>
      </w:pPr>
      <w:r>
        <w:rPr>
          <w:rFonts w:ascii="Arial" w:cs="Arial" w:eastAsia="Arial" w:hAnsi="Arial"/>
          <w:b/>
          <w:bCs/>
          <w:color w:val="4A4A4A"/>
          <w:sz w:val="20"/>
          <w:szCs w:val="20"/>
        </w:rPr>
        <w:t xml:space="preserve">Arm B — Control: </w:t>
      </w:r>
      <w:r>
        <w:rPr>
          <w:rFonts w:ascii="Arial" w:cs="Arial" w:eastAsia="Arial" w:hAnsi="Arial"/>
          <w:color w:val="4A4A4A"/>
          <w:sz w:val="20"/>
          <w:szCs w:val="20"/>
        </w:rPr>
        <w:t xml:space="preserve">Standard-of-care pen-based dosing with static clinician-set ISF and ICR (current standard practice).</w:t>
      </w:r>
    </w:p>
    <w:p>
      <w:pPr>
        <w:spacing w:after="0" w:before="80"/>
      </w:pPr>
      <w:r>
        <w:t xml:space="preserve"/>
      </w:r>
    </w:p>
    <w:p>
      <w:pPr>
        <w:spacing w:after="80" w:before="200"/>
      </w:pPr>
      <w:r>
        <w:rPr>
          <w:rFonts w:ascii="Arial" w:cs="Arial" w:eastAsia="Arial" w:hAnsi="Arial"/>
          <w:b/>
          <w:bCs/>
          <w:color w:val="2E75B6"/>
          <w:sz w:val="22"/>
          <w:szCs w:val="22"/>
        </w:rPr>
        <w:t xml:space="preserve">5.3 Endpoints</w:t>
      </w:r>
    </w:p>
    <w:p>
      <w:pPr>
        <w:spacing w:after="60" w:before="60"/>
      </w:pPr>
      <w:r>
        <w:rPr>
          <w:rFonts w:ascii="Arial" w:cs="Arial" w:eastAsia="Arial" w:hAnsi="Arial"/>
          <w:b/>
          <w:bCs/>
          <w:color w:val="4A4A4A"/>
          <w:sz w:val="20"/>
          <w:szCs w:val="20"/>
        </w:rPr>
        <w:t xml:space="preserve">Primary: </w:t>
      </w:r>
      <w:r>
        <w:rPr>
          <w:rFonts w:ascii="Arial" w:cs="Arial" w:eastAsia="Arial" w:hAnsi="Arial"/>
          <w:color w:val="4A4A4A"/>
          <w:sz w:val="20"/>
          <w:szCs w:val="20"/>
        </w:rPr>
        <w:t xml:space="preserve">Time-in-Range (TIR, 70–180 mg/dL) at 12 weeks and 24 weeks, compared between arms.</w:t>
      </w:r>
    </w:p>
    <w:p>
      <w:pPr>
        <w:spacing w:after="60" w:before="60"/>
      </w:pPr>
      <w:r>
        <w:rPr>
          <w:rFonts w:ascii="Arial" w:cs="Arial" w:eastAsia="Arial" w:hAnsi="Arial"/>
          <w:b/>
          <w:bCs/>
          <w:color w:val="4A4A4A"/>
          <w:sz w:val="20"/>
          <w:szCs w:val="20"/>
        </w:rPr>
        <w:t xml:space="preserve">Secondary: </w:t>
      </w:r>
      <w:r>
        <w:rPr>
          <w:rFonts w:ascii="Arial" w:cs="Arial" w:eastAsia="Arial" w:hAnsi="Arial"/>
          <w:color w:val="4A4A4A"/>
          <w:sz w:val="20"/>
          <w:szCs w:val="20"/>
        </w:rPr>
        <w:t xml:space="preserve">Hypoglycaemia frequency (&lt;70 mg/dL events per week); HbA1c at 3 and 6 months; time-below-range (&lt;54 mg/dL); patient-reported cognitive burden (validated scale).</w:t>
      </w:r>
    </w:p>
    <w:p>
      <w:pPr>
        <w:spacing w:after="60" w:before="60"/>
      </w:pPr>
      <w:r>
        <w:rPr>
          <w:rFonts w:ascii="Arial" w:cs="Arial" w:eastAsia="Arial" w:hAnsi="Arial"/>
          <w:b/>
          <w:bCs/>
          <w:color w:val="4A4A4A"/>
          <w:sz w:val="20"/>
          <w:szCs w:val="20"/>
        </w:rPr>
        <w:t xml:space="preserve">Exploratory: </w:t>
      </w:r>
      <w:r>
        <w:rPr>
          <w:rFonts w:ascii="Arial" w:cs="Arial" w:eastAsia="Arial" w:hAnsi="Arial"/>
          <w:color w:val="4A4A4A"/>
          <w:sz w:val="20"/>
          <w:szCs w:val="20"/>
        </w:rPr>
        <w:t xml:space="preserve">Characterisation of inferred patient-specific circadian ISF and ICR profiles; identification of circadian subgroups (phenotypic clustering of parameter trajectories); convergence rate of RL personalisation across patient subgroups.</w:t>
      </w:r>
    </w:p>
    <w:p>
      <w:pPr>
        <w:spacing w:after="0" w:before="80"/>
      </w:pPr>
      <w:r>
        <w:t xml:space="preserve"/>
      </w:r>
    </w:p>
    <w:p>
      <w:pPr>
        <w:spacing w:after="80" w:before="200"/>
      </w:pPr>
      <w:r>
        <w:rPr>
          <w:rFonts w:ascii="Arial" w:cs="Arial" w:eastAsia="Arial" w:hAnsi="Arial"/>
          <w:b/>
          <w:bCs/>
          <w:color w:val="2E75B6"/>
          <w:sz w:val="22"/>
          <w:szCs w:val="22"/>
        </w:rPr>
        <w:t xml:space="preserve">5.4 Algorithm Methodology</w:t>
      </w:r>
    </w:p>
    <w:p>
      <w:pPr>
        <w:pStyle w:val="ListParagraph"/>
        <w:numPr>
          <w:ilvl w:val="0"/>
          <w:numId w:val="2"/>
        </w:numPr>
        <w:spacing w:after="40" w:before="40"/>
      </w:pPr>
      <w:r>
        <w:rPr>
          <w:rFonts w:ascii="Arial" w:cs="Arial" w:eastAsia="Arial" w:hAnsi="Arial"/>
          <w:color w:val="4A4A4A"/>
          <w:sz w:val="20"/>
          <w:szCs w:val="20"/>
        </w:rPr>
        <w:t xml:space="preserve">The RL agent operates on a state space comprising: current glucose, IOB, MOB, activity-on-board (AOB), time-of-day, and 7-day rolling parameter history.</w:t>
      </w:r>
    </w:p>
    <w:p>
      <w:pPr>
        <w:pStyle w:val="ListParagraph"/>
        <w:numPr>
          <w:ilvl w:val="0"/>
          <w:numId w:val="2"/>
        </w:numPr>
        <w:spacing w:after="40" w:before="40"/>
      </w:pPr>
      <w:r>
        <w:rPr>
          <w:rFonts w:ascii="Arial" w:cs="Arial" w:eastAsia="Arial" w:hAnsi="Arial"/>
          <w:color w:val="4A4A4A"/>
          <w:sz w:val="20"/>
          <w:szCs w:val="20"/>
        </w:rPr>
        <w:t xml:space="preserve">The reward function is defined as TIR maximisation penalised for hypoglycaemia events and excessive dosing variance.</w:t>
      </w:r>
    </w:p>
    <w:p>
      <w:pPr>
        <w:pStyle w:val="ListParagraph"/>
        <w:numPr>
          <w:ilvl w:val="0"/>
          <w:numId w:val="2"/>
        </w:numPr>
        <w:spacing w:after="40" w:before="40"/>
      </w:pPr>
      <w:r>
        <w:rPr>
          <w:rFonts w:ascii="Arial" w:cs="Arial" w:eastAsia="Arial" w:hAnsi="Arial"/>
          <w:color w:val="4A4A4A"/>
          <w:sz w:val="20"/>
          <w:szCs w:val="20"/>
        </w:rPr>
        <w:t xml:space="preserve">Circadian parameter maps (ISFₜ, ICRₜ) are updated via a Q-learning framework with a 24-hour temporal basis, permitting independent adaptation per 2-hour time block.</w:t>
      </w:r>
    </w:p>
    <w:p>
      <w:pPr>
        <w:pStyle w:val="ListParagraph"/>
        <w:numPr>
          <w:ilvl w:val="0"/>
          <w:numId w:val="2"/>
        </w:numPr>
        <w:spacing w:after="40" w:before="40"/>
      </w:pPr>
      <w:r>
        <w:rPr>
          <w:rFonts w:ascii="Arial" w:cs="Arial" w:eastAsia="Arial" w:hAnsi="Arial"/>
          <w:color w:val="4A4A4A"/>
          <w:sz w:val="20"/>
          <w:szCs w:val="20"/>
        </w:rPr>
        <w:t xml:space="preserve">Activity-induced ISF modulation is modelled as a duration × intensity function applied as a real-time multiplier to the current ISFₜ estimate.</w:t>
      </w:r>
    </w:p>
    <w:p>
      <w:pPr>
        <w:pStyle w:val="ListParagraph"/>
        <w:numPr>
          <w:ilvl w:val="0"/>
          <w:numId w:val="2"/>
        </w:numPr>
        <w:spacing w:after="40" w:before="40"/>
      </w:pPr>
      <w:r>
        <w:rPr>
          <w:rFonts w:ascii="Arial" w:cs="Arial" w:eastAsia="Arial" w:hAnsi="Arial"/>
          <w:color w:val="4A4A4A"/>
          <w:sz w:val="20"/>
          <w:szCs w:val="20"/>
        </w:rPr>
        <w:t xml:space="preserve">Baseline model pre-trained on 50,000+ real meal-outcome pairs; circadian layer fine-tuned per-patient from week 1 of the trial.</w:t>
      </w:r>
    </w:p>
    <w:p>
      <w:pPr>
        <w:spacing w:after="0" w:before="80"/>
      </w:pPr>
      <w:r>
        <w:t xml:space="preserve"/>
      </w:r>
    </w:p>
    <w:p>
      <w:pPr>
        <w:spacing w:after="80" w:before="200"/>
      </w:pPr>
      <w:r>
        <w:rPr>
          <w:rFonts w:ascii="Arial" w:cs="Arial" w:eastAsia="Arial" w:hAnsi="Arial"/>
          <w:b/>
          <w:bCs/>
          <w:color w:val="2E75B6"/>
          <w:sz w:val="22"/>
          <w:szCs w:val="22"/>
        </w:rPr>
        <w:t xml:space="preserve">5.5 Model Refinement Objectives</w:t>
      </w:r>
    </w:p>
    <w:p>
      <w:pPr>
        <w:pStyle w:val="ListParagraph"/>
        <w:numPr>
          <w:ilvl w:val="0"/>
          <w:numId w:val="2"/>
        </w:numPr>
        <w:spacing w:after="40" w:before="40"/>
      </w:pPr>
      <w:r>
        <w:rPr>
          <w:rFonts w:ascii="Arial" w:cs="Arial" w:eastAsia="Arial" w:hAnsi="Arial"/>
          <w:color w:val="4A4A4A"/>
          <w:sz w:val="20"/>
          <w:szCs w:val="20"/>
        </w:rPr>
        <w:t xml:space="preserve">Integration of individual physiological parameters (ISF, ICR, DIA) derived from longitudinal CGM + insulin logs to personalise gamma-distribution absorption curves.</w:t>
      </w:r>
    </w:p>
    <w:p>
      <w:pPr>
        <w:pStyle w:val="ListParagraph"/>
        <w:numPr>
          <w:ilvl w:val="0"/>
          <w:numId w:val="2"/>
        </w:numPr>
        <w:spacing w:after="40" w:before="40"/>
      </w:pPr>
      <w:r>
        <w:rPr>
          <w:rFonts w:ascii="Arial" w:cs="Arial" w:eastAsia="Arial" w:hAnsi="Arial"/>
          <w:color w:val="4A4A4A"/>
          <w:sz w:val="20"/>
          <w:szCs w:val="20"/>
        </w:rPr>
        <w:t xml:space="preserve">Identification of physiological subgroups with systematically different circadian profiles (e.g., pronounced dawn phenomenon, exercise-sensitive responders).</w:t>
      </w:r>
    </w:p>
    <w:p>
      <w:pPr>
        <w:pStyle w:val="ListParagraph"/>
        <w:numPr>
          <w:ilvl w:val="0"/>
          <w:numId w:val="2"/>
        </w:numPr>
        <w:spacing w:after="40" w:before="40"/>
      </w:pPr>
      <w:r>
        <w:rPr>
          <w:rFonts w:ascii="Arial" w:cs="Arial" w:eastAsia="Arial" w:hAnsi="Arial"/>
          <w:color w:val="4A4A4A"/>
          <w:sz w:val="20"/>
          <w:szCs w:val="20"/>
        </w:rPr>
        <w:t xml:space="preserve">Explainability layer for RL dosing decisions to meet clinical transparency requirements and support physician trust and regulatory review.</w:t>
      </w:r>
    </w:p>
    <w:p>
      <w:pPr>
        <w:pStyle w:val="ListParagraph"/>
        <w:numPr>
          <w:ilvl w:val="0"/>
          <w:numId w:val="2"/>
        </w:numPr>
        <w:spacing w:after="40" w:before="40"/>
      </w:pPr>
      <w:r>
        <w:rPr>
          <w:rFonts w:ascii="Arial" w:cs="Arial" w:eastAsia="Arial" w:hAnsi="Arial"/>
          <w:color w:val="4A4A4A"/>
          <w:sz w:val="20"/>
          <w:szCs w:val="20"/>
        </w:rPr>
        <w:t xml:space="preserve">Validation of pen-user mode (SMBG only, no CGM) to address precision gaps in settings with limited sensor access.</w:t>
      </w:r>
    </w:p>
    <w:p>
      <w:pPr>
        <w:spacing w:after="0" w:before="80"/>
      </w:pPr>
      <w:r>
        <w:t xml:space="preserve"/>
      </w:r>
    </w:p>
    <w:p>
      <w:pPr>
        <w:spacing w:after="80" w:before="200"/>
      </w:pPr>
      <w:r>
        <w:rPr>
          <w:rFonts w:ascii="Arial" w:cs="Arial" w:eastAsia="Arial" w:hAnsi="Arial"/>
          <w:b/>
          <w:bCs/>
          <w:color w:val="2E75B6"/>
          <w:sz w:val="22"/>
          <w:szCs w:val="22"/>
        </w:rPr>
        <w:t xml:space="preserve">5.6 Equity Dimension</w:t>
      </w:r>
    </w:p>
    <w:p>
      <w:pPr>
        <w:spacing w:after="60" w:before="60"/>
      </w:pPr>
      <w:r>
        <w:rPr>
          <w:rFonts w:ascii="Arial" w:cs="Arial" w:eastAsia="Arial" w:hAnsi="Arial"/>
          <w:color w:val="4A4A4A"/>
          <w:sz w:val="20"/>
          <w:szCs w:val="20"/>
        </w:rPr>
        <w:t xml:space="preserve">DiaTwin is designed to operate on finger-prick glucose data without CGM dependency, enabling validation in resource-limited settings where sensor access is unavailable. A parallel validation arm in a low- or middle-income country clinical context is a planned extension of the research programme, contingent on primary trial outcomes.</w:t>
      </w:r>
    </w:p>
    <w:p>
      <w:pPr>
        <w:spacing w:after="0" w:before="100"/>
      </w:pPr>
      <w:r>
        <w:t xml:space="preserve"/>
      </w:r>
    </w:p>
    <w:p>
      <w:pPr>
        <w:pBdr>
          <w:bottom w:val="single" w:color="2E75B6" w:sz="8" w:space="4"/>
        </w:pBdr>
        <w:spacing w:after="120" w:before="320"/>
      </w:pPr>
      <w:r>
        <w:rPr>
          <w:rFonts w:ascii="Arial" w:cs="Arial" w:eastAsia="Arial" w:hAnsi="Arial"/>
          <w:b/>
          <w:bCs/>
          <w:color w:val="1F4E79"/>
          <w:sz w:val="26"/>
          <w:szCs w:val="26"/>
        </w:rPr>
        <w:t xml:space="preserve">6. Lead Researcher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BCFE0" w:sz="1"/>
              <w:left w:val="single" w:color="BBCFE0" w:sz="1"/>
              <w:bottom w:val="single" w:color="BBCFE0" w:sz="1"/>
              <w:right w:val="single" w:color="BBCFE0" w:sz="1"/>
            </w:tcBorders>
            <w:shd w:fill="1F4E79" w:val="clear"/>
            <w:tcMar>
              <w:top w:type="dxa" w:w="80"/>
              <w:left w:type="dxa" w:w="140"/>
              <w:bottom w:type="dxa" w:w="80"/>
              <w:right w:type="dxa" w:w="140"/>
            </w:tcMar>
          </w:tcPr>
          <w:p>
            <w:r>
              <w:rPr>
                <w:rFonts w:ascii="Arial" w:cs="Arial" w:eastAsia="Arial" w:hAnsi="Arial"/>
                <w:b/>
                <w:bCs/>
                <w:color w:val="FFFFFF"/>
                <w:sz w:val="19"/>
                <w:szCs w:val="19"/>
              </w:rPr>
              <w:t xml:space="preserve">Area</w:t>
            </w:r>
          </w:p>
        </w:tc>
        <w:tc>
          <w:tcPr>
            <w:tcW w:type="dxa" w:w="7546"/>
            <w:tcBorders>
              <w:top w:val="single" w:color="BBCFE0" w:sz="1"/>
              <w:left w:val="single" w:color="BBCFE0" w:sz="1"/>
              <w:bottom w:val="single" w:color="BBCFE0" w:sz="1"/>
              <w:right w:val="single" w:color="BBCFE0" w:sz="1"/>
            </w:tcBorders>
            <w:shd w:fill="1F4E79" w:val="clear"/>
            <w:tcMar>
              <w:top w:type="dxa" w:w="80"/>
              <w:left w:type="dxa" w:w="140"/>
              <w:bottom w:type="dxa" w:w="80"/>
              <w:right w:type="dxa" w:w="140"/>
            </w:tcMar>
          </w:tcPr>
          <w:p>
            <w:r>
              <w:rPr>
                <w:rFonts w:ascii="Arial" w:cs="Arial" w:eastAsia="Arial" w:hAnsi="Arial"/>
                <w:b/>
                <w:bCs/>
                <w:color w:val="FFFFFF"/>
                <w:sz w:val="19"/>
                <w:szCs w:val="19"/>
              </w:rPr>
              <w:t xml:space="preserve">Detail</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b/>
                <w:bCs/>
                <w:color w:val="4A4A4A"/>
                <w:sz w:val="19"/>
                <w:szCs w:val="19"/>
              </w:rPr>
              <w:t xml:space="preserve">Academic</w:t>
            </w:r>
          </w:p>
        </w:tc>
        <w:tc>
          <w:tcPr>
            <w:tcW w:type="dxa" w:w="7546"/>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b w:val="false"/>
                <w:bCs w:val="false"/>
                <w:color w:val="4A4A4A"/>
                <w:sz w:val="19"/>
                <w:szCs w:val="19"/>
              </w:rPr>
              <w:t xml:space="preserve">M.Sc. Digital Health, DIT Germany (grade 1.6 — Excellent, 2025). B.Sc. Pharmacy, Zagazig University (1.5 — Excellent, 2019, 6-year programme).</w:t>
            </w:r>
          </w:p>
        </w:tc>
      </w:tr>
      <w:tr>
        <w:tc>
          <w:tcPr>
            <w:tcW w:type="dxa" w:w="2200"/>
            <w:tcBorders>
              <w:top w:val="single" w:color="BBCFE0" w:sz="1"/>
              <w:left w:val="single" w:color="BBCFE0" w:sz="1"/>
              <w:bottom w:val="single" w:color="BBCFE0" w:sz="1"/>
              <w:right w:val="single" w:color="BBCFE0" w:sz="1"/>
            </w:tcBorders>
            <w:shd w:fill="F5F5F5" w:val="clear"/>
            <w:tcMar>
              <w:top w:type="dxa" w:w="70"/>
              <w:left w:type="dxa" w:w="140"/>
              <w:bottom w:type="dxa" w:w="70"/>
              <w:right w:type="dxa" w:w="140"/>
            </w:tcMar>
          </w:tcPr>
          <w:p>
            <w:r>
              <w:rPr>
                <w:rFonts w:ascii="Arial" w:cs="Arial" w:eastAsia="Arial" w:hAnsi="Arial"/>
                <w:b/>
                <w:bCs/>
                <w:color w:val="4A4A4A"/>
                <w:sz w:val="19"/>
                <w:szCs w:val="19"/>
              </w:rPr>
              <w:t xml:space="preserve">Licence</w:t>
            </w:r>
          </w:p>
        </w:tc>
        <w:tc>
          <w:tcPr>
            <w:tcW w:type="dxa" w:w="7546"/>
            <w:tcBorders>
              <w:top w:val="single" w:color="BBCFE0" w:sz="1"/>
              <w:left w:val="single" w:color="BBCFE0" w:sz="1"/>
              <w:bottom w:val="single" w:color="BBCFE0" w:sz="1"/>
              <w:right w:val="single" w:color="BBCFE0" w:sz="1"/>
            </w:tcBorders>
            <w:shd w:fill="F5F5F5" w:val="clear"/>
            <w:tcMar>
              <w:top w:type="dxa" w:w="70"/>
              <w:left w:type="dxa" w:w="140"/>
              <w:bottom w:type="dxa" w:w="70"/>
              <w:right w:type="dxa" w:w="140"/>
            </w:tcMar>
          </w:tcPr>
          <w:p>
            <w:r>
              <w:rPr>
                <w:rFonts w:ascii="Arial" w:cs="Arial" w:eastAsia="Arial" w:hAnsi="Arial"/>
                <w:b w:val="false"/>
                <w:bCs w:val="false"/>
                <w:color w:val="4A4A4A"/>
                <w:sz w:val="19"/>
                <w:szCs w:val="19"/>
              </w:rPr>
              <w:t xml:space="preserve">German Pharmacist Licence (Berufserlaubnis §11 BApO, Upper Bavaria 2025). Fachsprachenprüfung passed (Bavarian Chamber of Pharmacists).</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b/>
                <w:bCs/>
                <w:color w:val="4A4A4A"/>
                <w:sz w:val="19"/>
                <w:szCs w:val="19"/>
              </w:rPr>
              <w:t xml:space="preserve">Clinical Informatics</w:t>
            </w:r>
          </w:p>
        </w:tc>
        <w:tc>
          <w:tcPr>
            <w:tcW w:type="dxa" w:w="7546"/>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b w:val="false"/>
                <w:bCs w:val="false"/>
                <w:color w:val="4A4A4A"/>
                <w:sz w:val="19"/>
                <w:szCs w:val="19"/>
              </w:rPr>
              <w:t xml:space="preserve">Senior Clinical Data Specialist, Egypt Healthcare Authority (2021–2023): national EHR rollout, HL7-FHIR R4, ICD-10, SNOMED CT, 500+ staff trained across multiple governorates.</w:t>
            </w:r>
          </w:p>
        </w:tc>
      </w:tr>
      <w:tr>
        <w:tc>
          <w:tcPr>
            <w:tcW w:type="dxa" w:w="2200"/>
            <w:tcBorders>
              <w:top w:val="single" w:color="BBCFE0" w:sz="1"/>
              <w:left w:val="single" w:color="BBCFE0" w:sz="1"/>
              <w:bottom w:val="single" w:color="BBCFE0" w:sz="1"/>
              <w:right w:val="single" w:color="BBCFE0" w:sz="1"/>
            </w:tcBorders>
            <w:shd w:fill="F5F5F5" w:val="clear"/>
            <w:tcMar>
              <w:top w:type="dxa" w:w="70"/>
              <w:left w:type="dxa" w:w="140"/>
              <w:bottom w:type="dxa" w:w="70"/>
              <w:right w:type="dxa" w:w="140"/>
            </w:tcMar>
          </w:tcPr>
          <w:p>
            <w:r>
              <w:rPr>
                <w:rFonts w:ascii="Arial" w:cs="Arial" w:eastAsia="Arial" w:hAnsi="Arial"/>
                <w:b/>
                <w:bCs/>
                <w:color w:val="4A4A4A"/>
                <w:sz w:val="19"/>
                <w:szCs w:val="19"/>
              </w:rPr>
              <w:t xml:space="preserve">Technical</w:t>
            </w:r>
          </w:p>
        </w:tc>
        <w:tc>
          <w:tcPr>
            <w:tcW w:type="dxa" w:w="7546"/>
            <w:tcBorders>
              <w:top w:val="single" w:color="BBCFE0" w:sz="1"/>
              <w:left w:val="single" w:color="BBCFE0" w:sz="1"/>
              <w:bottom w:val="single" w:color="BBCFE0" w:sz="1"/>
              <w:right w:val="single" w:color="BBCFE0" w:sz="1"/>
            </w:tcBorders>
            <w:shd w:fill="F5F5F5" w:val="clear"/>
            <w:tcMar>
              <w:top w:type="dxa" w:w="70"/>
              <w:left w:type="dxa" w:w="140"/>
              <w:bottom w:type="dxa" w:w="70"/>
              <w:right w:type="dxa" w:w="140"/>
            </w:tcMar>
          </w:tcPr>
          <w:p>
            <w:r>
              <w:rPr>
                <w:rFonts w:ascii="Arial" w:cs="Arial" w:eastAsia="Arial" w:hAnsi="Arial"/>
                <w:b w:val="false"/>
                <w:bCs w:val="false"/>
                <w:color w:val="4A4A4A"/>
                <w:sz w:val="19"/>
                <w:szCs w:val="19"/>
              </w:rPr>
              <w:t xml:space="preserve">Python, ML/RL (Scikit-learn, TensorFlow), full-stack (React/TypeScript, Flask, MongoDB), HL7-FHIR R4 implementation.</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b/>
                <w:bCs/>
                <w:color w:val="4A4A4A"/>
                <w:sz w:val="19"/>
                <w:szCs w:val="19"/>
              </w:rPr>
              <w:t xml:space="preserve">Clinical Advisory</w:t>
            </w:r>
          </w:p>
        </w:tc>
        <w:tc>
          <w:tcPr>
            <w:tcW w:type="dxa" w:w="7546"/>
            <w:tcBorders>
              <w:top w:val="single" w:color="BBCFE0" w:sz="1"/>
              <w:left w:val="single" w:color="BBCFE0" w:sz="1"/>
              <w:bottom w:val="single" w:color="BBCFE0" w:sz="1"/>
              <w:right w:val="single" w:color="BBCFE0" w:sz="1"/>
            </w:tcBorders>
            <w:shd w:fill="FFFFFF" w:val="clear"/>
            <w:tcMar>
              <w:top w:type="dxa" w:w="70"/>
              <w:left w:type="dxa" w:w="140"/>
              <w:bottom w:type="dxa" w:w="70"/>
              <w:right w:type="dxa" w:w="140"/>
            </w:tcMar>
          </w:tcPr>
          <w:p>
            <w:r>
              <w:rPr>
                <w:rFonts w:ascii="Arial" w:cs="Arial" w:eastAsia="Arial" w:hAnsi="Arial"/>
                <w:b w:val="false"/>
                <w:bCs w:val="false"/>
                <w:color w:val="4A4A4A"/>
                <w:sz w:val="19"/>
                <w:szCs w:val="19"/>
              </w:rPr>
              <w:t xml:space="preserve">Prof. Dr. Klaus Parhofer (LMU Munich, Medizinische Klinik IV) — thesis clinical supervisor, clinical utility assessor. Prof. Dr. Katarina Braune (HPI Potsdam / Charité) — prospective PhD supervisor (interview April 2026).</w:t>
            </w:r>
          </w:p>
        </w:tc>
      </w:tr>
    </w:tbl>
    <w:p>
      <w:pPr>
        <w:spacing w:after="0" w:before="60"/>
      </w:pPr>
      <w:r>
        <w:t xml:space="preserve"/>
      </w:r>
    </w:p>
    <w:p>
      <w:pPr>
        <w:pBdr>
          <w:top w:val="single" w:color="CCCCCC" w:sz="4" w:space="6"/>
        </w:pBdr>
        <w:spacing w:after="0" w:before="80"/>
      </w:pPr>
      <w:r>
        <w:rPr>
          <w:rFonts w:ascii="Arial" w:cs="Arial" w:eastAsia="Arial" w:hAnsi="Arial"/>
          <w:color w:val="888888"/>
          <w:sz w:val="17"/>
          <w:szCs w:val="17"/>
        </w:rPr>
        <w:t xml:space="preserve">GitHub: github.com/aliattia2  ·  LinkedIn: linkedin.com/in/ali-attia-74748bb4  ·  Prototype: dia-twin.vercel.app</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2026-04-07T18:29:41.997Z</dcterms:created>
  <dcterms:modified xsi:type="dcterms:W3CDTF">2026-04-07T18:29:41.998Z</dcterms:modified>
</cp:coreProperties>
</file>

<file path=docProps/custom.xml><?xml version="1.0" encoding="utf-8"?>
<Properties xmlns="http://schemas.openxmlformats.org/officeDocument/2006/custom-properties" xmlns:vt="http://schemas.openxmlformats.org/officeDocument/2006/docPropsVTypes"/>
</file>