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FDBF2">
      <w:pPr>
        <w:spacing w:before="240" w:after="60"/>
        <w:jc w:val="center"/>
      </w:pPr>
      <w:r>
        <w:rPr>
          <w:rFonts w:ascii="Arial" w:hAnsi="Arial" w:eastAsia="Arial" w:cs="Arial"/>
          <w:b/>
          <w:bCs/>
          <w:caps/>
          <w:color w:val="1A4F8A"/>
          <w:sz w:val="40"/>
          <w:szCs w:val="40"/>
        </w:rPr>
        <w:t>THESIS EXCERPT</w:t>
      </w:r>
    </w:p>
    <w:p w14:paraId="2C25D659">
      <w:pPr>
        <w:spacing w:before="0" w:after="20"/>
        <w:jc w:val="center"/>
      </w:pPr>
      <w:r>
        <w:rPr>
          <w:rFonts w:ascii="Arial" w:hAnsi="Arial" w:eastAsia="Arial" w:cs="Arial"/>
          <w:b/>
          <w:bCs/>
          <w:color w:val="222222"/>
          <w:sz w:val="26"/>
          <w:szCs w:val="26"/>
        </w:rPr>
        <w:t>Personalized Insulin Dosing Support Through Structured Data Visualization and Pattern Analysis:</w:t>
      </w:r>
    </w:p>
    <w:p w14:paraId="7F72A7B8">
      <w:pPr>
        <w:spacing w:before="0" w:after="200"/>
        <w:jc w:val="center"/>
      </w:pPr>
      <w:r>
        <w:rPr>
          <w:rFonts w:ascii="Arial" w:hAnsi="Arial" w:eastAsia="Arial" w:cs="Arial"/>
          <w:b/>
          <w:bCs/>
          <w:color w:val="222222"/>
          <w:sz w:val="26"/>
          <w:szCs w:val="26"/>
        </w:rPr>
        <w:t>A Foundation for ML and RL-Assisted Pharmacotherapy in Type 1 Diabetes</w:t>
      </w:r>
    </w:p>
    <w:p w14:paraId="773C9792">
      <w:pPr>
        <w:pBdr>
          <w:bottom w:val="single" w:color="2E75B6" w:sz="6" w:space="1"/>
        </w:pBdr>
        <w:spacing w:before="0" w:after="0"/>
      </w:pPr>
    </w:p>
    <w:p w14:paraId="040E818E">
      <w:pPr>
        <w:spacing w:before="120" w:after="120"/>
      </w:pPr>
    </w:p>
    <w:p w14:paraId="648701BC">
      <w:pPr>
        <w:spacing w:before="40" w:after="40"/>
      </w:pPr>
      <w:r>
        <w:rPr>
          <w:rFonts w:ascii="Arial" w:hAnsi="Arial" w:eastAsia="Arial" w:cs="Arial"/>
          <w:b/>
          <w:bCs/>
          <w:color w:val="1A4F8A"/>
          <w:sz w:val="20"/>
          <w:szCs w:val="20"/>
        </w:rPr>
        <w:t xml:space="preserve">Author: </w:t>
      </w:r>
      <w:r>
        <w:rPr>
          <w:rFonts w:ascii="Arial" w:hAnsi="Arial" w:eastAsia="Arial" w:cs="Arial"/>
          <w:color w:val="222222"/>
          <w:sz w:val="20"/>
          <w:szCs w:val="20"/>
        </w:rPr>
        <w:t>Ali Mohamed Mahmoud Attia  (Mat. No. 22303358)</w:t>
      </w:r>
    </w:p>
    <w:p w14:paraId="314E1E3A">
      <w:pPr>
        <w:spacing w:before="40" w:after="40"/>
      </w:pPr>
      <w:r>
        <w:rPr>
          <w:rFonts w:ascii="Arial" w:hAnsi="Arial" w:eastAsia="Arial" w:cs="Arial"/>
          <w:b/>
          <w:bCs/>
          <w:color w:val="1A4F8A"/>
          <w:sz w:val="20"/>
          <w:szCs w:val="20"/>
        </w:rPr>
        <w:t xml:space="preserve">Programme: </w:t>
      </w:r>
      <w:r>
        <w:rPr>
          <w:rFonts w:ascii="Arial" w:hAnsi="Arial" w:eastAsia="Arial" w:cs="Arial"/>
          <w:color w:val="222222"/>
          <w:sz w:val="20"/>
          <w:szCs w:val="20"/>
        </w:rPr>
        <w:t>Master of Science in Digital Health</w:t>
      </w:r>
    </w:p>
    <w:p w14:paraId="2F6E4B4C">
      <w:pPr>
        <w:spacing w:before="40" w:after="40"/>
      </w:pPr>
      <w:r>
        <w:rPr>
          <w:rFonts w:ascii="Arial" w:hAnsi="Arial" w:eastAsia="Arial" w:cs="Arial"/>
          <w:b/>
          <w:bCs/>
          <w:color w:val="1A4F8A"/>
          <w:sz w:val="20"/>
          <w:szCs w:val="20"/>
        </w:rPr>
        <w:t xml:space="preserve">Institution: </w:t>
      </w:r>
      <w:r>
        <w:rPr>
          <w:rFonts w:ascii="Arial" w:hAnsi="Arial" w:eastAsia="Arial" w:cs="Arial"/>
          <w:color w:val="222222"/>
          <w:sz w:val="20"/>
          <w:szCs w:val="20"/>
        </w:rPr>
        <w:t>Deggendorf Institute of Technology, European Campus Rottal-Inn</w:t>
      </w:r>
    </w:p>
    <w:p w14:paraId="315C298F">
      <w:pPr>
        <w:spacing w:before="40" w:after="40"/>
      </w:pPr>
      <w:r>
        <w:rPr>
          <w:rFonts w:ascii="Arial" w:hAnsi="Arial" w:eastAsia="Arial" w:cs="Arial"/>
          <w:b/>
          <w:bCs/>
          <w:color w:val="1A4F8A"/>
          <w:sz w:val="20"/>
          <w:szCs w:val="20"/>
        </w:rPr>
        <w:t xml:space="preserve">Submitted: </w:t>
      </w:r>
      <w:r>
        <w:rPr>
          <w:rFonts w:ascii="Arial" w:hAnsi="Arial" w:eastAsia="Arial" w:cs="Arial"/>
          <w:color w:val="222222"/>
          <w:sz w:val="20"/>
          <w:szCs w:val="20"/>
        </w:rPr>
        <w:t>01 July 2025</w:t>
      </w:r>
    </w:p>
    <w:p w14:paraId="3144CF28">
      <w:pPr>
        <w:spacing w:before="40" w:after="40"/>
      </w:pPr>
      <w:r>
        <w:rPr>
          <w:rFonts w:ascii="Arial" w:hAnsi="Arial" w:eastAsia="Arial" w:cs="Arial"/>
          <w:b/>
          <w:bCs/>
          <w:color w:val="1A4F8A"/>
          <w:sz w:val="20"/>
          <w:szCs w:val="20"/>
        </w:rPr>
        <w:t xml:space="preserve">Primary Supervisor: </w:t>
      </w:r>
      <w:r>
        <w:rPr>
          <w:rFonts w:ascii="Arial" w:hAnsi="Arial" w:eastAsia="Arial" w:cs="Arial"/>
          <w:color w:val="222222"/>
          <w:sz w:val="20"/>
          <w:szCs w:val="20"/>
        </w:rPr>
        <w:t>Prof. Dr. Mouzhi Ge</w:t>
      </w:r>
    </w:p>
    <w:p w14:paraId="4B6585E6">
      <w:pPr>
        <w:spacing w:before="40" w:after="40"/>
      </w:pPr>
      <w:r>
        <w:rPr>
          <w:rFonts w:ascii="Arial" w:hAnsi="Arial" w:eastAsia="Arial" w:cs="Arial"/>
          <w:b/>
          <w:bCs/>
          <w:color w:val="1A4F8A"/>
          <w:sz w:val="20"/>
          <w:szCs w:val="20"/>
        </w:rPr>
        <w:t xml:space="preserve">Co-Supervisor: </w:t>
      </w:r>
      <w:r>
        <w:rPr>
          <w:rFonts w:ascii="Arial" w:hAnsi="Arial" w:eastAsia="Arial" w:cs="Arial"/>
          <w:color w:val="222222"/>
          <w:sz w:val="20"/>
          <w:szCs w:val="20"/>
        </w:rPr>
        <w:t>Prof. Dr. Georgi Chaltikyan</w:t>
      </w:r>
    </w:p>
    <w:p w14:paraId="4A298E58">
      <w:pPr>
        <w:spacing w:before="40" w:after="40"/>
      </w:pPr>
      <w:r>
        <w:rPr>
          <w:rFonts w:ascii="Arial" w:hAnsi="Arial" w:eastAsia="Arial" w:cs="Arial"/>
          <w:b/>
          <w:bCs/>
          <w:color w:val="1A4F8A"/>
          <w:sz w:val="20"/>
          <w:szCs w:val="20"/>
        </w:rPr>
        <w:t xml:space="preserve">Clinical Supervisor: </w:t>
      </w:r>
      <w:r>
        <w:rPr>
          <w:rFonts w:ascii="Arial" w:hAnsi="Arial" w:eastAsia="Arial" w:cs="Arial"/>
          <w:color w:val="222222"/>
          <w:sz w:val="20"/>
          <w:szCs w:val="20"/>
        </w:rPr>
        <w:t>Prof. Dr. med. Klaus G. Parhofer</w:t>
      </w:r>
    </w:p>
    <w:p w14:paraId="6E439B1D">
      <w:pPr>
        <w:spacing w:before="120" w:after="60"/>
      </w:pPr>
    </w:p>
    <w:p w14:paraId="7E624820">
      <w:pPr>
        <w:spacing w:before="60" w:after="60"/>
      </w:pPr>
      <w:r>
        <w:rPr>
          <w:rFonts w:ascii="Arial" w:hAnsi="Arial" w:eastAsia="Arial" w:cs="Arial"/>
          <w:i/>
          <w:iCs/>
          <w:color w:val="555555"/>
          <w:sz w:val="18"/>
          <w:szCs w:val="18"/>
        </w:rPr>
        <w:t>Note: This document is a curated excerpt prepared for submission to the Hasso-Plattner-Institut PhD application. It includes the Abstract, Chapter 1 (Introduction), selected sections of Chapter 3 (System Design &amp; Physiological Modelling), and Chapter 5 (Conclusion). The complete thesis is available on request.</w:t>
      </w:r>
    </w:p>
    <w:p w14:paraId="543DA168">
      <w:pPr>
        <w:spacing w:before="120" w:after="0"/>
      </w:pPr>
    </w:p>
    <w:p w14:paraId="5BB4F241">
      <w:pPr>
        <w:pBdr>
          <w:bottom w:val="single" w:color="2E75B6" w:sz="6" w:space="1"/>
        </w:pBdr>
        <w:spacing w:before="0" w:after="0"/>
      </w:pPr>
    </w:p>
    <w:p w14:paraId="62958713">
      <w:pPr>
        <w:pStyle w:val="2"/>
        <w:spacing w:before="320" w:after="80"/>
      </w:pPr>
      <w:r>
        <w:rPr>
          <w:rFonts w:ascii="Arial" w:hAnsi="Arial" w:eastAsia="Arial" w:cs="Arial"/>
          <w:b/>
          <w:bCs/>
          <w:color w:val="1A4F8A"/>
          <w:sz w:val="28"/>
          <w:szCs w:val="28"/>
        </w:rPr>
        <w:t>Abstract</w:t>
      </w:r>
    </w:p>
    <w:p w14:paraId="40176376">
      <w:pPr>
        <w:spacing w:before="60" w:after="120" w:line="276" w:lineRule="auto"/>
        <w:jc w:val="both"/>
      </w:pPr>
      <w:r>
        <w:rPr>
          <w:rFonts w:ascii="Arial" w:hAnsi="Arial" w:eastAsia="Arial" w:cs="Arial"/>
          <w:color w:val="222222"/>
          <w:sz w:val="20"/>
          <w:szCs w:val="20"/>
        </w:rPr>
        <w:t xml:space="preserve">Type 1 Diabetes (T1D) represents one of the most demanding chronic conditions in modern medicine, requiring patients to make continuous, high-stakes decisions about insulin dosing under conditions of significant physiological variability. Existing management tools rely primarily on simplified carbohydrate-counting rules that fail to capture the full complexity of glucose-insulin dynamics </w:t>
      </w:r>
      <w:r>
        <w:rPr>
          <w:rFonts w:cs="Arial"/>
          <w:color w:val="222222"/>
          <w:sz w:val="20"/>
          <w:szCs w:val="20"/>
          <w:lang w:val="de-DE"/>
        </w:rPr>
        <w:t>,</w:t>
      </w:r>
      <w:r>
        <w:rPr>
          <w:rFonts w:ascii="Arial" w:hAnsi="Arial" w:eastAsia="Arial" w:cs="Arial"/>
          <w:color w:val="222222"/>
          <w:sz w:val="20"/>
          <w:szCs w:val="20"/>
        </w:rPr>
        <w:t xml:space="preserve"> including the effects of macronutrient composition, meal timing, physical activity, circadian insulin sensitivity variation, and compounding pharmacodynamic effects over time.</w:t>
      </w:r>
    </w:p>
    <w:p w14:paraId="39AC974A">
      <w:pPr>
        <w:spacing w:before="60" w:after="120" w:line="276" w:lineRule="auto"/>
        <w:jc w:val="both"/>
      </w:pPr>
      <w:r>
        <w:rPr>
          <w:rFonts w:ascii="Arial" w:hAnsi="Arial" w:eastAsia="Arial" w:cs="Arial"/>
          <w:color w:val="222222"/>
          <w:sz w:val="20"/>
          <w:szCs w:val="20"/>
        </w:rPr>
        <w:t xml:space="preserve">This thesis presents </w:t>
      </w:r>
      <w:r>
        <w:rPr>
          <w:rFonts w:cs="Arial"/>
          <w:color w:val="222222"/>
          <w:sz w:val="20"/>
          <w:szCs w:val="20"/>
          <w:lang w:val="de-DE"/>
        </w:rPr>
        <w:t>The Model</w:t>
      </w:r>
      <w:r>
        <w:rPr>
          <w:rFonts w:ascii="Arial" w:hAnsi="Arial" w:eastAsia="Arial" w:cs="Arial"/>
          <w:color w:val="222222"/>
          <w:sz w:val="20"/>
          <w:szCs w:val="20"/>
        </w:rPr>
        <w:t xml:space="preserve">, a modular clinical decision-support platform that integrates a physiologically grounded pharmacodynamic engine, real-time glucose estimation, continuous glucose monitor (CGM) integration, and a multi-role clinical interface into a unified digital platform. The core physiological model employs biexponential curves </w:t>
      </w:r>
      <w:r>
        <w:rPr>
          <w:rFonts w:cs="Arial"/>
          <w:color w:val="222222"/>
          <w:sz w:val="20"/>
          <w:szCs w:val="20"/>
          <w:lang w:val="de-DE"/>
        </w:rPr>
        <w:t>,</w:t>
      </w:r>
      <w:r>
        <w:rPr>
          <w:rFonts w:ascii="Arial" w:hAnsi="Arial" w:eastAsia="Arial" w:cs="Arial"/>
          <w:color w:val="222222"/>
          <w:sz w:val="20"/>
          <w:szCs w:val="20"/>
        </w:rPr>
        <w:t xml:space="preserve"> parameterised against the German S3 Clinical Guideline (AWMF-Registry 057-013) </w:t>
      </w:r>
      <w:r>
        <w:rPr>
          <w:rFonts w:cs="Arial"/>
          <w:color w:val="222222"/>
          <w:sz w:val="20"/>
          <w:szCs w:val="20"/>
          <w:lang w:val="de-DE"/>
        </w:rPr>
        <w:t>,</w:t>
      </w:r>
      <w:r>
        <w:rPr>
          <w:rFonts w:ascii="Arial" w:hAnsi="Arial" w:eastAsia="Arial" w:cs="Arial"/>
          <w:color w:val="222222"/>
          <w:sz w:val="20"/>
          <w:szCs w:val="20"/>
        </w:rPr>
        <w:t xml:space="preserve"> to model both carbohydrate absorption and insulin activity with biophysical accuracy across multiple insulin types and five absorption profiles.</w:t>
      </w:r>
    </w:p>
    <w:p w14:paraId="5D9359F7">
      <w:pPr>
        <w:spacing w:before="60" w:after="120" w:line="276" w:lineRule="auto"/>
        <w:jc w:val="both"/>
      </w:pPr>
      <w:r>
        <w:rPr>
          <w:rFonts w:ascii="Arial" w:hAnsi="Arial" w:eastAsia="Arial" w:cs="Arial"/>
          <w:color w:val="222222"/>
          <w:sz w:val="20"/>
          <w:szCs w:val="20"/>
        </w:rPr>
        <w:t>The platform implements a multi-factor personalised insulin dosing algorithm incorporating insulin-on-board (IOB), meal-on-board (MOB), protein and fat delayed-absorption corrections, time-of-day insulin sensitivity factors, activity coefficients, and disease-specific multipliers. A cumulative baseline tracking system models the T1D physiological reality that glucose effects stack and persist rather than self-correct. Technical evaluation demonstrated system stability, sub-second calculation latency, and scalability under concurrent load. Clinical expert review by a board-certified diabetologist confirmed the appropriateness of the recommendation logic and explainability framework.</w:t>
      </w:r>
    </w:p>
    <w:p w14:paraId="2ACDF7DC">
      <w:pPr>
        <w:spacing w:before="60" w:after="120" w:line="276" w:lineRule="auto"/>
        <w:jc w:val="both"/>
      </w:pPr>
      <w:r>
        <w:rPr>
          <w:rFonts w:ascii="Arial" w:hAnsi="Arial" w:eastAsia="Arial" w:cs="Arial"/>
          <w:color w:val="222222"/>
          <w:sz w:val="20"/>
          <w:szCs w:val="20"/>
        </w:rPr>
        <w:t>The data architecture is explicitly designed as a foundation for supervised and reinforcement learning integration, providing structured, high-quality datasets suitable for adaptive insulin dosing policy learning. This thesis establishes the theoretical and technical groundwork for a full digital twin of T1D physiology, with identified extensions including hormonal and menstrual cycle modelling, stress and sleep state detection, and RL-based personalised AID optimisation.</w:t>
      </w:r>
    </w:p>
    <w:p w14:paraId="6BA8E1EB">
      <w:pPr>
        <w:spacing w:before="60" w:after="0"/>
      </w:pPr>
    </w:p>
    <w:p w14:paraId="01969DE6">
      <w:pPr>
        <w:spacing w:before="60" w:after="80"/>
      </w:pPr>
      <w:r>
        <w:rPr>
          <w:rFonts w:ascii="Arial" w:hAnsi="Arial" w:eastAsia="Arial" w:cs="Arial"/>
          <w:b/>
          <w:bCs/>
          <w:color w:val="2E75B6"/>
          <w:sz w:val="18"/>
          <w:szCs w:val="18"/>
        </w:rPr>
        <w:t xml:space="preserve">Keywords: </w:t>
      </w:r>
      <w:r>
        <w:rPr>
          <w:rFonts w:ascii="Arial" w:hAnsi="Arial" w:eastAsia="Arial" w:cs="Arial"/>
          <w:i/>
          <w:iCs/>
          <w:color w:val="555555"/>
          <w:sz w:val="18"/>
          <w:szCs w:val="18"/>
        </w:rPr>
        <w:t>Type 1 Diabetes, Digital Twin, Insulin Pharmacodynamics, Machine Learning, Reinforcement Learning, CGM Integration, Personalised Medicine, AID Systems</w:t>
      </w:r>
    </w:p>
    <w:p w14:paraId="5FB91DFE">
      <w:pPr>
        <w:pBdr>
          <w:bottom w:val="single" w:color="2E75B6" w:sz="6" w:space="1"/>
        </w:pBdr>
        <w:spacing w:before="0" w:after="0"/>
      </w:pPr>
    </w:p>
    <w:p w14:paraId="6F3E2DD2">
      <w:pPr>
        <w:pStyle w:val="2"/>
        <w:spacing w:before="320" w:after="80"/>
      </w:pPr>
      <w:r>
        <w:rPr>
          <w:rFonts w:ascii="Arial" w:hAnsi="Arial" w:eastAsia="Arial" w:cs="Arial"/>
          <w:b/>
          <w:bCs/>
          <w:color w:val="1A4F8A"/>
          <w:sz w:val="28"/>
          <w:szCs w:val="28"/>
        </w:rPr>
        <w:t>Chapter 1: Introduction</w:t>
      </w:r>
    </w:p>
    <w:p w14:paraId="6A7AD953">
      <w:pPr>
        <w:pStyle w:val="3"/>
        <w:spacing w:before="240" w:after="60"/>
      </w:pPr>
      <w:r>
        <w:rPr>
          <w:rFonts w:ascii="Arial" w:hAnsi="Arial" w:eastAsia="Arial" w:cs="Arial"/>
          <w:b/>
          <w:bCs/>
          <w:color w:val="2E75B6"/>
          <w:sz w:val="22"/>
          <w:szCs w:val="22"/>
        </w:rPr>
        <w:t>1.1 Background</w:t>
      </w:r>
    </w:p>
    <w:p w14:paraId="7E8F8870">
      <w:pPr>
        <w:spacing w:before="60" w:after="120" w:line="276" w:lineRule="auto"/>
        <w:jc w:val="both"/>
      </w:pPr>
      <w:r>
        <w:rPr>
          <w:rFonts w:ascii="Arial" w:hAnsi="Arial" w:eastAsia="Arial" w:cs="Arial"/>
          <w:color w:val="222222"/>
          <w:sz w:val="20"/>
          <w:szCs w:val="20"/>
        </w:rPr>
        <w:t>Diabetes mellitus is a chronic metabolic illness that has been known to humanity for millennia, yet remains one of the most serious public health challenges of modern times. The global prevalence of diabetes continues to increase at an alarming rate, with projections indicating further growth over the coming decades. Among the various types of diabetes, Type 1 Diabetes (T1D) occupies a special position: it is an autoimmune condition involving the destruction of pancreatic beta cells, resulting in absolute absence of endogenous insulin production. Unlike Type 2 diabetes, T1D typically presents with rapidly occurring symptoms and is frequently diagnosed in childhood or adolescence, demanding lifelong intensive management.</w:t>
      </w:r>
    </w:p>
    <w:p w14:paraId="666A12E8">
      <w:pPr>
        <w:spacing w:before="60" w:after="120" w:line="276" w:lineRule="auto"/>
        <w:jc w:val="both"/>
      </w:pPr>
      <w:r>
        <w:rPr>
          <w:rFonts w:ascii="Arial" w:hAnsi="Arial" w:eastAsia="Arial" w:cs="Arial"/>
          <w:color w:val="222222"/>
          <w:sz w:val="20"/>
          <w:szCs w:val="20"/>
        </w:rPr>
        <w:t>Living with T1D involves far more than daily injections or pump therapy. Patients must continuously monitor blood glucose levels, adjust insulin regimens in response to meals and physical activity, and remain vigilant against acute complications such as hypoglycaemia and diabetic ketoacidosis. The complexity of T1D management is further elevated by the fact that insulin requirements can change dramatically depending on stress, illness, hormonal changes, and the absorption characteristics of specific foods. This variability creates persistent uncertainty and psychological burden for patients and their families. Even with advances in insulin formulations, delivery devices, and glucose monitoring technology, a significant proportion of people with T1D fail to achieve or maintain optimal glycaemic control.</w:t>
      </w:r>
    </w:p>
    <w:p w14:paraId="7E62EA11">
      <w:pPr>
        <w:spacing w:before="60" w:after="120" w:line="276" w:lineRule="auto"/>
        <w:jc w:val="both"/>
      </w:pPr>
      <w:r>
        <w:rPr>
          <w:rFonts w:ascii="Arial" w:hAnsi="Arial" w:eastAsia="Arial" w:cs="Arial"/>
          <w:color w:val="222222"/>
          <w:sz w:val="20"/>
          <w:szCs w:val="20"/>
        </w:rPr>
        <w:t xml:space="preserve">The economic cost of diabetes management is substantial. T1D treatment involves both direct costs </w:t>
      </w:r>
      <w:r>
        <w:rPr>
          <w:rFonts w:cs="Arial"/>
          <w:color w:val="222222"/>
          <w:sz w:val="20"/>
          <w:szCs w:val="20"/>
          <w:lang w:val="de-DE"/>
        </w:rPr>
        <w:t>,</w:t>
      </w:r>
      <w:r>
        <w:rPr>
          <w:rFonts w:ascii="Arial" w:hAnsi="Arial" w:eastAsia="Arial" w:cs="Arial"/>
          <w:color w:val="222222"/>
          <w:sz w:val="20"/>
          <w:szCs w:val="20"/>
        </w:rPr>
        <w:t xml:space="preserve"> insulin, monitoring devices, and medical consultations </w:t>
      </w:r>
      <w:r>
        <w:rPr>
          <w:rFonts w:cs="Arial"/>
          <w:color w:val="222222"/>
          <w:sz w:val="20"/>
          <w:szCs w:val="20"/>
          <w:lang w:val="de-DE"/>
        </w:rPr>
        <w:t>,</w:t>
      </w:r>
      <w:r>
        <w:rPr>
          <w:rFonts w:ascii="Arial" w:hAnsi="Arial" w:eastAsia="Arial" w:cs="Arial"/>
          <w:color w:val="222222"/>
          <w:sz w:val="20"/>
          <w:szCs w:val="20"/>
        </w:rPr>
        <w:t xml:space="preserve"> and indirect costs including lost productivity, disability, and premature mortality. Advanced technologies such as CGM systems and automated insulin delivery (AID) pumps have improved outcomes for many, but access inequalities persist across socioeconomic and geographic contexts. The psychological toll is equally significant, with a large proportion of T1D patients reporting diabetes distress, anxiety, and depression attributable to the exhausting demands of self-management.</w:t>
      </w:r>
    </w:p>
    <w:p w14:paraId="103DA443">
      <w:pPr>
        <w:pStyle w:val="3"/>
        <w:spacing w:before="240" w:after="60"/>
      </w:pPr>
      <w:r>
        <w:rPr>
          <w:rFonts w:ascii="Arial" w:hAnsi="Arial" w:eastAsia="Arial" w:cs="Arial"/>
          <w:b/>
          <w:bCs/>
          <w:color w:val="2E75B6"/>
          <w:sz w:val="22"/>
          <w:szCs w:val="22"/>
        </w:rPr>
        <w:t>1.2 Motivation</w:t>
      </w:r>
    </w:p>
    <w:p w14:paraId="16AB093C">
      <w:pPr>
        <w:spacing w:before="60" w:after="120" w:line="276" w:lineRule="auto"/>
        <w:jc w:val="both"/>
      </w:pPr>
      <w:r>
        <w:rPr>
          <w:rFonts w:ascii="Arial" w:hAnsi="Arial" w:eastAsia="Arial" w:cs="Arial"/>
          <w:color w:val="222222"/>
          <w:sz w:val="20"/>
          <w:szCs w:val="20"/>
        </w:rPr>
        <w:t>The motivation behind this research arises from the gap between the theoretical capabilities of advanced diabetes technology and the practical realities of daily T1D management. Although CGMs and insulin pumps have achieved significant penetration in high-resource contexts, their usage is far from universal, and they introduce new complexities: device calibration, data overload, and the need for ongoing technical support. In practice, many patients still rely on manual data entry, memory, and intuition to make critical insulin dosing decisions.</w:t>
      </w:r>
    </w:p>
    <w:p w14:paraId="670184DF">
      <w:pPr>
        <w:spacing w:before="60" w:after="120" w:line="276" w:lineRule="auto"/>
        <w:jc w:val="both"/>
      </w:pPr>
      <w:r>
        <w:rPr>
          <w:rFonts w:ascii="Arial" w:hAnsi="Arial" w:eastAsia="Arial" w:cs="Arial"/>
          <w:color w:val="222222"/>
          <w:sz w:val="20"/>
          <w:szCs w:val="20"/>
        </w:rPr>
        <w:t>Consider the daily experience of a young adult with T1D: an active student with access to a CGM and modern insulin pump who nonetheless struggles to predict and respond to the interacting effects of food composition, exercise, stress, and hormonal variation on her blood glucose. Template algorithms and fixed dosing protocols frequently fail to capture this complexity. The invisible cognitive and emotional labour of continuous self-management</w:t>
      </w:r>
      <w:r>
        <w:rPr>
          <w:rFonts w:hint="default" w:cs="Arial"/>
          <w:color w:val="222222"/>
          <w:sz w:val="20"/>
          <w:szCs w:val="20"/>
          <w:lang w:val="de-DE"/>
        </w:rPr>
        <w:t>,</w:t>
      </w:r>
      <w:r>
        <w:rPr>
          <w:rFonts w:ascii="Arial" w:hAnsi="Arial" w:eastAsia="Arial" w:cs="Arial"/>
          <w:color w:val="222222"/>
          <w:sz w:val="20"/>
          <w:szCs w:val="20"/>
        </w:rPr>
        <w:t xml:space="preserve"> the fear of complications, the mental overhead of every meal and activity decision </w:t>
      </w:r>
      <w:r>
        <w:rPr>
          <w:rFonts w:cs="Arial"/>
          <w:color w:val="222222"/>
          <w:sz w:val="20"/>
          <w:szCs w:val="20"/>
          <w:lang w:val="de-DE"/>
        </w:rPr>
        <w:t>,</w:t>
      </w:r>
      <w:r>
        <w:rPr>
          <w:rFonts w:ascii="Arial" w:hAnsi="Arial" w:eastAsia="Arial" w:cs="Arial"/>
          <w:color w:val="222222"/>
          <w:sz w:val="20"/>
          <w:szCs w:val="20"/>
        </w:rPr>
        <w:t xml:space="preserve"> can become overwhelming. This experience is not exceptional: it is shared by millions of T1D patients worldwide who encounter formidable obstacles to optimal care despite recent technological advances.</w:t>
      </w:r>
    </w:p>
    <w:p w14:paraId="486D8F06">
      <w:pPr>
        <w:spacing w:before="60" w:after="120" w:line="276" w:lineRule="auto"/>
        <w:jc w:val="both"/>
      </w:pPr>
      <w:r>
        <w:rPr>
          <w:rFonts w:ascii="Arial" w:hAnsi="Arial" w:eastAsia="Arial" w:cs="Arial"/>
          <w:color w:val="222222"/>
          <w:sz w:val="20"/>
          <w:szCs w:val="20"/>
        </w:rPr>
        <w:t xml:space="preserve">These real-world realities motivate the development of a new generation of diabetes management tools: platforms that are not merely technologically sophisticated, but that adapt to the actual dynamics of daily life, scale across different resource settings, and empower both patients and clinicians. This research is driven by the goal of building a fully digital ecosystem that combines detailed, individualised data capture with transparent, clinically applicable guidance </w:t>
      </w:r>
      <w:r>
        <w:rPr>
          <w:rFonts w:cs="Arial"/>
          <w:color w:val="222222"/>
          <w:sz w:val="20"/>
          <w:szCs w:val="20"/>
          <w:lang w:val="de-DE"/>
        </w:rPr>
        <w:t>,</w:t>
      </w:r>
      <w:r>
        <w:rPr>
          <w:rFonts w:ascii="Arial" w:hAnsi="Arial" w:eastAsia="Arial" w:cs="Arial"/>
          <w:color w:val="222222"/>
          <w:sz w:val="20"/>
          <w:szCs w:val="20"/>
        </w:rPr>
        <w:t xml:space="preserve"> within a modular architecture capable of evolving alongside advances in artificial intelligence.</w:t>
      </w:r>
    </w:p>
    <w:p w14:paraId="5985B518">
      <w:pPr>
        <w:pStyle w:val="3"/>
        <w:spacing w:before="240" w:after="60"/>
      </w:pPr>
      <w:r>
        <w:rPr>
          <w:rFonts w:ascii="Arial" w:hAnsi="Arial" w:eastAsia="Arial" w:cs="Arial"/>
          <w:b/>
          <w:bCs/>
          <w:color w:val="2E75B6"/>
          <w:sz w:val="22"/>
          <w:szCs w:val="22"/>
        </w:rPr>
        <w:t>1.3 Research Question and Objectives</w:t>
      </w:r>
    </w:p>
    <w:p w14:paraId="71951985">
      <w:pPr>
        <w:spacing w:before="60" w:after="120" w:line="276" w:lineRule="auto"/>
        <w:jc w:val="both"/>
      </w:pPr>
      <w:r>
        <w:rPr>
          <w:rFonts w:ascii="Arial" w:hAnsi="Arial" w:eastAsia="Arial" w:cs="Arial"/>
          <w:color w:val="222222"/>
          <w:sz w:val="20"/>
          <w:szCs w:val="20"/>
        </w:rPr>
        <w:t>The central research question guiding this thesis is:</w:t>
      </w:r>
    </w:p>
    <w:p w14:paraId="07958906">
      <w:pPr>
        <w:spacing w:before="120" w:after="120"/>
        <w:ind w:left="720" w:right="720"/>
        <w:jc w:val="left"/>
      </w:pPr>
      <w:r>
        <w:rPr>
          <w:rFonts w:ascii="Arial" w:hAnsi="Arial" w:eastAsia="Arial" w:cs="Arial"/>
          <w:i/>
          <w:iCs/>
          <w:color w:val="2E75B6"/>
          <w:sz w:val="20"/>
          <w:szCs w:val="20"/>
        </w:rPr>
        <w:t>How can a comprehensive digital platform, integrating personalised algorithms, advanced data visualisation, and machine learning readiness, improve insulin dosing accuracy and diabetes management outcomes for individuals with Type 1 diabetes, while maintaining clinical safety and physician oversight?</w:t>
      </w:r>
    </w:p>
    <w:p w14:paraId="3F91CAC4">
      <w:pPr>
        <w:spacing w:before="60" w:after="120" w:line="276" w:lineRule="auto"/>
        <w:jc w:val="both"/>
      </w:pPr>
      <w:r>
        <w:rPr>
          <w:rFonts w:ascii="Arial" w:hAnsi="Arial" w:eastAsia="Arial" w:cs="Arial"/>
          <w:color w:val="222222"/>
          <w:sz w:val="20"/>
          <w:szCs w:val="20"/>
        </w:rPr>
        <w:t>The study defines five interdependent objectives:</w:t>
      </w:r>
    </w:p>
    <w:p w14:paraId="046D71BA">
      <w:pPr>
        <w:pStyle w:val="16"/>
        <w:numPr>
          <w:ilvl w:val="0"/>
          <w:numId w:val="1"/>
        </w:numPr>
        <w:spacing w:before="40" w:after="40" w:line="276" w:lineRule="auto"/>
      </w:pPr>
      <w:r>
        <w:rPr>
          <w:rFonts w:ascii="Arial" w:hAnsi="Arial" w:eastAsia="Arial" w:cs="Arial"/>
          <w:color w:val="222222"/>
          <w:sz w:val="20"/>
          <w:szCs w:val="20"/>
        </w:rPr>
        <w:t>Develop a modular, expandable digital platform enabling patients to record detailed data on meals, insulin doses, physical activity, and blood glucose in an intuitive and low-burden manner.</w:t>
      </w:r>
    </w:p>
    <w:p w14:paraId="268D4539">
      <w:pPr>
        <w:pStyle w:val="16"/>
        <w:numPr>
          <w:ilvl w:val="0"/>
          <w:numId w:val="1"/>
        </w:numPr>
        <w:spacing w:before="40" w:after="40" w:line="276" w:lineRule="auto"/>
      </w:pPr>
      <w:r>
        <w:rPr>
          <w:rFonts w:ascii="Arial" w:hAnsi="Arial" w:eastAsia="Arial" w:cs="Arial"/>
          <w:color w:val="222222"/>
          <w:sz w:val="20"/>
          <w:szCs w:val="20"/>
        </w:rPr>
        <w:t xml:space="preserve">Incorporate extensive physiological modelling that transcends traditional carbohydrate counting to capture the effects of </w:t>
      </w:r>
      <w:r>
        <w:rPr>
          <w:rFonts w:cs="Arial"/>
          <w:color w:val="222222"/>
          <w:sz w:val="20"/>
          <w:szCs w:val="20"/>
          <w:lang w:val="de-DE"/>
        </w:rPr>
        <w:t>macro-nutrient</w:t>
      </w:r>
      <w:r>
        <w:rPr>
          <w:rFonts w:ascii="Arial" w:hAnsi="Arial" w:eastAsia="Arial" w:cs="Arial"/>
          <w:color w:val="222222"/>
          <w:sz w:val="20"/>
          <w:szCs w:val="20"/>
        </w:rPr>
        <w:t xml:space="preserve"> composition, meal timing, activity, and inter-individual variation in insulin sensitivity.</w:t>
      </w:r>
    </w:p>
    <w:p w14:paraId="74038E3C">
      <w:pPr>
        <w:pStyle w:val="16"/>
        <w:numPr>
          <w:ilvl w:val="0"/>
          <w:numId w:val="1"/>
        </w:numPr>
        <w:spacing w:before="40" w:after="40" w:line="276" w:lineRule="auto"/>
      </w:pPr>
      <w:r>
        <w:rPr>
          <w:rFonts w:ascii="Arial" w:hAnsi="Arial" w:eastAsia="Arial" w:cs="Arial"/>
          <w:color w:val="222222"/>
          <w:sz w:val="20"/>
          <w:szCs w:val="20"/>
        </w:rPr>
        <w:t>Provide safe, explainable insulin dosing recommendations, ensuring that both patients and clinicians can interrogate the reasoning behind every suggestion.</w:t>
      </w:r>
    </w:p>
    <w:p w14:paraId="2F41EBBD">
      <w:pPr>
        <w:pStyle w:val="16"/>
        <w:numPr>
          <w:ilvl w:val="0"/>
          <w:numId w:val="1"/>
        </w:numPr>
        <w:spacing w:before="40" w:after="40" w:line="276" w:lineRule="auto"/>
      </w:pPr>
      <w:r>
        <w:rPr>
          <w:rFonts w:ascii="Arial" w:hAnsi="Arial" w:eastAsia="Arial" w:cs="Arial"/>
          <w:color w:val="222222"/>
          <w:sz w:val="20"/>
          <w:szCs w:val="20"/>
        </w:rPr>
        <w:t>Architect the data infrastructure to support future integration of machine learning and reinforcement learning algorithms, enabling evolution from rule-based to adaptive data-driven decision support.</w:t>
      </w:r>
    </w:p>
    <w:p w14:paraId="24A837A5">
      <w:pPr>
        <w:pStyle w:val="16"/>
        <w:numPr>
          <w:ilvl w:val="0"/>
          <w:numId w:val="1"/>
        </w:numPr>
        <w:spacing w:before="40" w:after="40" w:line="276" w:lineRule="auto"/>
      </w:pPr>
      <w:r>
        <w:rPr>
          <w:rFonts w:ascii="Arial" w:hAnsi="Arial" w:eastAsia="Arial" w:cs="Arial"/>
          <w:color w:val="222222"/>
          <w:sz w:val="20"/>
          <w:szCs w:val="20"/>
        </w:rPr>
        <w:t xml:space="preserve">Conduct rigorous technical, clinical, and user experience evaluation to assess system performance, scalability, and real-world feasibility </w:t>
      </w:r>
      <w:r>
        <w:rPr>
          <w:rFonts w:cs="Arial"/>
          <w:color w:val="222222"/>
          <w:sz w:val="20"/>
          <w:szCs w:val="20"/>
          <w:lang w:val="de-DE"/>
        </w:rPr>
        <w:t>,</w:t>
      </w:r>
      <w:r>
        <w:rPr>
          <w:rFonts w:ascii="Arial" w:hAnsi="Arial" w:eastAsia="Arial" w:cs="Arial"/>
          <w:color w:val="222222"/>
          <w:sz w:val="20"/>
          <w:szCs w:val="20"/>
        </w:rPr>
        <w:t xml:space="preserve"> with particular attention to physician oversight and clinical accountability.</w:t>
      </w:r>
    </w:p>
    <w:p w14:paraId="2F0D7384">
      <w:pPr>
        <w:pBdr>
          <w:bottom w:val="single" w:color="2E75B6" w:sz="6" w:space="1"/>
        </w:pBdr>
        <w:spacing w:before="0" w:after="0"/>
      </w:pPr>
    </w:p>
    <w:p w14:paraId="0576352B">
      <w:pPr>
        <w:pStyle w:val="2"/>
        <w:spacing w:before="320" w:after="80"/>
      </w:pPr>
      <w:r>
        <w:rPr>
          <w:rFonts w:ascii="Arial" w:hAnsi="Arial" w:eastAsia="Arial" w:cs="Arial"/>
          <w:b/>
          <w:bCs/>
          <w:color w:val="1A4F8A"/>
          <w:sz w:val="28"/>
          <w:szCs w:val="28"/>
        </w:rPr>
        <w:t>Chapter 3 Excerpt: Physiological Modelling &amp; System Architecture</w:t>
      </w:r>
    </w:p>
    <w:p w14:paraId="6FC5598C">
      <w:pPr>
        <w:spacing w:before="40" w:after="120"/>
      </w:pPr>
      <w:r>
        <w:rPr>
          <w:rFonts w:ascii="Arial" w:hAnsi="Arial" w:eastAsia="Arial" w:cs="Arial"/>
          <w:i/>
          <w:iCs/>
          <w:color w:val="555555"/>
          <w:sz w:val="18"/>
          <w:szCs w:val="18"/>
        </w:rPr>
        <w:t>This excerpt presents the core physiological modelling approaches and system architecture most relevant to digital twin simulation work. The full chapter covers system design philosophy, data management architecture, clinical oversight mechanisms, and future AI integration architecture.</w:t>
      </w:r>
    </w:p>
    <w:p w14:paraId="0C0410F6">
      <w:pPr>
        <w:pStyle w:val="3"/>
        <w:spacing w:before="240" w:after="60"/>
      </w:pPr>
      <w:r>
        <w:rPr>
          <w:rFonts w:ascii="Arial" w:hAnsi="Arial" w:eastAsia="Arial" w:cs="Arial"/>
          <w:b/>
          <w:bCs/>
          <w:color w:val="2E75B6"/>
          <w:sz w:val="22"/>
          <w:szCs w:val="22"/>
        </w:rPr>
        <w:t>3.7.1 Mathematical Models for Insulin Dynamics</w:t>
      </w:r>
    </w:p>
    <w:p w14:paraId="6E0BCD96">
      <w:pPr>
        <w:spacing w:before="60" w:after="120" w:line="276" w:lineRule="auto"/>
        <w:jc w:val="both"/>
      </w:pPr>
      <w:r>
        <w:rPr>
          <w:rFonts w:ascii="Arial" w:hAnsi="Arial" w:eastAsia="Arial" w:cs="Arial"/>
          <w:color w:val="222222"/>
          <w:sz w:val="20"/>
          <w:szCs w:val="20"/>
        </w:rPr>
        <w:t xml:space="preserve">The pharmacodynamic engine underpinning the platform models insulin activity using </w:t>
      </w:r>
      <w:r>
        <w:rPr>
          <w:rFonts w:cs="Arial"/>
          <w:color w:val="222222"/>
          <w:sz w:val="20"/>
          <w:szCs w:val="20"/>
          <w:lang w:val="de-DE"/>
        </w:rPr>
        <w:t>bi-exponential</w:t>
      </w:r>
      <w:r>
        <w:rPr>
          <w:rFonts w:ascii="Arial" w:hAnsi="Arial" w:eastAsia="Arial" w:cs="Arial"/>
          <w:color w:val="222222"/>
          <w:sz w:val="20"/>
          <w:szCs w:val="20"/>
        </w:rPr>
        <w:t xml:space="preserve"> curves parameterised from the German S3 Clinical Guideline for T1D Therapy (Deutsche Diabetes Gesellschaft, 2024; AWMF-Registry 057-013, Version 5.0). This covers both rapid-acting analogues (e.g., lispro/Humalog, aspart/NovoRapid) and long-acting basal insulins (e.g., glargine/Lantus, detemir/Levemir, degludec/Tresiba).</w:t>
      </w:r>
    </w:p>
    <w:p w14:paraId="010ECDF6">
      <w:pPr>
        <w:spacing w:before="60" w:after="120" w:line="276" w:lineRule="auto"/>
        <w:jc w:val="both"/>
      </w:pPr>
      <w:r>
        <w:rPr>
          <w:rFonts w:ascii="Arial" w:hAnsi="Arial" w:eastAsia="Arial" w:cs="Arial"/>
          <w:color w:val="222222"/>
          <w:sz w:val="20"/>
          <w:szCs w:val="20"/>
        </w:rPr>
        <w:t xml:space="preserve">For rapid-acting insulins, the </w:t>
      </w:r>
      <w:r>
        <w:rPr>
          <w:rFonts w:cs="Arial"/>
          <w:color w:val="222222"/>
          <w:sz w:val="20"/>
          <w:szCs w:val="20"/>
          <w:lang w:val="de-DE"/>
        </w:rPr>
        <w:t>bi-exponential</w:t>
      </w:r>
      <w:r>
        <w:rPr>
          <w:rFonts w:ascii="Arial" w:hAnsi="Arial" w:eastAsia="Arial" w:cs="Arial"/>
          <w:color w:val="222222"/>
          <w:sz w:val="20"/>
          <w:szCs w:val="20"/>
        </w:rPr>
        <w:t xml:space="preserve"> model captures the characteristic three-phase curve:</w:t>
      </w:r>
    </w:p>
    <w:p w14:paraId="6B8FF741">
      <w:pPr>
        <w:pStyle w:val="16"/>
        <w:numPr>
          <w:ilvl w:val="0"/>
          <w:numId w:val="1"/>
        </w:numPr>
        <w:spacing w:before="40" w:after="40" w:line="276" w:lineRule="auto"/>
      </w:pPr>
      <w:r>
        <w:rPr>
          <w:rFonts w:ascii="Arial" w:hAnsi="Arial" w:eastAsia="Arial" w:cs="Arial"/>
          <w:color w:val="222222"/>
          <w:sz w:val="20"/>
          <w:szCs w:val="20"/>
        </w:rPr>
        <w:t>Phase 1 (Onset): initial absorption lag from subcutaneous depot</w:t>
      </w:r>
    </w:p>
    <w:p w14:paraId="4C5E5814">
      <w:pPr>
        <w:pStyle w:val="16"/>
        <w:numPr>
          <w:ilvl w:val="0"/>
          <w:numId w:val="1"/>
        </w:numPr>
        <w:spacing w:before="40" w:after="40" w:line="276" w:lineRule="auto"/>
      </w:pPr>
      <w:r>
        <w:rPr>
          <w:rFonts w:ascii="Arial" w:hAnsi="Arial" w:eastAsia="Arial" w:cs="Arial"/>
          <w:color w:val="222222"/>
          <w:sz w:val="20"/>
          <w:szCs w:val="20"/>
        </w:rPr>
        <w:t>Phase 2 (Peak): swell to maximum glucose-lowering effect</w:t>
      </w:r>
    </w:p>
    <w:p w14:paraId="08E9FD1B">
      <w:pPr>
        <w:pStyle w:val="16"/>
        <w:numPr>
          <w:ilvl w:val="0"/>
          <w:numId w:val="1"/>
        </w:numPr>
        <w:spacing w:before="40" w:after="40" w:line="276" w:lineRule="auto"/>
      </w:pPr>
      <w:r>
        <w:rPr>
          <w:rFonts w:ascii="Arial" w:hAnsi="Arial" w:eastAsia="Arial" w:cs="Arial"/>
          <w:color w:val="222222"/>
          <w:sz w:val="20"/>
          <w:szCs w:val="20"/>
        </w:rPr>
        <w:t>Phase 3 (Decay): gradual trailing tail of residual activity</w:t>
      </w:r>
    </w:p>
    <w:p w14:paraId="00643437">
      <w:pPr>
        <w:spacing w:before="60" w:after="120" w:line="276" w:lineRule="auto"/>
        <w:jc w:val="both"/>
      </w:pPr>
      <w:r>
        <w:rPr>
          <w:rFonts w:ascii="Arial" w:hAnsi="Arial" w:eastAsia="Arial" w:cs="Arial"/>
          <w:color w:val="222222"/>
          <w:sz w:val="20"/>
          <w:szCs w:val="20"/>
        </w:rPr>
        <w:t>Rate constants k₁ (absorption) and k₂ (elimination) are derived from clinical onset and duration hours, enabling precise prediction of insulin activity at any post-injection time point. For long-acting insulins, a flat-profile model is used: a slow build-up to approximately 85% of maximal effect, followed by a prolonged plateau without a sharp peak, and a slow linear decline to end of action.</w:t>
      </w:r>
    </w:p>
    <w:p w14:paraId="1F1E15AD">
      <w:pPr>
        <w:spacing w:before="60" w:after="120" w:line="276" w:lineRule="auto"/>
        <w:jc w:val="both"/>
      </w:pPr>
      <w:r>
        <w:rPr>
          <w:rFonts w:ascii="Arial" w:hAnsi="Arial" w:eastAsia="Arial" w:cs="Arial"/>
          <w:color w:val="222222"/>
          <w:sz w:val="20"/>
          <w:szCs w:val="20"/>
        </w:rPr>
        <w:t xml:space="preserve">Insulin on Board (IOB) is calculated by integrating remaining insulin activity across all doses administered within the preceding 24 hours, providing a real-time estimate of active insulin and its projected glucose-lowering effect. This IOB value is subtracted from proposed doses to prevent dangerous insulin stacking </w:t>
      </w:r>
      <w:r>
        <w:rPr>
          <w:rFonts w:cs="Arial"/>
          <w:color w:val="222222"/>
          <w:sz w:val="20"/>
          <w:szCs w:val="20"/>
          <w:lang w:val="de-DE"/>
        </w:rPr>
        <w:t>,</w:t>
      </w:r>
      <w:r>
        <w:rPr>
          <w:rFonts w:ascii="Arial" w:hAnsi="Arial" w:eastAsia="Arial" w:cs="Arial"/>
          <w:color w:val="222222"/>
          <w:sz w:val="20"/>
          <w:szCs w:val="20"/>
        </w:rPr>
        <w:t xml:space="preserve"> a critical patient safety requirement specific to T1D physiology where no endogenous correction mechanism exists.</w:t>
      </w:r>
    </w:p>
    <w:p w14:paraId="180EB839">
      <w:pPr>
        <w:spacing w:before="60" w:after="120" w:line="276" w:lineRule="auto"/>
        <w:jc w:val="both"/>
      </w:pPr>
      <w:r>
        <w:rPr>
          <w:rFonts w:ascii="Arial" w:hAnsi="Arial" w:eastAsia="Arial" w:cs="Arial"/>
          <w:color w:val="222222"/>
          <w:sz w:val="20"/>
          <w:szCs w:val="20"/>
        </w:rPr>
        <w:t>Personalisation is embedded at every level: onset time, peak time, and duration are insulin-type-specific; a type-specific flag governs long-acting behaviour; and insulin sensitivity factors vary by activity level and circadian phase for each individual patient. All profiles are rendered at 15-minute intervals, capturing both the sharp peak profiles of rapid-acting analogues and the sustained plateaus of basal insulins.</w:t>
      </w:r>
    </w:p>
    <w:p w14:paraId="71B30ADE">
      <w:pPr>
        <w:pStyle w:val="3"/>
        <w:spacing w:before="240" w:after="60"/>
      </w:pPr>
      <w:r>
        <w:rPr>
          <w:rFonts w:ascii="Arial" w:hAnsi="Arial" w:eastAsia="Arial" w:cs="Arial"/>
          <w:b/>
          <w:bCs/>
          <w:color w:val="2E75B6"/>
          <w:sz w:val="22"/>
          <w:szCs w:val="22"/>
        </w:rPr>
        <w:t>3.7.2 Meal Impact and Carbohydrate Absorption Models</w:t>
      </w:r>
    </w:p>
    <w:p w14:paraId="5942D780">
      <w:pPr>
        <w:spacing w:before="60" w:after="120" w:line="276" w:lineRule="auto"/>
        <w:jc w:val="both"/>
      </w:pPr>
      <w:r>
        <w:rPr>
          <w:rFonts w:ascii="Arial" w:hAnsi="Arial" w:eastAsia="Arial" w:cs="Arial"/>
          <w:color w:val="222222"/>
          <w:sz w:val="20"/>
          <w:szCs w:val="20"/>
        </w:rPr>
        <w:t>The meal impact module moves beyond conventional carbohydrate counting by modelling five physiologically grounded absorption profiles matched to gastric emptying kinetics and intestinal absorption rates:</w:t>
      </w:r>
    </w:p>
    <w:p w14:paraId="21E5A819">
      <w:pPr>
        <w:spacing w:before="40" w:after="0"/>
      </w:pP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3500"/>
      </w:tblGrid>
      <w:tr w14:paraId="4502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EBF2FA"/>
            <w:tcMar>
              <w:top w:w="80" w:type="dxa"/>
              <w:left w:w="120" w:type="dxa"/>
              <w:bottom w:w="80" w:type="dxa"/>
              <w:right w:w="120" w:type="dxa"/>
            </w:tcMar>
            <w:vAlign w:val="center"/>
          </w:tcPr>
          <w:p w14:paraId="74651BDC">
            <w:pPr>
              <w:jc w:val="left"/>
            </w:pPr>
            <w:r>
              <w:rPr>
                <w:rFonts w:ascii="Arial" w:hAnsi="Arial" w:eastAsia="Arial" w:cs="Arial"/>
                <w:b/>
                <w:bCs/>
                <w:color w:val="1A4F8A"/>
                <w:sz w:val="18"/>
                <w:szCs w:val="18"/>
              </w:rPr>
              <w:t>Profile</w:t>
            </w:r>
          </w:p>
        </w:tc>
        <w:tc>
          <w:tcPr>
            <w:tcW w:w="3000" w:type="dxa"/>
            <w:tcBorders>
              <w:top w:val="single" w:color="2E75B6" w:sz="0" w:space="0"/>
              <w:left w:val="single" w:color="2E75B6" w:sz="0" w:space="0"/>
              <w:bottom w:val="single" w:color="2E75B6" w:sz="0" w:space="0"/>
              <w:right w:val="single" w:color="2E75B6" w:sz="0" w:space="0"/>
            </w:tcBorders>
            <w:shd w:val="clear" w:color="auto" w:fill="EBF2FA"/>
            <w:tcMar>
              <w:top w:w="80" w:type="dxa"/>
              <w:left w:w="120" w:type="dxa"/>
              <w:bottom w:w="80" w:type="dxa"/>
              <w:right w:w="120" w:type="dxa"/>
            </w:tcMar>
            <w:vAlign w:val="center"/>
          </w:tcPr>
          <w:p w14:paraId="76645B8B">
            <w:pPr>
              <w:jc w:val="left"/>
            </w:pPr>
            <w:r>
              <w:rPr>
                <w:rFonts w:ascii="Arial" w:hAnsi="Arial" w:eastAsia="Arial" w:cs="Arial"/>
                <w:b/>
                <w:bCs/>
                <w:color w:val="1A4F8A"/>
                <w:sz w:val="18"/>
                <w:szCs w:val="18"/>
              </w:rPr>
              <w:t>Rate Modifier</w:t>
            </w:r>
          </w:p>
        </w:tc>
        <w:tc>
          <w:tcPr>
            <w:tcW w:w="3500" w:type="dxa"/>
            <w:tcBorders>
              <w:top w:val="single" w:color="2E75B6" w:sz="0" w:space="0"/>
              <w:left w:val="single" w:color="2E75B6" w:sz="0" w:space="0"/>
              <w:bottom w:val="single" w:color="2E75B6" w:sz="0" w:space="0"/>
              <w:right w:val="single" w:color="2E75B6" w:sz="0" w:space="0"/>
            </w:tcBorders>
            <w:shd w:val="clear" w:color="auto" w:fill="EBF2FA"/>
            <w:tcMar>
              <w:top w:w="80" w:type="dxa"/>
              <w:left w:w="120" w:type="dxa"/>
              <w:bottom w:w="80" w:type="dxa"/>
              <w:right w:w="120" w:type="dxa"/>
            </w:tcMar>
            <w:vAlign w:val="center"/>
          </w:tcPr>
          <w:p w14:paraId="36D67F8B">
            <w:pPr>
              <w:jc w:val="left"/>
            </w:pPr>
            <w:r>
              <w:rPr>
                <w:rFonts w:ascii="Arial" w:hAnsi="Arial" w:eastAsia="Arial" w:cs="Arial"/>
                <w:b/>
                <w:bCs/>
                <w:color w:val="1A4F8A"/>
                <w:sz w:val="18"/>
                <w:szCs w:val="18"/>
              </w:rPr>
              <w:t>Example Foods</w:t>
            </w:r>
          </w:p>
        </w:tc>
      </w:tr>
      <w:tr w14:paraId="1B7E0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B8C4B6">
            <w:r>
              <w:rPr>
                <w:rFonts w:ascii="Arial" w:hAnsi="Arial" w:eastAsia="Arial" w:cs="Arial"/>
                <w:b w:val="0"/>
                <w:bCs w:val="0"/>
                <w:color w:val="222222"/>
                <w:sz w:val="18"/>
                <w:szCs w:val="18"/>
              </w:rPr>
              <w:t>Very Slow</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D012FD">
            <w:r>
              <w:rPr>
                <w:rFonts w:ascii="Arial" w:hAnsi="Arial" w:eastAsia="Arial" w:cs="Arial"/>
                <w:b w:val="0"/>
                <w:bCs w:val="0"/>
                <w:color w:val="222222"/>
                <w:sz w:val="18"/>
                <w:szCs w:val="18"/>
              </w:rPr>
              <w:t>×0.6</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6B469B">
            <w:r>
              <w:rPr>
                <w:rFonts w:ascii="Arial" w:hAnsi="Arial" w:eastAsia="Arial" w:cs="Arial"/>
                <w:b w:val="0"/>
                <w:bCs w:val="0"/>
                <w:color w:val="222222"/>
                <w:sz w:val="18"/>
                <w:szCs w:val="18"/>
              </w:rPr>
              <w:t>Legumes, high-fat meals (e.g., pizza)</w:t>
            </w:r>
          </w:p>
        </w:tc>
      </w:tr>
      <w:tr w14:paraId="0BD9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D6F8FF">
            <w:r>
              <w:rPr>
                <w:rFonts w:ascii="Arial" w:hAnsi="Arial" w:eastAsia="Arial" w:cs="Arial"/>
                <w:b w:val="0"/>
                <w:bCs w:val="0"/>
                <w:color w:val="222222"/>
                <w:sz w:val="18"/>
                <w:szCs w:val="18"/>
              </w:rPr>
              <w:t>Slow</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3E023B">
            <w:r>
              <w:rPr>
                <w:rFonts w:ascii="Arial" w:hAnsi="Arial" w:eastAsia="Arial" w:cs="Arial"/>
                <w:b w:val="0"/>
                <w:bCs w:val="0"/>
                <w:color w:val="222222"/>
                <w:sz w:val="18"/>
                <w:szCs w:val="18"/>
              </w:rPr>
              <w:t>×0.8</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16951D">
            <w:r>
              <w:rPr>
                <w:rFonts w:ascii="Arial" w:hAnsi="Arial" w:eastAsia="Arial" w:cs="Arial"/>
                <w:b w:val="0"/>
                <w:bCs w:val="0"/>
                <w:color w:val="222222"/>
                <w:sz w:val="18"/>
                <w:szCs w:val="18"/>
              </w:rPr>
              <w:t>Whole grains, dairy</w:t>
            </w:r>
          </w:p>
        </w:tc>
      </w:tr>
      <w:tr w14:paraId="18E8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EBEB7A">
            <w:r>
              <w:rPr>
                <w:rFonts w:ascii="Arial" w:hAnsi="Arial" w:eastAsia="Arial" w:cs="Arial"/>
                <w:b w:val="0"/>
                <w:bCs w:val="0"/>
                <w:color w:val="222222"/>
                <w:sz w:val="18"/>
                <w:szCs w:val="18"/>
              </w:rPr>
              <w:t>Medium</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345264">
            <w:r>
              <w:rPr>
                <w:rFonts w:ascii="Arial" w:hAnsi="Arial" w:eastAsia="Arial" w:cs="Arial"/>
                <w:b w:val="0"/>
                <w:bCs w:val="0"/>
                <w:color w:val="222222"/>
                <w:sz w:val="18"/>
                <w:szCs w:val="18"/>
              </w:rPr>
              <w:t>×1.0</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590430">
            <w:r>
              <w:rPr>
                <w:rFonts w:ascii="Arial" w:hAnsi="Arial" w:eastAsia="Arial" w:cs="Arial"/>
                <w:b w:val="0"/>
                <w:bCs w:val="0"/>
                <w:color w:val="222222"/>
                <w:sz w:val="18"/>
                <w:szCs w:val="18"/>
              </w:rPr>
              <w:t>Standard mixed meals</w:t>
            </w:r>
          </w:p>
        </w:tc>
      </w:tr>
      <w:tr w14:paraId="07A5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89E55E">
            <w:r>
              <w:rPr>
                <w:rFonts w:ascii="Arial" w:hAnsi="Arial" w:eastAsia="Arial" w:cs="Arial"/>
                <w:b w:val="0"/>
                <w:bCs w:val="0"/>
                <w:color w:val="222222"/>
                <w:sz w:val="18"/>
                <w:szCs w:val="18"/>
              </w:rPr>
              <w:t>Fast</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74F93E">
            <w:r>
              <w:rPr>
                <w:rFonts w:ascii="Arial" w:hAnsi="Arial" w:eastAsia="Arial" w:cs="Arial"/>
                <w:b w:val="0"/>
                <w:bCs w:val="0"/>
                <w:color w:val="222222"/>
                <w:sz w:val="18"/>
                <w:szCs w:val="18"/>
              </w:rPr>
              <w:t>×1.2</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73326F">
            <w:r>
              <w:rPr>
                <w:rFonts w:ascii="Arial" w:hAnsi="Arial" w:eastAsia="Arial" w:cs="Arial"/>
                <w:b w:val="0"/>
                <w:bCs w:val="0"/>
                <w:color w:val="222222"/>
                <w:sz w:val="18"/>
                <w:szCs w:val="18"/>
              </w:rPr>
              <w:t>White bread, fruit</w:t>
            </w:r>
          </w:p>
        </w:tc>
      </w:tr>
      <w:tr w14:paraId="6326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A168D7">
            <w:r>
              <w:rPr>
                <w:rFonts w:ascii="Arial" w:hAnsi="Arial" w:eastAsia="Arial" w:cs="Arial"/>
                <w:b w:val="0"/>
                <w:bCs w:val="0"/>
                <w:color w:val="222222"/>
                <w:sz w:val="18"/>
                <w:szCs w:val="18"/>
              </w:rPr>
              <w:t>Very Fast</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4854FB">
            <w:r>
              <w:rPr>
                <w:rFonts w:ascii="Arial" w:hAnsi="Arial" w:eastAsia="Arial" w:cs="Arial"/>
                <w:b w:val="0"/>
                <w:bCs w:val="0"/>
                <w:color w:val="222222"/>
                <w:sz w:val="18"/>
                <w:szCs w:val="18"/>
              </w:rPr>
              <w:t>×1.4</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96AE36">
            <w:r>
              <w:rPr>
                <w:rFonts w:ascii="Arial" w:hAnsi="Arial" w:eastAsia="Arial" w:cs="Arial"/>
                <w:b w:val="0"/>
                <w:bCs w:val="0"/>
                <w:color w:val="222222"/>
                <w:sz w:val="18"/>
                <w:szCs w:val="18"/>
              </w:rPr>
              <w:t>Glucose tablets, juice</w:t>
            </w:r>
          </w:p>
        </w:tc>
      </w:tr>
    </w:tbl>
    <w:p w14:paraId="78B5ADAB">
      <w:pPr>
        <w:spacing w:before="100" w:after="0"/>
      </w:pPr>
    </w:p>
    <w:p w14:paraId="2CC6AD61">
      <w:pPr>
        <w:spacing w:before="60" w:after="120" w:line="276" w:lineRule="auto"/>
        <w:jc w:val="both"/>
      </w:pPr>
      <w:r>
        <w:rPr>
          <w:rFonts w:ascii="Arial" w:hAnsi="Arial" w:eastAsia="Arial" w:cs="Arial"/>
          <w:color w:val="222222"/>
          <w:sz w:val="20"/>
          <w:szCs w:val="20"/>
        </w:rPr>
        <w:t xml:space="preserve">Beyond carbohydrate content, the model incorporates protein and fat contributions to postprandial glucose </w:t>
      </w:r>
      <w:r>
        <w:rPr>
          <w:rFonts w:cs="Arial"/>
          <w:color w:val="222222"/>
          <w:sz w:val="20"/>
          <w:szCs w:val="20"/>
          <w:lang w:val="de-DE"/>
        </w:rPr>
        <w:t>,</w:t>
      </w:r>
      <w:r>
        <w:rPr>
          <w:rFonts w:ascii="Arial" w:hAnsi="Arial" w:eastAsia="Arial" w:cs="Arial"/>
          <w:color w:val="222222"/>
          <w:sz w:val="20"/>
          <w:szCs w:val="20"/>
        </w:rPr>
        <w:t xml:space="preserve"> features absent from conventional carbohydrate-counting approaches:</w:t>
      </w:r>
    </w:p>
    <w:p w14:paraId="407AABE8">
      <w:pPr>
        <w:spacing w:before="100" w:after="100"/>
        <w:ind w:left="720"/>
        <w:jc w:val="left"/>
      </w:pPr>
      <w:r>
        <w:rPr>
          <w:rFonts w:ascii="Courier New" w:hAnsi="Courier New" w:eastAsia="Courier New" w:cs="Courier New"/>
          <w:color w:val="1A4F8A"/>
          <w:sz w:val="19"/>
          <w:szCs w:val="19"/>
        </w:rPr>
        <w:t>Carbohydrate Equivalent = Carbs + (Protein × protein_factor) + (Fat × fat_factor)</w:t>
      </w:r>
    </w:p>
    <w:p w14:paraId="6B7544DE">
      <w:pPr>
        <w:spacing w:before="60" w:after="120" w:line="276" w:lineRule="auto"/>
        <w:jc w:val="both"/>
      </w:pPr>
      <w:r>
        <w:rPr>
          <w:rFonts w:ascii="Arial" w:hAnsi="Arial" w:eastAsia="Arial" w:cs="Arial"/>
          <w:color w:val="222222"/>
          <w:sz w:val="20"/>
          <w:szCs w:val="20"/>
        </w:rPr>
        <w:t>The default protein_factor  reflects gluconeogenic potential. The fat_factor  models the extended absorption duration and delayed postprandial glucose peak particularly relevant for high-fat meals such as pizza or full-fat dairy, where conventional counting systematically underestimates insulin requirements.</w:t>
      </w:r>
    </w:p>
    <w:p w14:paraId="314ADCCD">
      <w:pPr>
        <w:pStyle w:val="3"/>
        <w:spacing w:before="240" w:after="60"/>
      </w:pPr>
      <w:r>
        <w:rPr>
          <w:rFonts w:ascii="Arial" w:hAnsi="Arial" w:eastAsia="Arial" w:cs="Arial"/>
          <w:b/>
          <w:bCs/>
          <w:color w:val="2E75B6"/>
          <w:sz w:val="22"/>
          <w:szCs w:val="22"/>
        </w:rPr>
        <w:t>3.7.3 Multi-Factor Personalised Dosing Algorithm</w:t>
      </w:r>
    </w:p>
    <w:p w14:paraId="34F67D47">
      <w:pPr>
        <w:spacing w:before="60" w:after="120" w:line="276" w:lineRule="auto"/>
        <w:jc w:val="both"/>
      </w:pPr>
      <w:r>
        <w:rPr>
          <w:rFonts w:ascii="Arial" w:hAnsi="Arial" w:eastAsia="Arial" w:cs="Arial"/>
          <w:color w:val="222222"/>
          <w:sz w:val="20"/>
          <w:szCs w:val="20"/>
        </w:rPr>
        <w:t>The insulin dose recommendation integrates ten individualised factors, summarised below:</w:t>
      </w:r>
    </w:p>
    <w:p w14:paraId="6A40615B">
      <w:pPr>
        <w:spacing w:before="40" w:after="0"/>
      </w:pP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500"/>
      </w:tblGrid>
      <w:tr w14:paraId="0FBDE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EBF2FA"/>
            <w:tcMar>
              <w:top w:w="80" w:type="dxa"/>
              <w:left w:w="120" w:type="dxa"/>
              <w:bottom w:w="80" w:type="dxa"/>
              <w:right w:w="120" w:type="dxa"/>
            </w:tcMar>
            <w:vAlign w:val="center"/>
          </w:tcPr>
          <w:p w14:paraId="09232B39">
            <w:pPr>
              <w:jc w:val="left"/>
            </w:pPr>
            <w:r>
              <w:rPr>
                <w:rFonts w:ascii="Arial" w:hAnsi="Arial" w:eastAsia="Arial" w:cs="Arial"/>
                <w:b/>
                <w:bCs/>
                <w:color w:val="1A4F8A"/>
                <w:sz w:val="18"/>
                <w:szCs w:val="18"/>
              </w:rPr>
              <w:t>Factor</w:t>
            </w:r>
          </w:p>
        </w:tc>
        <w:tc>
          <w:tcPr>
            <w:tcW w:w="5500" w:type="dxa"/>
            <w:tcBorders>
              <w:top w:val="single" w:color="2E75B6" w:sz="0" w:space="0"/>
              <w:left w:val="single" w:color="2E75B6" w:sz="0" w:space="0"/>
              <w:bottom w:val="single" w:color="2E75B6" w:sz="0" w:space="0"/>
              <w:right w:val="single" w:color="2E75B6" w:sz="0" w:space="0"/>
            </w:tcBorders>
            <w:shd w:val="clear" w:color="auto" w:fill="EBF2FA"/>
            <w:tcMar>
              <w:top w:w="80" w:type="dxa"/>
              <w:left w:w="120" w:type="dxa"/>
              <w:bottom w:w="80" w:type="dxa"/>
              <w:right w:w="120" w:type="dxa"/>
            </w:tcMar>
            <w:vAlign w:val="center"/>
          </w:tcPr>
          <w:p w14:paraId="698AD446">
            <w:pPr>
              <w:jc w:val="left"/>
            </w:pPr>
            <w:r>
              <w:rPr>
                <w:rFonts w:ascii="Arial" w:hAnsi="Arial" w:eastAsia="Arial" w:cs="Arial"/>
                <w:b/>
                <w:bCs/>
                <w:color w:val="1A4F8A"/>
                <w:sz w:val="18"/>
                <w:szCs w:val="18"/>
              </w:rPr>
              <w:t>Description</w:t>
            </w:r>
          </w:p>
        </w:tc>
      </w:tr>
      <w:tr w14:paraId="6D93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B2B493">
            <w:r>
              <w:rPr>
                <w:rFonts w:ascii="Arial" w:hAnsi="Arial" w:eastAsia="Arial" w:cs="Arial"/>
                <w:b/>
                <w:bCs/>
                <w:color w:val="222222"/>
                <w:sz w:val="18"/>
                <w:szCs w:val="18"/>
              </w:rPr>
              <w:t>Carbohydrate Dose</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DBA5C5">
            <w:r>
              <w:rPr>
                <w:rFonts w:ascii="Arial" w:hAnsi="Arial" w:eastAsia="Arial" w:cs="Arial"/>
                <w:b w:val="0"/>
                <w:bCs w:val="0"/>
                <w:color w:val="222222"/>
                <w:sz w:val="18"/>
                <w:szCs w:val="18"/>
              </w:rPr>
              <w:t>Total carb equivalents / insulin-to-carb ratio (ICR), patient-specific</w:t>
            </w:r>
          </w:p>
        </w:tc>
      </w:tr>
      <w:tr w14:paraId="7767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53D7E2">
            <w:r>
              <w:rPr>
                <w:rFonts w:ascii="Arial" w:hAnsi="Arial" w:eastAsia="Arial" w:cs="Arial"/>
                <w:b/>
                <w:bCs/>
                <w:color w:val="222222"/>
                <w:sz w:val="18"/>
                <w:szCs w:val="18"/>
              </w:rPr>
              <w:t>Protein Correction</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AAD8F5">
            <w:r>
              <w:rPr>
                <w:rFonts w:ascii="Arial" w:hAnsi="Arial" w:eastAsia="Arial" w:cs="Arial"/>
                <w:b w:val="0"/>
                <w:bCs w:val="0"/>
                <w:color w:val="222222"/>
                <w:sz w:val="18"/>
                <w:szCs w:val="18"/>
              </w:rPr>
              <w:t>Protein × protein_factor added to effective carb dose</w:t>
            </w:r>
          </w:p>
        </w:tc>
      </w:tr>
      <w:tr w14:paraId="1F87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586144">
            <w:r>
              <w:rPr>
                <w:rFonts w:ascii="Arial" w:hAnsi="Arial" w:eastAsia="Arial" w:cs="Arial"/>
                <w:b/>
                <w:bCs/>
                <w:color w:val="222222"/>
                <w:sz w:val="18"/>
                <w:szCs w:val="18"/>
              </w:rPr>
              <w:t>Fat Correction</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338D4F">
            <w:r>
              <w:rPr>
                <w:rFonts w:ascii="Arial" w:hAnsi="Arial" w:eastAsia="Arial" w:cs="Arial"/>
                <w:b w:val="0"/>
                <w:bCs w:val="0"/>
                <w:color w:val="222222"/>
                <w:sz w:val="18"/>
                <w:szCs w:val="18"/>
              </w:rPr>
              <w:t>Fat × fat_factor; extends absorption duration</w:t>
            </w:r>
          </w:p>
        </w:tc>
      </w:tr>
      <w:tr w14:paraId="0144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27F432">
            <w:r>
              <w:rPr>
                <w:rFonts w:ascii="Arial" w:hAnsi="Arial" w:eastAsia="Arial" w:cs="Arial"/>
                <w:b/>
                <w:bCs/>
                <w:color w:val="222222"/>
                <w:sz w:val="18"/>
                <w:szCs w:val="18"/>
              </w:rPr>
              <w:t>Meal Timing Factor</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383088">
            <w:r>
              <w:rPr>
                <w:rFonts w:ascii="Arial" w:hAnsi="Arial" w:eastAsia="Arial" w:cs="Arial"/>
                <w:b w:val="0"/>
                <w:bCs w:val="0"/>
                <w:color w:val="222222"/>
                <w:sz w:val="18"/>
                <w:szCs w:val="18"/>
              </w:rPr>
              <w:t>Breakfast , dinner  vs. standard (dawn phenomenon)</w:t>
            </w:r>
          </w:p>
        </w:tc>
      </w:tr>
      <w:tr w14:paraId="0464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045079">
            <w:r>
              <w:rPr>
                <w:rFonts w:ascii="Arial" w:hAnsi="Arial" w:eastAsia="Arial" w:cs="Arial"/>
                <w:b/>
                <w:bCs/>
                <w:color w:val="222222"/>
                <w:sz w:val="18"/>
                <w:szCs w:val="18"/>
              </w:rPr>
              <w:t>Absorption Modifier</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BC8B1F">
            <w:r>
              <w:rPr>
                <w:rFonts w:ascii="Arial" w:hAnsi="Arial" w:eastAsia="Arial" w:cs="Arial"/>
                <w:b w:val="0"/>
                <w:bCs w:val="0"/>
                <w:color w:val="222222"/>
                <w:sz w:val="18"/>
                <w:szCs w:val="18"/>
              </w:rPr>
              <w:t>Very slow ×0.6 to very fast ×1.4</w:t>
            </w:r>
          </w:p>
        </w:tc>
      </w:tr>
      <w:tr w14:paraId="00F7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8DD2F1">
            <w:r>
              <w:rPr>
                <w:rFonts w:ascii="Arial" w:hAnsi="Arial" w:eastAsia="Arial" w:cs="Arial"/>
                <w:b/>
                <w:bCs/>
                <w:color w:val="222222"/>
                <w:sz w:val="18"/>
                <w:szCs w:val="18"/>
              </w:rPr>
              <w:t>Activity Coefficient</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F2F365">
            <w:r>
              <w:rPr>
                <w:rFonts w:ascii="Arial" w:hAnsi="Arial" w:eastAsia="Arial" w:cs="Arial"/>
                <w:b w:val="0"/>
                <w:bCs w:val="0"/>
                <w:color w:val="222222"/>
                <w:sz w:val="18"/>
                <w:szCs w:val="18"/>
              </w:rPr>
              <w:t>Vigorous exercise: reduced dose; sedentary: increased dose</w:t>
            </w:r>
          </w:p>
        </w:tc>
      </w:tr>
      <w:tr w14:paraId="75ACB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10A137">
            <w:r>
              <w:rPr>
                <w:rFonts w:ascii="Arial" w:hAnsi="Arial" w:eastAsia="Arial" w:cs="Arial"/>
                <w:b/>
                <w:bCs/>
                <w:color w:val="222222"/>
                <w:sz w:val="18"/>
                <w:szCs w:val="18"/>
              </w:rPr>
              <w:t>Disease Factor</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EC36C2">
            <w:r>
              <w:rPr>
                <w:rFonts w:ascii="Arial" w:hAnsi="Arial" w:eastAsia="Arial" w:cs="Arial"/>
                <w:b w:val="0"/>
                <w:bCs w:val="0"/>
                <w:color w:val="222222"/>
                <w:sz w:val="18"/>
                <w:szCs w:val="18"/>
              </w:rPr>
              <w:t>Condition-specific multiplier (T1D baseline ×1.0)</w:t>
            </w:r>
          </w:p>
        </w:tc>
      </w:tr>
      <w:tr w14:paraId="19C0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95AB52">
            <w:r>
              <w:rPr>
                <w:rFonts w:ascii="Arial" w:hAnsi="Arial" w:eastAsia="Arial" w:cs="Arial"/>
                <w:b/>
                <w:bCs/>
                <w:color w:val="222222"/>
                <w:sz w:val="18"/>
                <w:szCs w:val="18"/>
              </w:rPr>
              <w:t>IOB Correction</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D236AC">
            <w:r>
              <w:rPr>
                <w:rFonts w:ascii="Arial" w:hAnsi="Arial" w:eastAsia="Arial" w:cs="Arial"/>
                <w:b w:val="0"/>
                <w:bCs w:val="0"/>
                <w:color w:val="222222"/>
                <w:sz w:val="18"/>
                <w:szCs w:val="18"/>
              </w:rPr>
              <w:t>Active insulin subtracted to prevent dose stacking</w:t>
            </w:r>
          </w:p>
        </w:tc>
      </w:tr>
      <w:tr w14:paraId="2712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517533">
            <w:r>
              <w:rPr>
                <w:rFonts w:ascii="Arial" w:hAnsi="Arial" w:eastAsia="Arial" w:cs="Arial"/>
                <w:b/>
                <w:bCs/>
                <w:color w:val="222222"/>
                <w:sz w:val="18"/>
                <w:szCs w:val="18"/>
              </w:rPr>
              <w:t>Correction Dose</w:t>
            </w:r>
          </w:p>
        </w:tc>
        <w:tc>
          <w:tcPr>
            <w:tcW w:w="5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F13217">
            <w:r>
              <w:rPr>
                <w:rFonts w:ascii="Arial" w:hAnsi="Arial" w:eastAsia="Arial" w:cs="Arial"/>
                <w:b w:val="0"/>
                <w:bCs w:val="0"/>
                <w:color w:val="222222"/>
                <w:sz w:val="18"/>
                <w:szCs w:val="18"/>
              </w:rPr>
              <w:t>(Current BG − Target BG) / patient correction factor</w:t>
            </w:r>
          </w:p>
        </w:tc>
      </w:tr>
    </w:tbl>
    <w:p w14:paraId="539D78FC">
      <w:pPr>
        <w:spacing w:before="100" w:after="0"/>
      </w:pPr>
    </w:p>
    <w:p w14:paraId="5835E631">
      <w:pPr>
        <w:spacing w:before="60" w:after="120" w:line="276" w:lineRule="auto"/>
        <w:jc w:val="both"/>
      </w:pPr>
      <w:r>
        <w:rPr>
          <w:rFonts w:ascii="Arial" w:hAnsi="Arial" w:eastAsia="Arial" w:cs="Arial"/>
          <w:color w:val="222222"/>
          <w:sz w:val="20"/>
          <w:szCs w:val="20"/>
        </w:rPr>
        <w:t xml:space="preserve">Safety logic is applied at the final stage: estimated doses are rounded to achievable delivery values with minimum effective dose floors and maximum safety ceilings. Every calculation stores a full log of contributing factors and intermediate results, supporting both clinician review and patient education through transparent breakdown </w:t>
      </w:r>
      <w:r>
        <w:rPr>
          <w:rFonts w:cs="Arial"/>
          <w:color w:val="222222"/>
          <w:sz w:val="20"/>
          <w:szCs w:val="20"/>
          <w:lang w:val="de-DE"/>
        </w:rPr>
        <w:t>visualization</w:t>
      </w:r>
      <w:r>
        <w:rPr>
          <w:rFonts w:ascii="Arial" w:hAnsi="Arial" w:eastAsia="Arial" w:cs="Arial"/>
          <w:color w:val="222222"/>
          <w:sz w:val="20"/>
          <w:szCs w:val="20"/>
        </w:rPr>
        <w:t>.</w:t>
      </w:r>
    </w:p>
    <w:p w14:paraId="4E0176D9">
      <w:pPr>
        <w:pStyle w:val="3"/>
        <w:spacing w:before="240" w:after="60"/>
      </w:pPr>
      <w:r>
        <w:rPr>
          <w:rFonts w:ascii="Arial" w:hAnsi="Arial" w:eastAsia="Arial" w:cs="Arial"/>
          <w:b/>
          <w:bCs/>
          <w:color w:val="2E75B6"/>
          <w:sz w:val="22"/>
          <w:szCs w:val="22"/>
        </w:rPr>
        <w:t>3.7.4 Blood Sugar Monitoring and Projection Model</w:t>
      </w:r>
    </w:p>
    <w:p w14:paraId="76A13B81">
      <w:pPr>
        <w:spacing w:before="60" w:after="120" w:line="276" w:lineRule="auto"/>
        <w:jc w:val="both"/>
      </w:pPr>
      <w:r>
        <w:rPr>
          <w:rFonts w:ascii="Arial" w:hAnsi="Arial" w:eastAsia="Arial" w:cs="Arial"/>
          <w:color w:val="222222"/>
          <w:sz w:val="20"/>
          <w:szCs w:val="20"/>
        </w:rPr>
        <w:t>The blood sugar monitoring module maintains strict temporal integrity across all views and interactions. Two timestamps are explicitly separated: reading time (when blood glucose was actually measured) and recording time (when the entry was logged in the system). This distinction is essential for retrospective data entry, enabling accurate chronological sequencing even when measurements are not entered in real time.</w:t>
      </w:r>
    </w:p>
    <w:p w14:paraId="6F4B9C4F">
      <w:pPr>
        <w:spacing w:before="60" w:after="120" w:line="276" w:lineRule="auto"/>
        <w:jc w:val="both"/>
      </w:pPr>
      <w:r>
        <w:rPr>
          <w:rFonts w:ascii="Arial" w:hAnsi="Arial" w:eastAsia="Arial" w:cs="Arial"/>
          <w:color w:val="222222"/>
          <w:sz w:val="20"/>
          <w:szCs w:val="20"/>
        </w:rPr>
        <w:t xml:space="preserve">For unmeasured time points, an adaptive projection algorithm generates physiologically plausible estimated glucose trajectories: starting from the last real reading, trending toward the patient's individual target at a calibrated rate, with small natural fluctuations to avoid artificially flat projections. </w:t>
      </w:r>
      <w:r>
        <w:rPr>
          <w:rFonts w:cs="Arial"/>
          <w:color w:val="222222"/>
          <w:sz w:val="20"/>
          <w:szCs w:val="20"/>
          <w:lang w:val="de-DE"/>
        </w:rPr>
        <w:t>Visualization</w:t>
      </w:r>
      <w:r>
        <w:rPr>
          <w:rFonts w:ascii="Arial" w:hAnsi="Arial" w:eastAsia="Arial" w:cs="Arial"/>
          <w:color w:val="222222"/>
          <w:sz w:val="20"/>
          <w:szCs w:val="20"/>
        </w:rPr>
        <w:t xml:space="preserve"> density scales with time resolution </w:t>
      </w:r>
      <w:r>
        <w:rPr>
          <w:rFonts w:cs="Arial"/>
          <w:color w:val="222222"/>
          <w:sz w:val="20"/>
          <w:szCs w:val="20"/>
          <w:lang w:val="de-DE"/>
        </w:rPr>
        <w:t>,</w:t>
      </w:r>
      <w:r>
        <w:rPr>
          <w:rFonts w:ascii="Arial" w:hAnsi="Arial" w:eastAsia="Arial" w:cs="Arial"/>
          <w:color w:val="222222"/>
          <w:sz w:val="20"/>
          <w:szCs w:val="20"/>
        </w:rPr>
        <w:t xml:space="preserve"> 15-minute intervals in day views, 3-hour intervals in monthly views </w:t>
      </w:r>
      <w:r>
        <w:rPr>
          <w:rFonts w:cs="Arial"/>
          <w:color w:val="222222"/>
          <w:sz w:val="20"/>
          <w:szCs w:val="20"/>
          <w:lang w:val="de-DE"/>
        </w:rPr>
        <w:t>,</w:t>
      </w:r>
      <w:r>
        <w:rPr>
          <w:rFonts w:ascii="Arial" w:hAnsi="Arial" w:eastAsia="Arial" w:cs="Arial"/>
          <w:color w:val="222222"/>
          <w:sz w:val="20"/>
          <w:szCs w:val="20"/>
        </w:rPr>
        <w:t xml:space="preserve"> balancing detail with computational efficiency.</w:t>
      </w:r>
    </w:p>
    <w:p w14:paraId="0141E9C7">
      <w:pPr>
        <w:pStyle w:val="3"/>
        <w:spacing w:before="240" w:after="60"/>
      </w:pPr>
      <w:r>
        <w:rPr>
          <w:rFonts w:ascii="Arial" w:hAnsi="Arial" w:eastAsia="Arial" w:cs="Arial"/>
          <w:b/>
          <w:bCs/>
          <w:color w:val="2E75B6"/>
          <w:sz w:val="22"/>
          <w:szCs w:val="22"/>
        </w:rPr>
        <w:t>3.7.5 Data-Driven Modelling and Feature Extraction</w:t>
      </w:r>
    </w:p>
    <w:p w14:paraId="69B04DEC">
      <w:pPr>
        <w:spacing w:before="60" w:after="120" w:line="276" w:lineRule="auto"/>
        <w:jc w:val="both"/>
      </w:pPr>
      <w:r>
        <w:rPr>
          <w:rFonts w:ascii="Arial" w:hAnsi="Arial" w:eastAsia="Arial" w:cs="Arial"/>
          <w:color w:val="222222"/>
          <w:sz w:val="20"/>
          <w:szCs w:val="20"/>
        </w:rPr>
        <w:t xml:space="preserve">Alongside the biophysical models, </w:t>
      </w:r>
      <w:r>
        <w:rPr>
          <w:rFonts w:cs="Arial"/>
          <w:color w:val="222222"/>
          <w:sz w:val="20"/>
          <w:szCs w:val="20"/>
          <w:lang w:val="de-DE"/>
        </w:rPr>
        <w:t>The Model</w:t>
      </w:r>
      <w:r>
        <w:rPr>
          <w:rFonts w:ascii="Arial" w:hAnsi="Arial" w:eastAsia="Arial" w:cs="Arial"/>
          <w:color w:val="222222"/>
          <w:sz w:val="20"/>
          <w:szCs w:val="20"/>
        </w:rPr>
        <w:t xml:space="preserve"> implements a multi-dimensional feature extraction architecture that identifies patient-specific glycaemic response patterns while managing complex temporal relationships. An adaptive estimation algorithm generates physiologically plausible projected glucose trajectories at two temporal scales: daily views (15-minute intervals) capturing meal absorption, insulin peaks, and post-exercise responses; and monthly views (3-hour blocks) capturing macro-scale phenomena including the dawn phenomenon and circadian sensitivity variation.</w:t>
      </w:r>
    </w:p>
    <w:p w14:paraId="1931F353">
      <w:pPr>
        <w:spacing w:before="60" w:after="120" w:line="276" w:lineRule="auto"/>
        <w:jc w:val="both"/>
      </w:pPr>
      <w:r>
        <w:rPr>
          <w:rFonts w:ascii="Arial" w:hAnsi="Arial" w:eastAsia="Arial" w:cs="Arial"/>
          <w:color w:val="222222"/>
          <w:sz w:val="20"/>
          <w:szCs w:val="20"/>
        </w:rPr>
        <w:t xml:space="preserve">As longitudinal patient data accumulates, the system progressively learns </w:t>
      </w:r>
      <w:r>
        <w:rPr>
          <w:rFonts w:cs="Arial"/>
          <w:color w:val="222222"/>
          <w:sz w:val="20"/>
          <w:szCs w:val="20"/>
          <w:lang w:val="de-DE"/>
        </w:rPr>
        <w:t>personalized</w:t>
      </w:r>
      <w:r>
        <w:rPr>
          <w:rFonts w:ascii="Arial" w:hAnsi="Arial" w:eastAsia="Arial" w:cs="Arial"/>
          <w:color w:val="222222"/>
          <w:sz w:val="20"/>
          <w:szCs w:val="20"/>
        </w:rPr>
        <w:t xml:space="preserve"> parameters including protein/fat conversion ratios, individual absorption profiles per food category, and patient-specific ICR responses </w:t>
      </w:r>
      <w:r>
        <w:rPr>
          <w:rFonts w:cs="Arial"/>
          <w:color w:val="222222"/>
          <w:sz w:val="20"/>
          <w:szCs w:val="20"/>
          <w:lang w:val="de-DE"/>
        </w:rPr>
        <w:t>,</w:t>
      </w:r>
      <w:r>
        <w:rPr>
          <w:rFonts w:ascii="Arial" w:hAnsi="Arial" w:eastAsia="Arial" w:cs="Arial"/>
          <w:color w:val="222222"/>
          <w:sz w:val="20"/>
          <w:szCs w:val="20"/>
        </w:rPr>
        <w:t xml:space="preserve"> resulting in increasingly accurate dosing recommendations over time.</w:t>
      </w:r>
    </w:p>
    <w:p w14:paraId="053CFEBC">
      <w:pPr>
        <w:pStyle w:val="3"/>
        <w:spacing w:before="240" w:after="60"/>
      </w:pPr>
      <w:r>
        <w:rPr>
          <w:rFonts w:ascii="Arial" w:hAnsi="Arial" w:eastAsia="Arial" w:cs="Arial"/>
          <w:b/>
          <w:bCs/>
          <w:color w:val="2E75B6"/>
          <w:sz w:val="22"/>
          <w:szCs w:val="22"/>
        </w:rPr>
        <w:t>3.7.6–3.7.7 Reinforcement Learning Strategy and Digital Twin Simulation</w:t>
      </w:r>
    </w:p>
    <w:p w14:paraId="4FEBC5FA">
      <w:pPr>
        <w:spacing w:before="60" w:after="120" w:line="276" w:lineRule="auto"/>
        <w:jc w:val="both"/>
      </w:pPr>
      <w:r>
        <w:rPr>
          <w:rFonts w:ascii="Arial" w:hAnsi="Arial" w:eastAsia="Arial" w:cs="Arial"/>
          <w:color w:val="222222"/>
          <w:sz w:val="20"/>
          <w:szCs w:val="20"/>
        </w:rPr>
        <w:t xml:space="preserve">The platform architecture is explicitly designed as a foundation for reinforcement learning (RL)-based insulin dosing policy </w:t>
      </w:r>
      <w:r>
        <w:rPr>
          <w:rFonts w:cs="Arial"/>
          <w:color w:val="222222"/>
          <w:sz w:val="20"/>
          <w:szCs w:val="20"/>
          <w:lang w:val="de-DE"/>
        </w:rPr>
        <w:t>optimization</w:t>
      </w:r>
      <w:r>
        <w:rPr>
          <w:rFonts w:ascii="Arial" w:hAnsi="Arial" w:eastAsia="Arial" w:cs="Arial"/>
          <w:color w:val="222222"/>
          <w:sz w:val="20"/>
          <w:szCs w:val="20"/>
        </w:rPr>
        <w:t xml:space="preserve">. The physiological model functions as a simulation environment: patient state is represented as a tuple of current glucose, IOB, meal-on-board (MOB), activity level, time of day, and </w:t>
      </w:r>
      <w:r>
        <w:rPr>
          <w:rFonts w:cs="Arial"/>
          <w:color w:val="222222"/>
          <w:sz w:val="20"/>
          <w:szCs w:val="20"/>
          <w:lang w:val="de-DE"/>
        </w:rPr>
        <w:t>personalized</w:t>
      </w:r>
      <w:r>
        <w:rPr>
          <w:rFonts w:ascii="Arial" w:hAnsi="Arial" w:eastAsia="Arial" w:cs="Arial"/>
          <w:color w:val="222222"/>
          <w:sz w:val="20"/>
          <w:szCs w:val="20"/>
        </w:rPr>
        <w:t xml:space="preserve"> constants. An RL agent can interact with this environment, proposing dosing actions and receiving reward signals based on subsequent glycaemic outcomes </w:t>
      </w:r>
      <w:r>
        <w:rPr>
          <w:rFonts w:cs="Arial"/>
          <w:color w:val="222222"/>
          <w:sz w:val="20"/>
          <w:szCs w:val="20"/>
          <w:lang w:val="de-DE"/>
        </w:rPr>
        <w:t>,</w:t>
      </w:r>
      <w:r>
        <w:rPr>
          <w:rFonts w:ascii="Arial" w:hAnsi="Arial" w:eastAsia="Arial" w:cs="Arial"/>
          <w:color w:val="222222"/>
          <w:sz w:val="20"/>
          <w:szCs w:val="20"/>
        </w:rPr>
        <w:t xml:space="preserve"> time-in-range, hypoglycaemia avoidance, and glucose variability.</w:t>
      </w:r>
    </w:p>
    <w:p w14:paraId="2EE4C26E">
      <w:pPr>
        <w:spacing w:before="60" w:after="120" w:line="276" w:lineRule="auto"/>
        <w:jc w:val="both"/>
      </w:pPr>
      <w:r>
        <w:rPr>
          <w:rFonts w:ascii="Arial" w:hAnsi="Arial" w:eastAsia="Arial" w:cs="Arial"/>
          <w:color w:val="222222"/>
          <w:sz w:val="20"/>
          <w:szCs w:val="20"/>
        </w:rPr>
        <w:t xml:space="preserve">The digital twin concept extends this further: by continuously calibrating physiological model parameters against real patient data </w:t>
      </w:r>
      <w:r>
        <w:rPr>
          <w:rFonts w:cs="Arial"/>
          <w:color w:val="222222"/>
          <w:sz w:val="20"/>
          <w:szCs w:val="20"/>
          <w:lang w:val="de-DE"/>
        </w:rPr>
        <w:t>,</w:t>
      </w:r>
      <w:r>
        <w:rPr>
          <w:rFonts w:ascii="Arial" w:hAnsi="Arial" w:eastAsia="Arial" w:cs="Arial"/>
          <w:color w:val="222222"/>
          <w:sz w:val="20"/>
          <w:szCs w:val="20"/>
        </w:rPr>
        <w:t xml:space="preserve"> CGM readings, logged meals, and insulin doses </w:t>
      </w:r>
      <w:r>
        <w:rPr>
          <w:rFonts w:cs="Arial"/>
          <w:color w:val="222222"/>
          <w:sz w:val="20"/>
          <w:szCs w:val="20"/>
          <w:lang w:val="de-DE"/>
        </w:rPr>
        <w:t>,</w:t>
      </w:r>
      <w:r>
        <w:rPr>
          <w:rFonts w:ascii="Arial" w:hAnsi="Arial" w:eastAsia="Arial" w:cs="Arial"/>
          <w:color w:val="222222"/>
          <w:sz w:val="20"/>
          <w:szCs w:val="20"/>
        </w:rPr>
        <w:t xml:space="preserve"> the system generates a </w:t>
      </w:r>
      <w:r>
        <w:rPr>
          <w:rFonts w:cs="Arial"/>
          <w:color w:val="222222"/>
          <w:sz w:val="20"/>
          <w:szCs w:val="20"/>
          <w:lang w:val="de-DE"/>
        </w:rPr>
        <w:t>personalized</w:t>
      </w:r>
      <w:r>
        <w:rPr>
          <w:rFonts w:ascii="Arial" w:hAnsi="Arial" w:eastAsia="Arial" w:cs="Arial"/>
          <w:color w:val="222222"/>
          <w:sz w:val="20"/>
          <w:szCs w:val="20"/>
        </w:rPr>
        <w:t xml:space="preserve"> simulation reflecting individual metabolic behaviour rather than population-average pharmacokinetics. This enables prospective scenario modelling (predicting the glucose impact of a planned meal before eating) and retrospective analysis (identifying why a glucose excursion occurred).</w:t>
      </w:r>
    </w:p>
    <w:p w14:paraId="7999B3E9">
      <w:pPr>
        <w:spacing w:before="60" w:after="120" w:line="276" w:lineRule="auto"/>
        <w:jc w:val="both"/>
      </w:pPr>
      <w:r>
        <w:rPr>
          <w:rFonts w:ascii="Arial" w:hAnsi="Arial" w:eastAsia="Arial" w:cs="Arial"/>
          <w:color w:val="222222"/>
          <w:sz w:val="20"/>
          <w:szCs w:val="20"/>
        </w:rPr>
        <w:t xml:space="preserve">Identified extensions for future development </w:t>
      </w:r>
      <w:r>
        <w:rPr>
          <w:rFonts w:cs="Arial"/>
          <w:color w:val="222222"/>
          <w:sz w:val="20"/>
          <w:szCs w:val="20"/>
          <w:lang w:val="de-DE"/>
        </w:rPr>
        <w:t>,</w:t>
      </w:r>
      <w:r>
        <w:rPr>
          <w:rFonts w:ascii="Arial" w:hAnsi="Arial" w:eastAsia="Arial" w:cs="Arial"/>
          <w:color w:val="222222"/>
          <w:sz w:val="20"/>
          <w:szCs w:val="20"/>
        </w:rPr>
        <w:t xml:space="preserve"> directly aligned with the HPI NCD research group's digital twin programme </w:t>
      </w:r>
      <w:r>
        <w:rPr>
          <w:rFonts w:cs="Arial"/>
          <w:color w:val="222222"/>
          <w:sz w:val="20"/>
          <w:szCs w:val="20"/>
          <w:lang w:val="de-DE"/>
        </w:rPr>
        <w:t>,</w:t>
      </w:r>
      <w:r>
        <w:rPr>
          <w:rFonts w:ascii="Arial" w:hAnsi="Arial" w:eastAsia="Arial" w:cs="Arial"/>
          <w:color w:val="222222"/>
          <w:sz w:val="20"/>
          <w:szCs w:val="20"/>
        </w:rPr>
        <w:t xml:space="preserve"> include:</w:t>
      </w:r>
    </w:p>
    <w:p w14:paraId="3475011A">
      <w:pPr>
        <w:pStyle w:val="16"/>
        <w:numPr>
          <w:ilvl w:val="0"/>
          <w:numId w:val="1"/>
        </w:numPr>
        <w:spacing w:before="40" w:after="40" w:line="276" w:lineRule="auto"/>
      </w:pPr>
      <w:r>
        <w:rPr>
          <w:rFonts w:ascii="Arial" w:hAnsi="Arial" w:eastAsia="Arial" w:cs="Arial"/>
          <w:color w:val="222222"/>
          <w:sz w:val="20"/>
          <w:szCs w:val="20"/>
        </w:rPr>
        <w:t>Hormonal and menstrual cycle modelling of insulin sensitivity variation</w:t>
      </w:r>
    </w:p>
    <w:p w14:paraId="565FE5D5">
      <w:pPr>
        <w:pStyle w:val="16"/>
        <w:numPr>
          <w:ilvl w:val="0"/>
          <w:numId w:val="1"/>
        </w:numPr>
        <w:spacing w:before="40" w:after="40" w:line="276" w:lineRule="auto"/>
      </w:pPr>
      <w:r>
        <w:rPr>
          <w:rFonts w:ascii="Arial" w:hAnsi="Arial" w:eastAsia="Arial" w:cs="Arial"/>
          <w:color w:val="222222"/>
          <w:sz w:val="20"/>
          <w:szCs w:val="20"/>
        </w:rPr>
        <w:t>Sleep state detection from wearable signals</w:t>
      </w:r>
    </w:p>
    <w:p w14:paraId="2F3B5767">
      <w:pPr>
        <w:pStyle w:val="16"/>
        <w:numPr>
          <w:ilvl w:val="0"/>
          <w:numId w:val="1"/>
        </w:numPr>
        <w:spacing w:before="40" w:after="40" w:line="276" w:lineRule="auto"/>
      </w:pPr>
      <w:r>
        <w:rPr>
          <w:rFonts w:ascii="Arial" w:hAnsi="Arial" w:eastAsia="Arial" w:cs="Arial"/>
          <w:color w:val="222222"/>
          <w:sz w:val="20"/>
          <w:szCs w:val="20"/>
        </w:rPr>
        <w:t>Stress-induced insulin resistance quantification</w:t>
      </w:r>
    </w:p>
    <w:p w14:paraId="5FF6E614">
      <w:pPr>
        <w:pStyle w:val="16"/>
        <w:numPr>
          <w:ilvl w:val="0"/>
          <w:numId w:val="1"/>
        </w:numPr>
        <w:spacing w:before="40" w:after="40" w:line="276" w:lineRule="auto"/>
      </w:pPr>
      <w:r>
        <w:rPr>
          <w:rFonts w:ascii="Arial" w:hAnsi="Arial" w:eastAsia="Arial" w:cs="Arial"/>
          <w:color w:val="222222"/>
          <w:sz w:val="20"/>
          <w:szCs w:val="20"/>
        </w:rPr>
        <w:t xml:space="preserve">Fully autonomous RL-driven closed-loop AID </w:t>
      </w:r>
      <w:r>
        <w:rPr>
          <w:rFonts w:cs="Arial"/>
          <w:color w:val="222222"/>
          <w:sz w:val="20"/>
          <w:szCs w:val="20"/>
          <w:lang w:val="de-DE"/>
        </w:rPr>
        <w:t>optimization</w:t>
      </w:r>
    </w:p>
    <w:p w14:paraId="1F8AFDEC">
      <w:pPr>
        <w:pBdr>
          <w:bottom w:val="single" w:color="2E75B6" w:sz="6" w:space="1"/>
        </w:pBdr>
        <w:spacing w:before="0" w:after="0"/>
      </w:pPr>
    </w:p>
    <w:p w14:paraId="660420F9">
      <w:pPr>
        <w:pStyle w:val="2"/>
        <w:spacing w:before="320" w:after="80"/>
      </w:pPr>
      <w:r>
        <w:rPr>
          <w:rFonts w:ascii="Arial" w:hAnsi="Arial" w:eastAsia="Arial" w:cs="Arial"/>
          <w:b/>
          <w:bCs/>
          <w:color w:val="1A4F8A"/>
          <w:sz w:val="28"/>
          <w:szCs w:val="28"/>
        </w:rPr>
        <w:t>Chapter 5: Conclusion</w:t>
      </w:r>
    </w:p>
    <w:p w14:paraId="1ECA6B05">
      <w:pPr>
        <w:pStyle w:val="3"/>
        <w:spacing w:before="240" w:after="60"/>
      </w:pPr>
      <w:r>
        <w:rPr>
          <w:rFonts w:ascii="Arial" w:hAnsi="Arial" w:eastAsia="Arial" w:cs="Arial"/>
          <w:b/>
          <w:bCs/>
          <w:color w:val="2E75B6"/>
          <w:sz w:val="22"/>
          <w:szCs w:val="22"/>
        </w:rPr>
        <w:t>5.1 Summary</w:t>
      </w:r>
    </w:p>
    <w:p w14:paraId="634B6C08">
      <w:pPr>
        <w:spacing w:before="60" w:after="120" w:line="276" w:lineRule="auto"/>
        <w:jc w:val="both"/>
      </w:pPr>
      <w:r>
        <w:rPr>
          <w:rFonts w:ascii="Arial" w:hAnsi="Arial" w:eastAsia="Arial" w:cs="Arial"/>
          <w:color w:val="222222"/>
          <w:sz w:val="20"/>
          <w:szCs w:val="20"/>
        </w:rPr>
        <w:t xml:space="preserve">This thesis has addressed the longstanding and complex challenges of Type 1 diabetes management by developing </w:t>
      </w:r>
      <w:r>
        <w:rPr>
          <w:rFonts w:cs="Arial"/>
          <w:color w:val="222222"/>
          <w:sz w:val="20"/>
          <w:szCs w:val="20"/>
          <w:lang w:val="de-DE"/>
        </w:rPr>
        <w:t>The Model</w:t>
      </w:r>
      <w:r>
        <w:rPr>
          <w:rFonts w:ascii="Arial" w:hAnsi="Arial" w:eastAsia="Arial" w:cs="Arial"/>
          <w:color w:val="222222"/>
          <w:sz w:val="20"/>
          <w:szCs w:val="20"/>
        </w:rPr>
        <w:t xml:space="preserve"> </w:t>
      </w:r>
      <w:r>
        <w:rPr>
          <w:rFonts w:cs="Arial"/>
          <w:color w:val="222222"/>
          <w:sz w:val="20"/>
          <w:szCs w:val="20"/>
          <w:lang w:val="de-DE"/>
        </w:rPr>
        <w:t>,</w:t>
      </w:r>
      <w:r>
        <w:rPr>
          <w:rFonts w:ascii="Arial" w:hAnsi="Arial" w:eastAsia="Arial" w:cs="Arial"/>
          <w:color w:val="222222"/>
          <w:sz w:val="20"/>
          <w:szCs w:val="20"/>
        </w:rPr>
        <w:t xml:space="preserve"> a first-of-its-kind data-driven platform that integrates advanced physiological modelling, transparent </w:t>
      </w:r>
      <w:r>
        <w:rPr>
          <w:rFonts w:cs="Arial"/>
          <w:color w:val="222222"/>
          <w:sz w:val="20"/>
          <w:szCs w:val="20"/>
          <w:lang w:val="de-DE"/>
        </w:rPr>
        <w:t>visualization</w:t>
      </w:r>
      <w:r>
        <w:rPr>
          <w:rFonts w:ascii="Arial" w:hAnsi="Arial" w:eastAsia="Arial" w:cs="Arial"/>
          <w:color w:val="222222"/>
          <w:sz w:val="20"/>
          <w:szCs w:val="20"/>
        </w:rPr>
        <w:t xml:space="preserve">, and long-term machine learning capability within a modular, clinically focused architecture. The system architecture </w:t>
      </w:r>
      <w:r>
        <w:rPr>
          <w:rFonts w:cs="Arial"/>
          <w:color w:val="222222"/>
          <w:sz w:val="20"/>
          <w:szCs w:val="20"/>
          <w:lang w:val="de-DE"/>
        </w:rPr>
        <w:t>prioritizes</w:t>
      </w:r>
      <w:r>
        <w:rPr>
          <w:rFonts w:ascii="Arial" w:hAnsi="Arial" w:eastAsia="Arial" w:cs="Arial"/>
          <w:color w:val="222222"/>
          <w:sz w:val="20"/>
          <w:szCs w:val="20"/>
        </w:rPr>
        <w:t xml:space="preserve"> flexibility and clinical safety, ensuring the platform can evolve alongside advances in artificial intelligence while maintaining physician oversight as an inviolable safeguard. Comprehensive technical and user experience testing confirmed system stability, effectiveness, and clinical applicability </w:t>
      </w:r>
      <w:r>
        <w:rPr>
          <w:rFonts w:cs="Arial"/>
          <w:color w:val="222222"/>
          <w:sz w:val="20"/>
          <w:szCs w:val="20"/>
          <w:lang w:val="de-DE"/>
        </w:rPr>
        <w:t>,</w:t>
      </w:r>
      <w:r>
        <w:rPr>
          <w:rFonts w:ascii="Arial" w:hAnsi="Arial" w:eastAsia="Arial" w:cs="Arial"/>
          <w:color w:val="222222"/>
          <w:sz w:val="20"/>
          <w:szCs w:val="20"/>
        </w:rPr>
        <w:t xml:space="preserve"> establishing a robust baseline for future innovation.</w:t>
      </w:r>
    </w:p>
    <w:p w14:paraId="59224AEA">
      <w:pPr>
        <w:pStyle w:val="3"/>
        <w:spacing w:before="240" w:after="60"/>
      </w:pPr>
      <w:r>
        <w:rPr>
          <w:rFonts w:ascii="Arial" w:hAnsi="Arial" w:eastAsia="Arial" w:cs="Arial"/>
          <w:b/>
          <w:bCs/>
          <w:color w:val="2E75B6"/>
          <w:sz w:val="22"/>
          <w:szCs w:val="22"/>
        </w:rPr>
        <w:t>5.2 Research Findings</w:t>
      </w:r>
    </w:p>
    <w:p w14:paraId="4D327F0A">
      <w:pPr>
        <w:spacing w:before="60" w:after="120" w:line="276" w:lineRule="auto"/>
        <w:jc w:val="both"/>
      </w:pPr>
      <w:r>
        <w:rPr>
          <w:rFonts w:ascii="Arial" w:hAnsi="Arial" w:eastAsia="Arial" w:cs="Arial"/>
          <w:color w:val="222222"/>
          <w:sz w:val="20"/>
          <w:szCs w:val="20"/>
        </w:rPr>
        <w:t xml:space="preserve">The study produced several important findings. Technically, the platform successfully </w:t>
      </w:r>
      <w:r>
        <w:rPr>
          <w:rFonts w:cs="Arial"/>
          <w:color w:val="222222"/>
          <w:sz w:val="20"/>
          <w:szCs w:val="20"/>
          <w:lang w:val="de-DE"/>
        </w:rPr>
        <w:t>opera</w:t>
      </w:r>
      <w:r>
        <w:rPr>
          <w:rFonts w:hint="default" w:cs="Arial"/>
          <w:color w:val="222222"/>
          <w:sz w:val="20"/>
          <w:szCs w:val="20"/>
          <w:lang w:val="de-DE"/>
        </w:rPr>
        <w:t>ted</w:t>
      </w:r>
      <w:r>
        <w:rPr>
          <w:rFonts w:ascii="Arial" w:hAnsi="Arial" w:eastAsia="Arial" w:cs="Arial"/>
          <w:color w:val="222222"/>
          <w:sz w:val="20"/>
          <w:szCs w:val="20"/>
        </w:rPr>
        <w:t xml:space="preserve"> complex insulin dosing logic within a modular architecture that supports real-time calculation, rapid expansion, and compatibility with standard hardware. Performance testing demonstrated:</w:t>
      </w:r>
    </w:p>
    <w:p w14:paraId="063BE9CE">
      <w:pPr>
        <w:pStyle w:val="16"/>
        <w:numPr>
          <w:ilvl w:val="0"/>
          <w:numId w:val="1"/>
        </w:numPr>
        <w:spacing w:before="40" w:after="40" w:line="276" w:lineRule="auto"/>
      </w:pPr>
      <w:r>
        <w:rPr>
          <w:rFonts w:ascii="Arial" w:hAnsi="Arial" w:eastAsia="Arial" w:cs="Arial"/>
          <w:color w:val="222222"/>
          <w:sz w:val="20"/>
          <w:szCs w:val="20"/>
        </w:rPr>
        <w:t>Processing of 50,000 database entries in 0.88 seconds using 30 MB of memory</w:t>
      </w:r>
    </w:p>
    <w:p w14:paraId="48568184">
      <w:pPr>
        <w:pStyle w:val="16"/>
        <w:numPr>
          <w:ilvl w:val="0"/>
          <w:numId w:val="1"/>
        </w:numPr>
        <w:spacing w:before="40" w:after="40" w:line="276" w:lineRule="auto"/>
      </w:pPr>
      <w:r>
        <w:rPr>
          <w:rFonts w:ascii="Arial" w:hAnsi="Arial" w:eastAsia="Arial" w:cs="Arial"/>
          <w:color w:val="222222"/>
          <w:sz w:val="20"/>
          <w:szCs w:val="20"/>
        </w:rPr>
        <w:t>Stable operation across 17 days, processing 4,738 real glucose data points from the AZT1D clinical dataset</w:t>
      </w:r>
    </w:p>
    <w:p w14:paraId="10615CC2">
      <w:pPr>
        <w:pStyle w:val="16"/>
        <w:numPr>
          <w:ilvl w:val="0"/>
          <w:numId w:val="1"/>
        </w:numPr>
        <w:spacing w:before="40" w:after="40" w:line="276" w:lineRule="auto"/>
      </w:pPr>
      <w:r>
        <w:rPr>
          <w:rFonts w:ascii="Arial" w:hAnsi="Arial" w:eastAsia="Arial" w:cs="Arial"/>
          <w:color w:val="222222"/>
          <w:sz w:val="20"/>
          <w:szCs w:val="20"/>
        </w:rPr>
        <w:t>Support for 25 concurrent users with 100% session completion</w:t>
      </w:r>
    </w:p>
    <w:p w14:paraId="512760A3">
      <w:pPr>
        <w:spacing w:before="60" w:after="120" w:line="276" w:lineRule="auto"/>
        <w:jc w:val="both"/>
      </w:pPr>
      <w:r>
        <w:rPr>
          <w:rFonts w:ascii="Arial" w:hAnsi="Arial" w:eastAsia="Arial" w:cs="Arial"/>
          <w:color w:val="222222"/>
          <w:sz w:val="20"/>
          <w:szCs w:val="20"/>
        </w:rPr>
        <w:t xml:space="preserve">Clinically, expert review by a board-certified diabetologist confirmed the appropriateness of the evidence-based recommendation logic. The data architecture demonstrated readiness for machine learning integration, with over 50,000 meal-outcome pairs suitable for time-series model training and 5-minute </w:t>
      </w:r>
      <w:r>
        <w:rPr>
          <w:rFonts w:cs="Arial"/>
          <w:color w:val="222222"/>
          <w:sz w:val="20"/>
          <w:szCs w:val="20"/>
          <w:lang w:val="de-DE"/>
        </w:rPr>
        <w:t>standardized</w:t>
      </w:r>
      <w:r>
        <w:rPr>
          <w:rFonts w:ascii="Arial" w:hAnsi="Arial" w:eastAsia="Arial" w:cs="Arial"/>
          <w:color w:val="222222"/>
          <w:sz w:val="20"/>
          <w:szCs w:val="20"/>
        </w:rPr>
        <w:t xml:space="preserve"> temporal consistency across all records.</w:t>
      </w:r>
    </w:p>
    <w:p w14:paraId="20B31922">
      <w:pPr>
        <w:pStyle w:val="3"/>
        <w:spacing w:before="240" w:after="60"/>
      </w:pPr>
      <w:r>
        <w:rPr>
          <w:rFonts w:ascii="Arial" w:hAnsi="Arial" w:eastAsia="Arial" w:cs="Arial"/>
          <w:b/>
          <w:bCs/>
          <w:color w:val="2E75B6"/>
          <w:sz w:val="22"/>
          <w:szCs w:val="22"/>
        </w:rPr>
        <w:t>5.3 Limitations</w:t>
      </w:r>
    </w:p>
    <w:p w14:paraId="31EF562E">
      <w:pPr>
        <w:pStyle w:val="14"/>
        <w:keepNext w:val="0"/>
        <w:keepLines w:val="0"/>
        <w:widowControl/>
        <w:suppressLineNumbers w:val="0"/>
        <w:spacing w:before="0" w:beforeAutospacing="1" w:after="0" w:afterAutospacing="1"/>
        <w:ind w:left="0" w:right="0"/>
        <w:rPr>
          <w:rFonts w:ascii="Arial" w:hAnsi="Arial" w:eastAsia="Arial" w:cs="Arial"/>
          <w:color w:val="222222"/>
          <w:sz w:val="20"/>
          <w:szCs w:val="20"/>
        </w:rPr>
      </w:pPr>
      <w:r>
        <w:rPr>
          <w:rFonts w:ascii="Arial" w:hAnsi="Arial" w:eastAsia="Arial" w:cs="Arial"/>
          <w:color w:val="222222"/>
          <w:sz w:val="20"/>
          <w:szCs w:val="20"/>
        </w:rPr>
        <w:t>Several limitations accompany this research. Most significantly, large-scale clinical trials with diverse real patient populations have not yet been conducted to validate long-term health outcome effects. The current evaluation, while extensive, was based on simulated data and expert opinion</w:t>
      </w:r>
      <w:r>
        <w:rPr>
          <w:rFonts w:hint="default" w:cs="Arial"/>
          <w:color w:val="222222"/>
          <w:sz w:val="20"/>
          <w:szCs w:val="20"/>
          <w:lang w:val="de-DE"/>
        </w:rPr>
        <w:t>,</w:t>
      </w:r>
      <w:r>
        <w:rPr>
          <w:rFonts w:ascii="Arial" w:hAnsi="Arial" w:eastAsia="Arial" w:cs="Arial"/>
          <w:color w:val="222222"/>
          <w:sz w:val="20"/>
          <w:szCs w:val="20"/>
        </w:rPr>
        <w:t xml:space="preserve"> valuable but not fully reflective of real clinical practice. The physiological models, while substantially more sophisticated than conventional static approaches, remain simplifications of the full complexity of human metabolism.</w:t>
      </w:r>
    </w:p>
    <w:p w14:paraId="3BA66D88">
      <w:pPr>
        <w:pStyle w:val="14"/>
        <w:keepNext w:val="0"/>
        <w:keepLines w:val="0"/>
        <w:widowControl/>
        <w:suppressLineNumbers w:val="0"/>
        <w:spacing w:before="0" w:beforeAutospacing="1" w:after="0" w:afterAutospacing="1"/>
        <w:ind w:left="0" w:right="0"/>
        <w:rPr>
          <w:rFonts w:ascii="Arial" w:hAnsi="Arial" w:eastAsia="Arial" w:cs="Arial"/>
          <w:color w:val="222222"/>
          <w:sz w:val="20"/>
          <w:szCs w:val="20"/>
        </w:rPr>
      </w:pPr>
      <w:r>
        <w:rPr>
          <w:rFonts w:ascii="Arial" w:hAnsi="Arial" w:eastAsia="Arial" w:cs="Arial"/>
          <w:color w:val="222222"/>
          <w:sz w:val="20"/>
          <w:szCs w:val="20"/>
        </w:rPr>
        <w:t xml:space="preserve">A related limitation concerns the default coefficients assigned to factors such as physical activity, stress, illness, and circadian variation. For several of these </w:t>
      </w:r>
      <w:r>
        <w:rPr>
          <w:rFonts w:hint="default" w:cs="Arial"/>
          <w:color w:val="222222"/>
          <w:sz w:val="20"/>
          <w:szCs w:val="20"/>
          <w:lang w:val="de-DE"/>
        </w:rPr>
        <w:t>,</w:t>
      </w:r>
      <w:r>
        <w:rPr>
          <w:rFonts w:ascii="Arial" w:hAnsi="Arial" w:eastAsia="Arial" w:cs="Arial"/>
          <w:color w:val="222222"/>
          <w:sz w:val="20"/>
          <w:szCs w:val="20"/>
        </w:rPr>
        <w:t xml:space="preserve"> notably stress-induced insulin resistance and sleep disruption effects</w:t>
      </w:r>
      <w:r>
        <w:rPr>
          <w:rFonts w:hint="default" w:cs="Arial"/>
          <w:color w:val="222222"/>
          <w:sz w:val="20"/>
          <w:szCs w:val="20"/>
          <w:lang w:val="de-DE"/>
        </w:rPr>
        <w:t>,</w:t>
      </w:r>
      <w:r>
        <w:rPr>
          <w:rFonts w:ascii="Arial" w:hAnsi="Arial" w:eastAsia="Arial" w:cs="Arial"/>
          <w:color w:val="222222"/>
          <w:sz w:val="20"/>
          <w:szCs w:val="20"/>
        </w:rPr>
        <w:t xml:space="preserve"> no universally agreed clinical defaults currently exist; the values used are reasonable approximations rather than evidence-based constants. All defaults are currently applied uniformly across patients, whereas the glycaemic response to the same activity or stress can vary substantially between individuals depending on fitness level, activity type, autonomic profile, and hormonal state. Future iterations must replace these static values with patient-specific coefficients derived from longitudinal sensor data, and where clinical consensus is absent, establish them empirically.</w:t>
      </w:r>
    </w:p>
    <w:p w14:paraId="3F48656D">
      <w:pPr>
        <w:pStyle w:val="14"/>
        <w:keepNext w:val="0"/>
        <w:keepLines w:val="0"/>
        <w:widowControl/>
        <w:suppressLineNumbers w:val="0"/>
        <w:spacing w:before="0" w:beforeAutospacing="1" w:after="0" w:afterAutospacing="1"/>
        <w:ind w:left="0" w:right="0"/>
        <w:rPr>
          <w:rFonts w:ascii="Arial" w:hAnsi="Arial" w:eastAsia="Arial" w:cs="Arial"/>
          <w:color w:val="222222"/>
          <w:sz w:val="20"/>
          <w:szCs w:val="20"/>
        </w:rPr>
      </w:pPr>
      <w:r>
        <w:rPr>
          <w:rFonts w:ascii="Arial" w:hAnsi="Arial" w:eastAsia="Arial" w:cs="Arial"/>
          <w:color w:val="222222"/>
          <w:sz w:val="20"/>
          <w:szCs w:val="20"/>
        </w:rPr>
        <w:t xml:space="preserve">The platform does not yet implement per-patient pattern profiling. While the data architecture captures the temporal structures needed for rigorous time-series analysis, the layer that mines this data to detect recurring response signatures </w:t>
      </w:r>
      <w:r>
        <w:rPr>
          <w:rFonts w:hint="default" w:cs="Arial"/>
          <w:color w:val="222222"/>
          <w:sz w:val="20"/>
          <w:szCs w:val="20"/>
          <w:lang w:val="de-DE"/>
        </w:rPr>
        <w:t>,</w:t>
      </w:r>
      <w:r>
        <w:rPr>
          <w:rFonts w:ascii="Arial" w:hAnsi="Arial" w:eastAsia="Arial" w:cs="Arial"/>
          <w:color w:val="222222"/>
          <w:sz w:val="20"/>
          <w:szCs w:val="20"/>
        </w:rPr>
        <w:t xml:space="preserve"> such as consistent postprandial spikes after high-fat meals or nocturnal hypoglycaemia following afternoon exercise</w:t>
      </w:r>
      <w:r>
        <w:rPr>
          <w:rFonts w:hint="default" w:cs="Arial"/>
          <w:color w:val="222222"/>
          <w:sz w:val="20"/>
          <w:szCs w:val="20"/>
          <w:lang w:val="de-DE"/>
        </w:rPr>
        <w:t>,</w:t>
      </w:r>
      <w:r>
        <w:rPr>
          <w:rFonts w:ascii="Arial" w:hAnsi="Arial" w:eastAsia="Arial" w:cs="Arial"/>
          <w:color w:val="222222"/>
          <w:sz w:val="20"/>
          <w:szCs w:val="20"/>
        </w:rPr>
        <w:t xml:space="preserve"> and translates them into automatic coefficient adjustments remains a future development priority.</w:t>
      </w:r>
    </w:p>
    <w:p w14:paraId="3F1ACC8A">
      <w:pPr>
        <w:pStyle w:val="14"/>
        <w:keepNext w:val="0"/>
        <w:keepLines w:val="0"/>
        <w:widowControl/>
        <w:suppressLineNumbers w:val="0"/>
        <w:spacing w:before="0" w:beforeAutospacing="1" w:after="0" w:afterAutospacing="1"/>
        <w:ind w:left="0" w:right="0"/>
        <w:rPr>
          <w:rFonts w:ascii="Arial" w:hAnsi="Arial" w:eastAsia="Arial" w:cs="Arial"/>
          <w:color w:val="222222"/>
          <w:sz w:val="20"/>
          <w:szCs w:val="20"/>
        </w:rPr>
      </w:pPr>
      <w:r>
        <w:rPr>
          <w:rFonts w:ascii="Arial" w:hAnsi="Arial" w:eastAsia="Arial" w:cs="Arial"/>
          <w:color w:val="222222"/>
          <w:sz w:val="20"/>
          <w:szCs w:val="20"/>
        </w:rPr>
        <w:t>Integration with EHR systems and external medical hardware</w:t>
      </w:r>
      <w:r>
        <w:rPr>
          <w:rFonts w:hint="default" w:cs="Arial"/>
          <w:color w:val="222222"/>
          <w:sz w:val="20"/>
          <w:szCs w:val="20"/>
          <w:lang w:val="de-DE"/>
        </w:rPr>
        <w:t>,</w:t>
      </w:r>
      <w:r>
        <w:rPr>
          <w:rFonts w:ascii="Arial" w:hAnsi="Arial" w:eastAsia="Arial" w:cs="Arial"/>
          <w:color w:val="222222"/>
          <w:sz w:val="20"/>
          <w:szCs w:val="20"/>
        </w:rPr>
        <w:t xml:space="preserve"> while architecturally supported</w:t>
      </w:r>
      <w:r>
        <w:rPr>
          <w:rFonts w:hint="default" w:cs="Arial"/>
          <w:color w:val="222222"/>
          <w:sz w:val="20"/>
          <w:szCs w:val="20"/>
          <w:lang w:val="de-DE"/>
        </w:rPr>
        <w:t>,</w:t>
      </w:r>
      <w:r>
        <w:rPr>
          <w:rFonts w:ascii="Arial" w:hAnsi="Arial" w:eastAsia="Arial" w:cs="Arial"/>
          <w:color w:val="222222"/>
          <w:sz w:val="20"/>
          <w:szCs w:val="20"/>
        </w:rPr>
        <w:t xml:space="preserve"> was not implemented or tested in production environments. Applicability to paediatric, geriatric, and comorbid populations requires dedicated investigation.</w:t>
      </w:r>
    </w:p>
    <w:p w14:paraId="033A2FF7">
      <w:pPr>
        <w:spacing w:before="60" w:after="120" w:line="276" w:lineRule="auto"/>
        <w:jc w:val="both"/>
      </w:pPr>
    </w:p>
    <w:p w14:paraId="1302113A">
      <w:pPr>
        <w:pStyle w:val="3"/>
        <w:spacing w:before="240" w:after="60"/>
      </w:pPr>
      <w:r>
        <w:rPr>
          <w:rFonts w:ascii="Arial" w:hAnsi="Arial" w:eastAsia="Arial" w:cs="Arial"/>
          <w:b/>
          <w:bCs/>
          <w:color w:val="2E75B6"/>
          <w:sz w:val="22"/>
          <w:szCs w:val="22"/>
        </w:rPr>
        <w:t>5.4 Future Research Directions</w:t>
      </w:r>
    </w:p>
    <w:p w14:paraId="5D703EA2">
      <w:pPr>
        <w:spacing w:before="60" w:after="120" w:line="276" w:lineRule="auto"/>
        <w:jc w:val="both"/>
      </w:pPr>
      <w:r>
        <w:rPr>
          <w:rFonts w:ascii="Arial" w:hAnsi="Arial" w:eastAsia="Arial" w:cs="Arial"/>
          <w:color w:val="222222"/>
          <w:sz w:val="20"/>
          <w:szCs w:val="20"/>
        </w:rPr>
        <w:t xml:space="preserve">The most urgent research priority is implementation of clinical trials with actual T1D patients across diverse care settings. Future physiological modelling work should extend coverage to hormonal and menstrual cycle influences on insulin sensitivity </w:t>
      </w:r>
      <w:r>
        <w:rPr>
          <w:rFonts w:cs="Arial"/>
          <w:color w:val="222222"/>
          <w:sz w:val="20"/>
          <w:szCs w:val="20"/>
          <w:lang w:val="de-DE"/>
        </w:rPr>
        <w:t>,</w:t>
      </w:r>
      <w:r>
        <w:rPr>
          <w:rFonts w:ascii="Arial" w:hAnsi="Arial" w:eastAsia="Arial" w:cs="Arial"/>
          <w:color w:val="222222"/>
          <w:sz w:val="20"/>
          <w:szCs w:val="20"/>
        </w:rPr>
        <w:t xml:space="preserve"> an area currently underrepresented in all major AID systems </w:t>
      </w:r>
      <w:r>
        <w:rPr>
          <w:rFonts w:cs="Arial"/>
          <w:color w:val="222222"/>
          <w:sz w:val="20"/>
          <w:szCs w:val="20"/>
          <w:lang w:val="de-DE"/>
        </w:rPr>
        <w:t>,</w:t>
      </w:r>
      <w:r>
        <w:rPr>
          <w:rFonts w:ascii="Arial" w:hAnsi="Arial" w:eastAsia="Arial" w:cs="Arial"/>
          <w:color w:val="222222"/>
          <w:sz w:val="20"/>
          <w:szCs w:val="20"/>
        </w:rPr>
        <w:t xml:space="preserve"> as well as stress effects, acute and chronic illness impacts, and more granular physical activity modelling. These directions are directly aligned with the work of the HPI NCD research group.</w:t>
      </w:r>
    </w:p>
    <w:p w14:paraId="6C0BD8A5">
      <w:pPr>
        <w:spacing w:before="60" w:after="120" w:line="276" w:lineRule="auto"/>
        <w:jc w:val="both"/>
      </w:pPr>
      <w:r>
        <w:rPr>
          <w:rFonts w:ascii="Arial" w:hAnsi="Arial" w:eastAsia="Arial" w:cs="Arial"/>
          <w:color w:val="222222"/>
          <w:sz w:val="20"/>
          <w:szCs w:val="20"/>
        </w:rPr>
        <w:t xml:space="preserve">Advanced AI methods </w:t>
      </w:r>
      <w:r>
        <w:rPr>
          <w:rFonts w:cs="Arial"/>
          <w:color w:val="222222"/>
          <w:sz w:val="20"/>
          <w:szCs w:val="20"/>
          <w:lang w:val="de-DE"/>
        </w:rPr>
        <w:t>,</w:t>
      </w:r>
      <w:r>
        <w:rPr>
          <w:rFonts w:ascii="Arial" w:hAnsi="Arial" w:eastAsia="Arial" w:cs="Arial"/>
          <w:color w:val="222222"/>
          <w:sz w:val="20"/>
          <w:szCs w:val="20"/>
        </w:rPr>
        <w:t xml:space="preserve"> specifically supervised and reinforcement learning modules </w:t>
      </w:r>
      <w:r>
        <w:rPr>
          <w:rFonts w:cs="Arial"/>
          <w:color w:val="222222"/>
          <w:sz w:val="20"/>
          <w:szCs w:val="20"/>
          <w:lang w:val="de-DE"/>
        </w:rPr>
        <w:t>,</w:t>
      </w:r>
      <w:r>
        <w:rPr>
          <w:rFonts w:ascii="Arial" w:hAnsi="Arial" w:eastAsia="Arial" w:cs="Arial"/>
          <w:color w:val="222222"/>
          <w:sz w:val="20"/>
          <w:szCs w:val="20"/>
        </w:rPr>
        <w:t xml:space="preserve"> hold substantial potential for adaptive real-time insulin dosing and predictive analytics capable of anticipating and responding to individual patient requirements. In summary, this thesis demonstrates that a modular, data-driven platform can meaningfully improve Type 1 diabetes care </w:t>
      </w:r>
      <w:r>
        <w:rPr>
          <w:rFonts w:cs="Arial"/>
          <w:color w:val="222222"/>
          <w:sz w:val="20"/>
          <w:szCs w:val="20"/>
          <w:lang w:val="de-DE"/>
        </w:rPr>
        <w:t>,</w:t>
      </w:r>
      <w:r>
        <w:rPr>
          <w:rFonts w:ascii="Arial" w:hAnsi="Arial" w:eastAsia="Arial" w:cs="Arial"/>
          <w:color w:val="222222"/>
          <w:sz w:val="20"/>
          <w:szCs w:val="20"/>
        </w:rPr>
        <w:t xml:space="preserve"> paving the way towards a </w:t>
      </w:r>
      <w:r>
        <w:rPr>
          <w:rFonts w:cs="Arial"/>
          <w:color w:val="222222"/>
          <w:sz w:val="20"/>
          <w:szCs w:val="20"/>
          <w:lang w:val="de-DE"/>
        </w:rPr>
        <w:t>personalized</w:t>
      </w:r>
      <w:r>
        <w:rPr>
          <w:rFonts w:ascii="Arial" w:hAnsi="Arial" w:eastAsia="Arial" w:cs="Arial"/>
          <w:color w:val="222222"/>
          <w:sz w:val="20"/>
          <w:szCs w:val="20"/>
        </w:rPr>
        <w:t>, accessible, and clinically integrated future.</w:t>
      </w:r>
    </w:p>
    <w:p w14:paraId="4DA837FE">
      <w:pPr>
        <w:pBdr>
          <w:bottom w:val="single" w:color="2E75B6" w:sz="6" w:space="1"/>
        </w:pBdr>
        <w:spacing w:before="0" w:after="0"/>
      </w:pPr>
    </w:p>
    <w:p w14:paraId="4CC7F9A4">
      <w:pPr>
        <w:spacing w:before="80" w:after="0"/>
      </w:pPr>
    </w:p>
    <w:p w14:paraId="712421D9">
      <w:pPr>
        <w:pStyle w:val="2"/>
        <w:spacing w:before="320" w:after="80"/>
      </w:pPr>
      <w:r>
        <w:rPr>
          <w:rFonts w:ascii="Arial" w:hAnsi="Arial" w:eastAsia="Arial" w:cs="Arial"/>
          <w:b/>
          <w:bCs/>
          <w:color w:val="1A4F8A"/>
          <w:sz w:val="28"/>
          <w:szCs w:val="28"/>
        </w:rPr>
        <w:t>Key References</w:t>
      </w:r>
    </w:p>
    <w:p w14:paraId="2DC41C1D">
      <w:pPr>
        <w:spacing w:before="40" w:after="80" w:line="276" w:lineRule="auto"/>
      </w:pPr>
      <w:r>
        <w:rPr>
          <w:rFonts w:ascii="Arial" w:hAnsi="Arial" w:eastAsia="Arial" w:cs="Arial"/>
          <w:b/>
          <w:bCs/>
          <w:color w:val="2E75B6"/>
          <w:sz w:val="18"/>
          <w:szCs w:val="18"/>
        </w:rPr>
        <w:t>Clinical Guideline</w:t>
      </w:r>
    </w:p>
    <w:p w14:paraId="5E8D7A95">
      <w:pPr>
        <w:spacing w:before="20" w:after="40"/>
        <w:ind w:left="360" w:hanging="360"/>
      </w:pPr>
      <w:r>
        <w:rPr>
          <w:rFonts w:ascii="Arial" w:hAnsi="Arial" w:eastAsia="Arial" w:cs="Arial"/>
          <w:color w:val="222222"/>
          <w:sz w:val="18"/>
          <w:szCs w:val="18"/>
        </w:rPr>
        <w:t>Halle M et al. Therapie des Typ-1-Diabetes, S3-Leitlinie, Version 5.0. AWMF-Registry 057-013. Diabetologie und Stoffwechsel 2024; 19: S155–S166. DOI: 10.1055/a-2312-0276</w:t>
      </w:r>
    </w:p>
    <w:p w14:paraId="3681B823">
      <w:pPr>
        <w:spacing w:before="40" w:after="80" w:line="276" w:lineRule="auto"/>
      </w:pPr>
      <w:r>
        <w:rPr>
          <w:rFonts w:ascii="Arial" w:hAnsi="Arial" w:eastAsia="Arial" w:cs="Arial"/>
          <w:b/>
          <w:bCs/>
          <w:color w:val="2E75B6"/>
          <w:sz w:val="18"/>
          <w:szCs w:val="18"/>
        </w:rPr>
        <w:t>Selected Literature</w:t>
      </w:r>
    </w:p>
    <w:p w14:paraId="7791D5FB">
      <w:pPr>
        <w:spacing w:before="20" w:after="20"/>
        <w:ind w:left="360" w:hanging="360"/>
      </w:pPr>
      <w:r>
        <w:rPr>
          <w:rFonts w:ascii="Arial" w:hAnsi="Arial" w:eastAsia="Arial" w:cs="Arial"/>
          <w:color w:val="222222"/>
          <w:sz w:val="18"/>
          <w:szCs w:val="18"/>
        </w:rPr>
        <w:t>Battelino et al. (2019). Clinical targets for CGM data interpretation. Diabetes Care, 42(8), 1593–1603.</w:t>
      </w:r>
    </w:p>
    <w:p w14:paraId="06B89CC7">
      <w:pPr>
        <w:spacing w:before="20" w:after="20"/>
        <w:ind w:left="360" w:hanging="360"/>
      </w:pPr>
      <w:r>
        <w:rPr>
          <w:rFonts w:ascii="Arial" w:hAnsi="Arial" w:eastAsia="Arial" w:cs="Arial"/>
          <w:color w:val="222222"/>
          <w:sz w:val="18"/>
          <w:szCs w:val="18"/>
        </w:rPr>
        <w:t>Jafar et al. (2024). Personalized insulin dosing using RL for high-fat meals and aerobic exercises in T1D. Nature Communications, 15, 6585.</w:t>
      </w:r>
    </w:p>
    <w:p w14:paraId="3E821FA5">
      <w:pPr>
        <w:spacing w:before="20" w:after="20"/>
        <w:ind w:left="360" w:hanging="360"/>
      </w:pPr>
      <w:r>
        <w:rPr>
          <w:rFonts w:ascii="Arial" w:hAnsi="Arial" w:eastAsia="Arial" w:cs="Arial"/>
          <w:color w:val="222222"/>
          <w:sz w:val="18"/>
          <w:szCs w:val="18"/>
        </w:rPr>
        <w:t>Khamesian et al. (2025). AZT1D: A real-world dataset for T1D (V1). Mendeley.</w:t>
      </w:r>
    </w:p>
    <w:p w14:paraId="3EAD6191">
      <w:pPr>
        <w:spacing w:before="20" w:after="20"/>
        <w:ind w:left="360" w:hanging="360"/>
      </w:pPr>
      <w:r>
        <w:rPr>
          <w:rFonts w:ascii="Arial" w:hAnsi="Arial" w:eastAsia="Arial" w:cs="Arial"/>
          <w:color w:val="222222"/>
          <w:sz w:val="18"/>
          <w:szCs w:val="18"/>
        </w:rPr>
        <w:t>Nallicheri et al. (2022). Clinical benefits of advanced hybrid closed-loop systems. Diabetes Technology &amp; Therapeutics, 24(12), 871–885.</w:t>
      </w:r>
    </w:p>
    <w:p w14:paraId="2BA57A4E">
      <w:pPr>
        <w:spacing w:before="20" w:after="20"/>
        <w:ind w:left="360" w:hanging="360"/>
      </w:pPr>
      <w:bookmarkStart w:id="0" w:name="_GoBack"/>
      <w:r>
        <w:rPr>
          <w:rFonts w:ascii="Arial" w:hAnsi="Arial" w:eastAsia="Arial" w:cs="Arial"/>
          <w:color w:val="222222"/>
          <w:sz w:val="18"/>
          <w:szCs w:val="18"/>
        </w:rPr>
        <w:t>Paramesh et al. (2024). Digital twin technology for personalized nutrition. Journal of Personalized Medicine, 14(8), 821.</w:t>
      </w:r>
    </w:p>
    <w:bookmarkEnd w:id="0"/>
    <w:p w14:paraId="64BA0721">
      <w:pPr>
        <w:spacing w:before="20" w:after="20"/>
        <w:ind w:left="360" w:hanging="360"/>
      </w:pPr>
      <w:r>
        <w:rPr>
          <w:rFonts w:ascii="Arial" w:hAnsi="Arial" w:eastAsia="Arial" w:cs="Arial"/>
          <w:color w:val="222222"/>
          <w:sz w:val="18"/>
          <w:szCs w:val="18"/>
        </w:rPr>
        <w:t>Wang et al. (2023). Optimized glycemic control with RL: A proof-of-concept trial. Nature Medicine, 29, 2633–2642.</w:t>
      </w:r>
    </w:p>
    <w:p w14:paraId="691A6D29">
      <w:pPr>
        <w:spacing w:before="20" w:after="20"/>
        <w:ind w:left="360" w:hanging="360"/>
      </w:pPr>
      <w:r>
        <w:rPr>
          <w:rFonts w:ascii="Arial" w:hAnsi="Arial" w:eastAsia="Arial" w:cs="Arial"/>
          <w:color w:val="222222"/>
          <w:sz w:val="18"/>
          <w:szCs w:val="18"/>
        </w:rPr>
        <w:t>Zeevi et al. (2015). Personalized nutrition by prediction of glycemic responses. Cell, 163(5), 1079–1094.</w:t>
      </w:r>
    </w:p>
    <w:sectPr>
      <w:headerReference r:id="rId3" w:type="default"/>
      <w:footerReference r:id="rId4" w:type="default"/>
      <w:pgSz w:w="11906" w:h="16838"/>
      <w:pgMar w:top="1134" w:right="1134" w:bottom="1134" w:left="1134"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8E664">
    <w:pPr>
      <w:pBdr>
        <w:top w:val="single" w:color="1A4F8A" w:sz="4" w:space="1"/>
      </w:pBdr>
      <w:tabs>
        <w:tab w:val="right" w:pos="8500"/>
      </w:tabs>
      <w:spacing w:before="80" w:after="0"/>
    </w:pPr>
    <w:r>
      <w:rPr>
        <w:sz w:val="1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C942A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21C942A5">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rFonts w:ascii="Arial" w:hAnsi="Arial" w:eastAsia="Arial" w:cs="Arial"/>
        <w:color w:val="555555"/>
        <w:sz w:val="16"/>
        <w:szCs w:val="16"/>
      </w:rPr>
      <w:t xml:space="preserve">Deggendorf Institute of Technology </w:t>
    </w:r>
    <w:r>
      <w:rPr>
        <w:rFonts w:cs="Arial"/>
        <w:color w:val="555555"/>
        <w:sz w:val="16"/>
        <w:szCs w:val="16"/>
        <w:lang w:val="de-DE"/>
      </w:rPr>
      <w:t>,</w:t>
    </w:r>
    <w:r>
      <w:rPr>
        <w:rFonts w:ascii="Arial" w:hAnsi="Arial" w:eastAsia="Arial" w:cs="Arial"/>
        <w:color w:val="555555"/>
        <w:sz w:val="16"/>
        <w:szCs w:val="16"/>
      </w:rPr>
      <w:t xml:space="preserve"> European Campus Rottal-Inn</w:t>
    </w:r>
    <w:r>
      <w:rPr>
        <w:rFonts w:ascii="Arial" w:hAnsi="Arial" w:eastAsia="Arial" w:cs="Arial"/>
        <w:sz w:val="16"/>
        <w:szCs w:val="16"/>
      </w:rPr>
      <w:tab/>
    </w:r>
    <w:r>
      <w:rPr>
        <w:rFonts w:hint="default" w:cs="Arial"/>
        <w:sz w:val="16"/>
        <w:szCs w:val="16"/>
        <w:lang w:val="de-DE"/>
      </w:rPr>
      <w:t xml:space="preserve">         </w:t>
    </w:r>
    <w:r>
      <w:rPr>
        <w:rFonts w:ascii="Arial" w:hAnsi="Arial" w:eastAsia="Arial" w:cs="Arial"/>
        <w:color w:val="555555"/>
        <w:sz w:val="16"/>
        <w:szCs w:val="16"/>
      </w:rPr>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A1131">
    <w:pPr>
      <w:pBdr>
        <w:bottom w:val="single" w:color="1A4F8A" w:sz="4" w:space="1"/>
      </w:pBdr>
      <w:spacing w:before="0"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183CF9"/>
    <w:multiLevelType w:val="singleLevel"/>
    <w:tmpl w:val="72183CF9"/>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41056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20" w:after="80"/>
      <w:outlineLvl w:val="0"/>
    </w:pPr>
    <w:rPr>
      <w:rFonts w:ascii="Arial" w:hAnsi="Arial" w:eastAsia="Arial" w:cs="Arial"/>
      <w:b/>
      <w:bCs/>
      <w:color w:val="1A4F8A"/>
      <w:sz w:val="28"/>
      <w:szCs w:val="28"/>
    </w:rPr>
  </w:style>
  <w:style w:type="paragraph" w:styleId="3">
    <w:name w:val="heading 2"/>
    <w:next w:val="1"/>
    <w:qFormat/>
    <w:uiPriority w:val="0"/>
    <w:pPr>
      <w:spacing w:before="240" w:after="60"/>
      <w:outlineLvl w:val="1"/>
    </w:pPr>
    <w:rPr>
      <w:rFonts w:ascii="Arial" w:hAnsi="Arial" w:eastAsia="Arial" w:cs="Arial"/>
      <w:b/>
      <w:bCs/>
      <w:color w:val="2E75B6"/>
      <w:sz w:val="22"/>
      <w:szCs w:val="22"/>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character" w:styleId="11">
    <w:name w:val="footnote reference"/>
    <w:semiHidden/>
    <w:unhideWhenUsed/>
    <w:uiPriority w:val="99"/>
    <w:rPr>
      <w:vertAlign w:val="superscript"/>
    </w:rPr>
  </w:style>
  <w:style w:type="paragraph" w:styleId="12">
    <w:name w:val="footnote text"/>
    <w:link w:val="17"/>
    <w:semiHidden/>
    <w:unhideWhenUsed/>
    <w:uiPriority w:val="99"/>
    <w:pPr>
      <w:spacing w:after="0" w:line="240" w:lineRule="auto"/>
    </w:pPr>
    <w:rPr>
      <w:rFonts w:ascii="Arial" w:hAnsi="Arial" w:eastAsia="Arial" w:cs="Arial"/>
      <w:sz w:val="20"/>
      <w:szCs w:val="20"/>
    </w:rPr>
  </w:style>
  <w:style w:type="character" w:styleId="13">
    <w:name w:val="Hyperlink"/>
    <w:unhideWhenUsed/>
    <w:qFormat/>
    <w:uiPriority w:val="99"/>
    <w:rPr>
      <w:color w:val="0563C1"/>
      <w:u w:val="single"/>
    </w:rPr>
  </w:style>
  <w:style w:type="paragraph" w:styleId="14">
    <w:name w:val="Normal (Web)"/>
    <w:basedOn w:val="1"/>
    <w:uiPriority w:val="0"/>
    <w:rPr>
      <w:sz w:val="24"/>
      <w:szCs w:val="24"/>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TotalTime>69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2026-03-25T21:00:00Z</dcterms:created>
  <dc:creator>Un-named</dc:creator>
  <cp:lastModifiedBy>aliat</cp:lastModifiedBy>
  <dcterms:modified xsi:type="dcterms:W3CDTF">2026-03-25T22:44:12Z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041FD8D7277E4086930967ABBDD56BC0_12</vt:lpwstr>
  </property>
</Properties>
</file>