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9BAB1">
      <w:pPr>
        <w:keepLines w:val="0"/>
        <w:spacing w:before="0" w:after="200" w:line="264" w:lineRule="auto"/>
      </w:pPr>
      <w:r>
        <w:rPr>
          <w:rFonts w:ascii="Calibri" w:hAnsi="Calibri" w:eastAsia="微软雅黑"/>
          <w:b/>
          <w:color w:val="2E74B5"/>
          <w:sz w:val="20"/>
        </w:rPr>
        <w:t>技术方案 / Technical Specification</w:t>
      </w:r>
    </w:p>
    <w:p w14:paraId="322461FC">
      <w:pPr>
        <w:keepNext/>
        <w:keepLines w:val="0"/>
        <w:spacing w:before="0" w:after="80" w:line="264" w:lineRule="auto"/>
      </w:pPr>
      <w:bookmarkStart w:id="0" w:name="_GoBack"/>
      <w:r>
        <w:rPr>
          <w:rFonts w:ascii="Calibri" w:hAnsi="Calibri" w:eastAsia="微软雅黑"/>
          <w:b/>
          <w:color w:val="1F4D78"/>
          <w:sz w:val="48"/>
        </w:rPr>
        <w:t>德州扑克 AI 接入与运营接口方案</w:t>
      </w:r>
    </w:p>
    <w:bookmarkEnd w:id="0"/>
    <w:p w14:paraId="06F78E88">
      <w:pPr>
        <w:keepLines w:val="0"/>
        <w:spacing w:before="0" w:after="360" w:line="264" w:lineRule="auto"/>
      </w:pPr>
      <w:r>
        <w:rPr>
          <w:rFonts w:ascii="Calibri" w:hAnsi="Calibri" w:eastAsia="微软雅黑"/>
          <w:b w:val="0"/>
          <w:color w:val="667085"/>
          <w:sz w:val="26"/>
        </w:rPr>
        <w:t xml:space="preserve">面向 1vN 与多人桌的算法、平台和接口设计（2026 </w:t>
      </w:r>
      <w:r>
        <w:rPr>
          <w:rFonts w:hint="eastAsia" w:ascii="Calibri" w:hAnsi="Calibri"/>
          <w:b w:val="0"/>
          <w:color w:val="667085"/>
          <w:sz w:val="26"/>
          <w:lang w:val="en-US" w:eastAsia="zh-CN"/>
        </w:rPr>
        <w:t>年5月版本</w:t>
      </w:r>
      <w:r>
        <w:rPr>
          <w:rFonts w:ascii="Calibri" w:hAnsi="Calibri" w:eastAsia="微软雅黑"/>
          <w:b w:val="0"/>
          <w:color w:val="667085"/>
          <w:sz w:val="26"/>
        </w:rPr>
        <w:t>）</w:t>
      </w:r>
    </w:p>
    <w:tbl>
      <w:tblPr>
        <w:tblStyle w:val="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37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ABCC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 xml:space="preserve">核心结论  </w:t>
            </w:r>
            <w:r>
              <w:rPr>
                <w:rFonts w:ascii="Calibri" w:hAnsi="Calibri" w:eastAsia="微软雅黑"/>
                <w:color w:val="203040"/>
                <w:sz w:val="20"/>
              </w:rPr>
              <w:t>以 CFR 系列和自博弈蓝图策略为稳定底座，以神经网络完成信息集编码、策略/价值近似，以受控在线求解和动态动作抽象提升质量；业务侧仅通过统一牌局事件和决策接口接入，不直接耦合算法实现。</w:t>
            </w:r>
          </w:p>
        </w:tc>
      </w:tr>
    </w:tbl>
    <w:p w14:paraId="35D940F3">
      <w:pPr>
        <w:spacing w:after="40"/>
      </w:pPr>
    </w:p>
    <w:tbl>
      <w:tblPr>
        <w:tblStyle w:val="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2AE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1096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文档信息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03D4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内容</w:t>
            </w:r>
          </w:p>
        </w:tc>
      </w:tr>
      <w:tr w14:paraId="2EE8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E0A2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F54D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V4.0 / 2026-08-19</w:t>
            </w:r>
          </w:p>
        </w:tc>
      </w:tr>
      <w:tr w14:paraId="0B94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4224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适用范围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91AD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无限注德州扑克；现金桌/锦标赛可配置；优先支持 1v</w:t>
            </w:r>
            <w:r>
              <w:rPr>
                <w:rFonts w:hint="eastAsia" w:ascii="Calibri" w:hAnsi="Calibri"/>
                <w:color w:val="203040"/>
                <w:sz w:val="18"/>
                <w:lang w:val="en-US" w:eastAsia="zh-CN"/>
              </w:rPr>
              <w:t>6</w:t>
            </w:r>
            <w:r>
              <w:rPr>
                <w:rFonts w:ascii="Calibri" w:hAnsi="Calibri" w:eastAsia="微软雅黑"/>
                <w:color w:val="203040"/>
                <w:sz w:val="18"/>
              </w:rPr>
              <w:t>，逐步扩展 9-max</w:t>
            </w:r>
          </w:p>
        </w:tc>
      </w:tr>
      <w:tr w14:paraId="37E7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DF97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目标读者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BEC2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产品、服务端、AI 算法、数据平台、测试、合规与运维团队</w:t>
            </w:r>
          </w:p>
        </w:tc>
      </w:tr>
      <w:tr w14:paraId="52BF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6EAC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输出性质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D097">
            <w:pPr>
              <w:spacing w:after="0" w:line="252" w:lineRule="auto"/>
            </w:pPr>
            <w:r>
              <w:rPr>
                <w:rFonts w:ascii="Calibri" w:hAnsi="Calibri" w:eastAsia="微软雅黑"/>
                <w:color w:val="203040"/>
                <w:sz w:val="18"/>
              </w:rPr>
              <w:t>接口与实施方案；不包含具体模型权重、训练数据和商业承诺</w:t>
            </w:r>
          </w:p>
        </w:tc>
      </w:tr>
    </w:tbl>
    <w:p w14:paraId="2916D2A0">
      <w:pPr>
        <w:spacing w:after="40"/>
      </w:pPr>
    </w:p>
    <w:p w14:paraId="2D3E158E">
      <w:pPr>
        <w:pStyle w:val="2"/>
        <w:keepNext/>
      </w:pPr>
      <w:r>
        <w:t>目录</w:t>
      </w:r>
    </w:p>
    <w:p w14:paraId="4DCC1B82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1. 目标与范围</w:t>
      </w:r>
    </w:p>
    <w:p w14:paraId="175360E9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2. 市场与算法路线判断</w:t>
      </w:r>
    </w:p>
    <w:p w14:paraId="18E6FA40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3. 总体架构</w:t>
      </w:r>
    </w:p>
    <w:p w14:paraId="7E3AA3D5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4. AI 决策模型设计</w:t>
      </w:r>
    </w:p>
    <w:p w14:paraId="5A5822C0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5. 对接原则与通用协议</w:t>
      </w:r>
    </w:p>
    <w:p w14:paraId="347ECB68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6. 核心 AI 接口</w:t>
      </w:r>
    </w:p>
    <w:p w14:paraId="15747756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7. 运营与模型管理接口</w:t>
      </w:r>
    </w:p>
    <w:p w14:paraId="310C25C9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8. 数据、训练与持续学习</w:t>
      </w:r>
    </w:p>
    <w:p w14:paraId="046B1CB6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9. 评测、验收与风控</w:t>
      </w:r>
    </w:p>
    <w:p w14:paraId="11BB3527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10. 开发计划</w:t>
      </w:r>
    </w:p>
    <w:p w14:paraId="27BDBEBF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11. 错误码与实施清单</w:t>
      </w:r>
    </w:p>
    <w:p w14:paraId="5BC2A1B5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附录 A. 关键请求/响应示例</w:t>
      </w:r>
    </w:p>
    <w:p w14:paraId="1DB3A1A9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附录 B. 公开参考资料</w:t>
      </w:r>
    </w:p>
    <w:p w14:paraId="2610A031">
      <w:r>
        <w:br w:type="page"/>
      </w:r>
    </w:p>
    <w:p w14:paraId="0E4B220A">
      <w:pPr>
        <w:pStyle w:val="2"/>
        <w:keepNext/>
      </w:pPr>
      <w:r>
        <w:t>1. 目标与范围</w:t>
      </w:r>
    </w:p>
    <w:p w14:paraId="42734F16">
      <w:pPr>
        <w:pStyle w:val="3"/>
        <w:keepNext/>
      </w:pPr>
      <w:r>
        <w:t>1.1 建设目标</w:t>
      </w:r>
    </w:p>
    <w:p w14:paraId="01F8DAE7">
      <w:pPr>
        <w:keepLines w:val="0"/>
        <w:spacing w:before="0" w:after="120" w:line="264" w:lineRule="auto"/>
      </w:pPr>
      <w:r>
        <w:rPr>
          <w:rFonts w:ascii="Calibri" w:hAnsi="Calibri" w:eastAsia="微软雅黑"/>
          <w:b w:val="0"/>
          <w:color w:val="203040"/>
          <w:sz w:val="21"/>
        </w:rPr>
        <w:t>建设一套与具体算法解耦的德州扑克 AI 服务，使业务系统能够稳定地提交牌局状态、获取合法且可审计的混合策略决策，并通过模型配置、灰度发布、对局评测和数据闭环持续迭代。</w:t>
      </w:r>
    </w:p>
    <w:p w14:paraId="253131CF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同一套协议覆盖1vN、6-max 与 9-max；人数、盲注、前注、筹码深度、牌桌规则均参数化。</w:t>
      </w:r>
    </w:p>
    <w:p w14:paraId="33FD5F35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决策服务严格依据 legalActions 返回动作，下注额全部使用整数筹码单位，避免浮点误差。</w:t>
      </w:r>
    </w:p>
    <w:p w14:paraId="397DDACB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策略版本可追踪、可回滚、可复现实验；每个决策记录模型版本、随机种子、延迟与置信信息。</w:t>
      </w:r>
    </w:p>
    <w:p w14:paraId="43ACDC54">
      <w:pPr>
        <w:pStyle w:val="4"/>
        <w:spacing w:after="80" w:line="264" w:lineRule="auto"/>
      </w:pPr>
      <w:r>
        <w:rPr>
          <w:rFonts w:ascii="Calibri" w:hAnsi="Calibri" w:eastAsia="微软雅黑"/>
          <w:color w:val="203040"/>
          <w:sz w:val="21"/>
        </w:rPr>
        <w:t>训练系统和在线推理解耦；未经离线评测、沙箱对局和灰度验证的模型不得进入生产。</w:t>
      </w:r>
    </w:p>
    <w:p w14:paraId="56D3A053">
      <w:pPr>
        <w:pStyle w:val="3"/>
        <w:keepNext/>
      </w:pPr>
      <w:r>
        <w:t>1.2 不在范围与公平性边界</w:t>
      </w:r>
    </w:p>
    <w:tbl>
      <w:tblPr>
        <w:tblStyle w:val="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41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5BC8">
            <w:pPr>
              <w:spacing w:after="0"/>
            </w:pPr>
          </w:p>
        </w:tc>
      </w:tr>
    </w:tbl>
    <w:p w14:paraId="025015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104D0"/>
    <w:multiLevelType w:val="singleLevel"/>
    <w:tmpl w:val="09A104D0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20D4E"/>
    <w:rsid w:val="2422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color w:val="20304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2026-08-31T11:45:00Z</dcterms:created>
  <dc:creator>李波</dc:creator>
  <cp:lastModifiedBy>李波</cp:lastModifiedBy>
  <dcterms:modified xsi:type="dcterms:W3CDTF">2026-08-31T11:45:39Z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A526FFE2B58041D9B52450BBFA674EB0_11</vt:lpwstr>
  </property>
  <property fmtid="{D5CDD505-2E9C-101B-9397-08002B2CF9AE}" pid="4" name="KSOTemplateDocerSaveRecord">
    <vt:lpwstr>eyJoZGlkIjoiMTI3MmVlNDVmMjI3NzYyNDcxYTdlNDI1Y2ExYzNmZjIiLCJ1c2VySWQiOiIyNzI2MjM4MDgifQ==</vt:lpwstr>
  </property>
</Properties>
</file>