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ТЕХНИЧЕСКИЙ РЕГЛАМЕНТ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взаимодействия по API с внешней биллинговой системой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 рамках системы «Веб-сервис удалённого управления и диагностики электросчётчиков» (MMWS)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Версия документа: 1.0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Дата: __________________</w:t>
      </w:r>
    </w:p>
    <w:p>
      <w:pPr>
        <w:spacing w:after="30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Статус: проект для согласования</w:t>
      </w:r>
    </w:p>
    <w:p>
      <w:r>
        <w:br w:type="page"/>
      </w:r>
    </w:p>
    <w:p>
      <w:pPr>
        <w:pStyle w:val="Heading1"/>
        <w:spacing w:after="20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Общие положения</w:t>
      </w:r>
    </w:p>
    <w:p>
      <w:pPr>
        <w:pStyle w:val="Heading2"/>
        <w:spacing w:after="160" w:before="260"/>
      </w:pPr>
      <w:r>
        <w:t xml:space="preserve">1.1. Назначение документа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Настоящий регламент определяет порядок и правила технического взаимодействия между веб-сервисом удалённого управления и диагностики электросчётчиков (далее — MMWS, Система) и внешней биллинговой системой Заказчика (далее — Биллинг) через программный интерфейс (API). Документ является обязательным для соблюдения на стороне Биллинга при разработке или настройке интеграции с MMWS.</w:t>
      </w:r>
    </w:p>
    <w:p>
      <w:pPr>
        <w:pStyle w:val="Heading2"/>
        <w:spacing w:after="160" w:before="260"/>
      </w:pPr>
      <w:r>
        <w:t xml:space="preserve">1.2. Область применения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Регламент распространяется на все обращения к сегменту REST API MMWS, предназначенному для биллинговой интеграции (методы группы /v1/billing/*), описанному в п. 4.2.9 и 4.2.10 технического задания на разработку MMWS. Регламент не распространяется на методы API, предназначенные для веб-интерфейса оператора.</w:t>
      </w:r>
    </w:p>
    <w:p>
      <w:pPr>
        <w:pStyle w:val="Heading2"/>
        <w:spacing w:after="160" w:before="260"/>
      </w:pPr>
      <w:r>
        <w:t xml:space="preserve">1.3. Платформенная независимость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Интеграционный канал построен по принципу платформенной независимости: любое клиентское приложение, способное выполнять HTTP(S)-запросы и обрабатывать JSON, может выступать интегрируемой Биллинговой системой, независимо от технологической платформы, на которой она реализована (1С, Java-, .NET-, Python-приложение и т. п.). Смена платформы Биллинга не требует изменения настоящего регламента и не влечёт изменений на стороне MMWS, за исключением переоформления учётных данных доступа (раздел 3).</w:t>
      </w:r>
    </w:p>
    <w:p>
      <w:pPr>
        <w:pStyle w:val="Heading2"/>
        <w:spacing w:after="160" w:before="260"/>
      </w:pPr>
      <w:r>
        <w:t xml:space="preserve">1.4. Термины и сокращения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 / сокращение</w:t>
            </w:r>
          </w:p>
        </w:tc>
        <w:tc>
          <w:tcPr>
            <w:tcW w:type="dxa" w:w="6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MMWS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 Management Web Service — система удалённого управления и диагностики электросчётчиков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Биллинг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Внешняя биллинговая система Заказчика, потребитель настоящего 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 (пакет)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счётчиков, передаваемый одним запросом для групповой обработки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batch_id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Уникальный идентификатор пакетной операции, присваиваемый MMWS при приёме пакета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API-ключ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Секретный идентификатор доступа, используемый для аутентификации запросов Биллинга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Idempotency-Key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 идемпотентности — заголовок, предотвращающий повторную обработку одного и того же запроса</w:t>
            </w:r>
          </w:p>
        </w:tc>
      </w:tr>
    </w:tbl>
    <w:p>
      <w:pPr>
        <w:pStyle w:val="Heading1"/>
        <w:spacing w:after="200" w:before="360"/>
      </w:pPr>
      <w:r>
        <w:t xml:space="preserve">2. Общие принципы взаимодействия</w:t>
      </w:r>
    </w:p>
    <w:p>
      <w:pPr>
        <w:pStyle w:val="Heading2"/>
        <w:spacing w:after="160" w:before="260"/>
      </w:pPr>
      <w:r>
        <w:t xml:space="preserve">2.1. Транспорт и формат данных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протокол транспортного уровня — HTTPS (TLS 1.2 и выше обязателен, соединения по HTTP не принимаются);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формат тела запроса и ответа — JSON, кодировка UTF-8;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заголовок Content-Type: application/json обязателен для запросов, содержащих тело;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формат даты и времени — ISO 8601 с указанием часового пояса (например, 2026-08-13T10:15:00+05:00).</w:t>
      </w:r>
    </w:p>
    <w:p>
      <w:pPr>
        <w:pStyle w:val="Heading2"/>
        <w:spacing w:after="160" w:before="260"/>
      </w:pPr>
      <w:r>
        <w:t xml:space="preserve">2.2. Базовый адрес и версионирование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Базовый адрес API предоставляется Биллингу при выдаче доступа (раздел 3) и имеет вид: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https://&lt;хост-MMWS&gt;/api/v1/billing/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Номер версии входит в путь запроса (/v1/). При выпуске несовместимых изменений API MMWS публикует новую версию (/v2/ и т. д.), сохраняя работоспособность предыдущей версии на срок, согласованный дополнительно с Заказчиком (см. раздел 10). Обратно совместимые изменения (добавление необязательных полей) выполняются без смены версии.</w:t>
      </w:r>
    </w:p>
    <w:p>
      <w:pPr>
        <w:pStyle w:val="Heading2"/>
        <w:spacing w:after="160" w:before="260"/>
      </w:pPr>
      <w:r>
        <w:t xml:space="preserve">2.3. Идемпотентность запросов, изменяющих состояние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методов, инициирующих пакетные операции (раздел 4.3, 4.4), Биллинг обязан передавать заголовок Idempotency-Key с уникальным значением (например, UUID) для каждого нового пакета. Повторная отправка запроса с ранее использованным значением Idempotency-Key возвращает результат уже принятого пакета без повторной постановки его в очередь — это защищает от дублирования операций отключения/подключения при повторных попытках на стороне Биллинга (например, после сетевого таймаута).</w:t>
      </w:r>
    </w:p>
    <w:p>
      <w:pPr>
        <w:pStyle w:val="Heading1"/>
        <w:spacing w:after="200" w:before="360"/>
      </w:pPr>
      <w:r>
        <w:t xml:space="preserve">3. Аутентификация и авторизация</w:t>
      </w:r>
    </w:p>
    <w:p>
      <w:pPr>
        <w:pStyle w:val="Heading2"/>
        <w:spacing w:after="160" w:before="260"/>
      </w:pPr>
      <w:r>
        <w:t xml:space="preserve">3.1. Модель доступа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Доступ Биллинга к API выполняется по выделенной технической учётной записи, не связанной с пользовательскими учётными записями веб-интерфейса MMWS. Учётная запись включает Client ID и API-ключ (секрет), выдаваемые администратором MMWS.</w:t>
      </w:r>
    </w:p>
    <w:p>
      <w:pPr>
        <w:pStyle w:val="Heading2"/>
        <w:spacing w:after="160" w:before="260"/>
      </w:pPr>
      <w:r>
        <w:t xml:space="preserve">3.2. Передача учётных данных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API-ключ передаётся в заголовке каждого запроса: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&lt;API-ключ&gt;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Запросы без заголовка Authorization либо с недействительным ключом отклоняются с кодом состояния 401 (см. Приложение А).</w:t>
      </w:r>
    </w:p>
    <w:p>
      <w:pPr>
        <w:pStyle w:val="Heading2"/>
        <w:spacing w:after="160" w:before="260"/>
      </w:pPr>
      <w:r>
        <w:t xml:space="preserve">3.3. Область действия прав (scope)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Учётная запись Биллинга обладает правами, строго ограниченными следующим перечнем операций, и не имеет доступа к каким-либо иным методам API MMWS (в том числе к операциям записи параметров счётчиков, администрированию пользователей, справочнику счётчиков вне контекста показаний/тарифов):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чтение показаний (GET /readings);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чтение тарифных данных (GET /tariffs);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постановка пакетных операций отключения/подключения (POST /disconnect-batch, /reconnect-batch);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получение статуса пакетной операции (GET /disconnect-batch/{batch_id}).</w:t>
      </w:r>
    </w:p>
    <w:p>
      <w:pPr>
        <w:pStyle w:val="Heading2"/>
        <w:spacing w:after="160" w:before="260"/>
      </w:pPr>
      <w:r>
        <w:t xml:space="preserve">3.4. Порядок выдачи и ротации ключей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Выдача, ротация и отзыв API-ключа выполняются администратором MMWS по заявке ответственного лица со стороны Заказчика. Плановая ротация ключа выполняется не реже одного раза в 12 месяцев. При компрометации ключа он подлежит немедленному отзыву с одновременной выдачей нового; факт компрометации и отзыва фиксируется в журнале аудита MMWS.</w:t>
      </w:r>
    </w:p>
    <w:p>
      <w:pPr>
        <w:pStyle w:val="Heading1"/>
        <w:spacing w:after="200" w:before="360"/>
      </w:pPr>
      <w:r>
        <w:t xml:space="preserve">4. Спецификация методов API</w:t>
      </w:r>
    </w:p>
    <w:p>
      <w:pPr>
        <w:pStyle w:val="Heading2"/>
        <w:spacing w:after="160" w:before="260"/>
      </w:pPr>
      <w:r>
        <w:t xml:space="preserve">4.1. GET /readings — получение показаний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/api/v1/billing/readings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Получение показаний счётчиков за указанный период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Обязательные параметры запроса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date_from, date_to (ISO 8601)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Необязательные параметры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meter_ids (список серийных номеров, через запятую), region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Пагинация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page, page_size (по умолчанию page_size = 500, максимум — 2000)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запроса: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/api/v1/billing/readings?date_from=2026-08-01T00:00:00%2B05:00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&amp;date_to=2026-08-13T00:00:00%2B05:00&amp;page=1&amp;page_size=500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Authorization: Bearer &lt;API-ключ&gt;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ответа (200 OK):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"page": 1, "page_size": 500, "total": 4213,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"items": [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"meter_serial": "202006003607",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"obis_code": "1.0.1.8.0",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"value": 15234.7, "unit": "kWh",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"read_at": "2026-08-13T06:00:12+05:00"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2"/>
        <w:spacing w:after="160" w:before="260"/>
      </w:pPr>
      <w:r>
        <w:t xml:space="preserve">4.2. GET /tariffs — получение тарифных данных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/api/v1/billing/tariffs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Получение тарифного расписания, действующего на счётчиках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Обязательные параметры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meter_ids (список серийных номеров) либо region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Пагинация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page, page_size (аналогично п. 4.1)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ответа (200 OK):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"items": [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"meter_serial": "202006003607",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"tariff_schedule": [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{ "zone": 1, "rate": "peak", "from": "08:00", "to": "22:00"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{ "zone": 2, "rate": "off_peak", "from": "22:00", "to": "08:00"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],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"updated_at": "2026-07-01T09:00:00+05:00"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2"/>
        <w:spacing w:after="160" w:before="260"/>
      </w:pPr>
      <w:r>
        <w:t xml:space="preserve">4.3. POST /disconnect-batch — пакетное отключение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/api/v1/billing/disconnect-batch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Обязательные заголовки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Authorization, Idempotency-Key, Content-Type: application/json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Ограничение размера пакета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более 500 счётчиков в одном запросе (см. раздел 6)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 Accepted — запрос принят в обработку, тело содержит batch_id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запроса: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/api/v1/billing/disconnect-batch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Authorization: Bearer &lt;API-ключ&gt;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Idempotency-Key: 6f1e9b2a-3c3d-4a5b-9e21-8a2f9d6b7c10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Content-Type: application/json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"reason": "non_payment",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"meters": ["202006003607", "202006003608", "202006003701"]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ответа (202 Accepted):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"batch_id": "b-20260813-000451",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"accepted_count": 3,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"status": "queued",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"status_url": "/api/v1/billing/disconnect-batch/b-20260813-000451"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2"/>
        <w:spacing w:after="160" w:before="260"/>
      </w:pPr>
      <w:r>
        <w:t xml:space="preserve">4.4. POST /reconnect-batch — пакетное подключение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Метод аналогичен по структуре запроса и ответа методу 4.3 (POST /disconnect-batch), с той разницей, что выполняет обратную операцию — восстановление подачи электроэнергии. Путь: POST /api/v1/billing/reconnect-batch. Поле reason допускает значения, отражающие причину подключения (например, payment_received, manual_review).</w:t>
      </w:r>
    </w:p>
    <w:p>
      <w:pPr>
        <w:pStyle w:val="Heading2"/>
        <w:spacing w:after="160" w:before="260"/>
      </w:pPr>
      <w:r>
        <w:t xml:space="preserve">4.5. GET /disconnect-batch/{batch_id} — статус пакетной операции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Метод применяется для опроса статуса как операций отключения, так и подключения (единый механизм статусов по идентификатору batch_id независимо от типа операции).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ответа (200 OK):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"batch_id": "b-20260813-000451",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"operation": "disconnect",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"status": "completed_with_errors",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"created_at": "2026-08-13T11:02:00+05:00",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"finished_at": "2026-08-13T11:04:21+05:00",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"items": [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 "meter_serial": "202006003607", "status": "done"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 "meter_serial": "202006003608", "status": "done"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{ "meter_serial": "202006003701", "status": "failed",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"error_code": "METER_UNREACHABLE"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Возможные значения status на уровне пакета: queued, in_progress, completed, completed_with_errors, failed. Возможные значения status на уровне отдельного счётчика: queued, done, failed.</w:t>
      </w:r>
    </w:p>
    <w:p>
      <w:pPr>
        <w:pStyle w:val="Heading1"/>
        <w:spacing w:after="200" w:before="360"/>
      </w:pPr>
      <w:r>
        <w:t xml:space="preserve">5. Формат сообщений об ошибках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ошибки возвращаются в едином формате, независимо от метода: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"error":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"code": "INVALID_DATE_RANGE",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"message": "date_from must be earlier than date_to",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"request_id": "r-8a2f9d6b7c10"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Поле request_id включается в каждый ответ (в том числе успешный) и подлежит указанию при обращении в службу технической поддержки MMWS для диагностики конкретного запроса.</w:t>
      </w:r>
    </w:p>
    <w:p>
      <w:pPr>
        <w:pStyle w:val="Heading1"/>
        <w:spacing w:after="200" w:before="360"/>
      </w:pPr>
      <w:r>
        <w:t xml:space="preserve">6. Ограничения и квоты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800"/>
        <w:gridCol w:w="4700"/>
      </w:tblGrid>
      <w:tr>
        <w:trPr>
          <w:tblHeader/>
        </w:trPr>
        <w:tc>
          <w:tcPr>
            <w:tcW w:type="dxa" w:w="4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Максимальный размер пакета (disconnect/reconnect-batch)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 счётчиков за один запрос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Частота запросов (rate limit)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более 60 запросов в минуту на один API-ключ (конфигурируется индивидуально по согласованию с Заказчиком)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Максимальный диапазон дат для /readings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 сутки за один запрос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Срок хранения статуса пакетной операции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30 суток с момента создания batch_id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превышении частоты запросов MMWS возвращает код состояния 429 (Too Many Requests) с заголовком Retry-After, указывающим рекомендуемое время до повторной попытки.</w:t>
      </w:r>
    </w:p>
    <w:p>
      <w:pPr>
        <w:pStyle w:val="Heading1"/>
        <w:spacing w:after="200" w:before="360"/>
      </w:pPr>
      <w:r>
        <w:t xml:space="preserve">7. Требования к отказоустойчивости на стороне Биллинга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Биллинг обязан реализовать повторные попытки (retry) при получении кодов состояния 429 и 5xx с экспоненциальной задержкой между попытками (рекомендуется начальная задержка 2 секунды, не более 5 попыток).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Повторная отправка запроса POST /disconnect-batch или /reconnect-batch при таймауте на стороне Биллинга обязана выполняться с тем же значением заголовка Idempotency-Key, что и первоначальный запрос (раздел 2.3), во избежание дублирования операции отключения/подключения.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Опрос статуса пакетной операции (GET /disconnect-batch/{batch_id}) должен выполняться с интервалом не чаще одного раза в 10 секунд до получения терминального статуса (completed, completed_with_errors или failed).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Биллинг обязан обрабатывать частичный отказ пакета (статус completed_with_errors) как штатную ситуацию и анализировать поле items каждого счётчика отдельно, не считая пакет полностью успешным или полностью неуспешным по общему статусу.</w:t>
      </w:r>
    </w:p>
    <w:p>
      <w:pPr>
        <w:pStyle w:val="Heading1"/>
        <w:spacing w:after="200" w:before="360"/>
      </w:pPr>
      <w:r>
        <w:t xml:space="preserve">8. Аудит и журналирование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MMWS ведёт полный журнал аудита всех обращений Биллинга к API (раздел 4.2.9, 4.2.10 технического задания на разработку MMWS), включая: временную метку, метод, request_id, результат выполнения, а для операций отключения/подключения — postатейный результат по каждому счётчику пакета.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Биллингу рекомендуется вести на своей стороне сопоставимый журнал исходящих запросов (как минимум: request_id, batch_id, временная метка, состав пакета) для возможности сверки и расследования инцидентов по обеим сторонам интеграции.</w:t>
      </w:r>
    </w:p>
    <w:p>
      <w:pPr>
        <w:pStyle w:val="Heading1"/>
        <w:spacing w:after="200" w:before="360"/>
      </w:pPr>
      <w:r>
        <w:t xml:space="preserve">9. Порядок изменения регламента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Изменения настоящего регламента, влияющие на совместимость (изменение обязательных параметров, удаление полей, изменение семантики кодов ошибок), publикуются не позднее чем за 30 календарных дней до вступления в силу и сопровождаются повышением номера версии API (раздел 2.2). Обратно совместимые изменения (добавление новых необязательных полей, новых кодов ошибок) могут вноситься без предварительного уведомления и не требуют изменения версии.</w:t>
      </w:r>
    </w:p>
    <w:p>
      <w:pPr>
        <w:pStyle w:val="Heading1"/>
        <w:spacing w:after="200" w:before="360"/>
      </w:pPr>
      <w:r>
        <w:t xml:space="preserve">10. Контактная информация и эскалация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Контактные данные ответственных лиц со стороны MMWS (администратор системы, техническая поддержка) для вопросов подключения, выдачи API-ключей и расследования инцидентов интеграции — указываются отдельным приложением при вводе интеграции в эксплуатацию и не являются предметом настоящего регламента.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Приложение А. Коды состояния и коды ошибок</w:t>
      </w:r>
    </w:p>
    <w:p>
      <w:pPr>
        <w:pStyle w:val="Heading2"/>
        <w:spacing w:after="160" w:before="260"/>
      </w:pPr>
      <w:r>
        <w:t xml:space="preserve">А.1. Коды состояния HTTP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6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Успешное выполнение запроса на чтение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Пакетная операция принята в обработку (асинхронное выполнение)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Некорректные параметры запроса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Отсутствует либо недействителен API-ключ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 действителен, но не имеет прав на запрошенную операцию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Указанный batch_id не найден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Превышена частота запросов (раздел 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 / 503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Внутренняя ошибка MMWS либо временная недоступность сервиса</w:t>
            </w:r>
          </w:p>
        </w:tc>
      </w:tr>
    </w:tbl>
    <w:p>
      <w:pPr>
        <w:pStyle w:val="Heading2"/>
        <w:spacing w:after="160" w:before="260"/>
      </w:pPr>
      <w:r>
        <w:t xml:space="preserve">А.2. Коды ошибок бизнес-уровня (поле error.code)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5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INVALID_DATE_RANGE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Некорректный или превышающий лимит диапазон дат (раздел 6)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BATCH_TOO_LARGE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 пакета превышает установленный лимит (раздел 6)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DUPLICATE_IDEMPOTENCY_KEY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Повторное использование Idempotency-Key с иным содержимым запроса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METER_NOT_FOUND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Счётчик с указанным серийным номером отсутствует в справочнике MMWS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METER_UNREACHABLE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Счётчик недоступен на момент выполнения операции (см. п. 4.3.4 ТЗ на разработку MMWS)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METER_AUTH_FAILED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аутентификации на уровне протокола счётчика при выполнении операции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DISCONNECT_NOT_SUPPORTED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Модель/протокольный профиль счётчика не поддерживает удалённое отключение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Приложение Б. Пример полного цикла пакетного отключения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Биллинг формирует список счётчиков на отключение (например, по признаку задолженности) и направляет POST /disconnect-batch с уникальным Idempotency-Key.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MMWS возвращает 202 Accepted с идентификатором batch_id и статусом queued.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MMWS регистрирует по каждому счётчику пакета отдельную асинхронную задачу и передаёт её в Protocol Gateway на исполнение (в соответствии с п. 3 и п. 4.3 ТЗ на разработку MMWS).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Биллинг опрашивает GET /disconnect-batch/{batch_id} с интервалом не чаще 10 секунд (раздел 7, п. 3).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завершении обработки всех счётчиков пакета статус переходит в терминальное значение (completed / completed_with_errors / failed); Биллинг анализирует результат по каждому счётчику отдельно.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отдельная операция отключения фиксируется в журнале аудита MMWS с указанием источника инициации — идентификатора пакета (batch_id) и учётной записи API, использованной для его отправки.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Техрегламент API. MMWS. Версия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Times New Roman" w:cs="Times New Roman" w:eastAsia="Times New Roman" w:hAnsi="Times New Roman"/>
      <w:b/>
      <w:bCs/>
      <w:color w:val="1F1F1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i/>
      <w:i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2026-08-17T09:15:13.649Z</dcterms:created>
  <dcterms:modified xsi:type="dcterms:W3CDTF">2026-08-17T09:15:13.649Z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