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Times New Roman" w:cs="Times New Roman" w:eastAsia="Times New Roman" w:hAnsi="Times New Roman"/>
          <w:b/>
          <w:bCs/>
          <w:sz w:val="32"/>
          <w:szCs w:val="32"/>
        </w:rPr>
        <w:t xml:space="preserve">ТЕХНИЧЕСКОЕ ЗАДАНИЕ</w:t>
      </w:r>
    </w:p>
    <w:p>
      <w:pPr>
        <w:spacing w:after="200"/>
        <w:jc w:val="center"/>
      </w:pPr>
      <w:r>
        <w:rPr>
          <w:rFonts w:ascii="Times New Roman" w:cs="Times New Roman" w:eastAsia="Times New Roman" w:hAnsi="Times New Roman"/>
          <w:b/>
          <w:bCs/>
          <w:sz w:val="28"/>
          <w:szCs w:val="28"/>
        </w:rPr>
        <w:t xml:space="preserve">на разработку веб-сервиса удалённого управления и диагностики электросчётчиков</w:t>
      </w:r>
    </w:p>
    <w:p>
      <w:pPr>
        <w:spacing w:after="1200"/>
        <w:jc w:val="center"/>
      </w:pPr>
      <w:r>
        <w:rPr>
          <w:rFonts w:ascii="Times New Roman" w:cs="Times New Roman" w:eastAsia="Times New Roman" w:hAnsi="Times New Roman"/>
          <w:i/>
          <w:iCs/>
          <w:sz w:val="22"/>
          <w:szCs w:val="22"/>
        </w:rPr>
        <w:t xml:space="preserve">(взамен настольного приложения Risesun Smart Meter Manage v2.0.1.5)</w:t>
      </w:r>
    </w:p>
    <w:p>
      <w:pPr>
        <w:spacing w:after="80"/>
        <w:jc w:val="center"/>
      </w:pPr>
      <w:r>
        <w:rPr>
          <w:rFonts w:ascii="Times New Roman" w:cs="Times New Roman" w:eastAsia="Times New Roman" w:hAnsi="Times New Roman"/>
          <w:sz w:val="22"/>
          <w:szCs w:val="22"/>
        </w:rPr>
        <w:t xml:space="preserve">Версия документа: 1.0</w:t>
      </w:r>
    </w:p>
    <w:p>
      <w:pPr>
        <w:spacing w:after="80"/>
        <w:jc w:val="center"/>
      </w:pPr>
      <w:r>
        <w:rPr>
          <w:rFonts w:ascii="Times New Roman" w:cs="Times New Roman" w:eastAsia="Times New Roman" w:hAnsi="Times New Roman"/>
          <w:sz w:val="22"/>
          <w:szCs w:val="22"/>
        </w:rPr>
        <w:t xml:space="preserve">Дата: __________________</w:t>
      </w:r>
    </w:p>
    <w:p>
      <w:pPr>
        <w:spacing w:after="3000"/>
        <w:jc w:val="center"/>
      </w:pPr>
      <w:r>
        <w:rPr>
          <w:rFonts w:ascii="Times New Roman" w:cs="Times New Roman" w:eastAsia="Times New Roman" w:hAnsi="Times New Roman"/>
          <w:sz w:val="22"/>
          <w:szCs w:val="22"/>
        </w:rPr>
        <w:t xml:space="preserve">Статус: проект для согласования</w:t>
      </w:r>
    </w:p>
    <w:p>
      <w:r>
        <w:br w:type="page"/>
      </w:r>
    </w:p>
    <w:p>
      <w:pPr>
        <w:pStyle w:val="Heading1"/>
        <w:spacing w:after="200" w:before="360"/>
      </w:pPr>
      <w:r>
        <w:t xml:space="preserve">Содержание</w:t>
      </w:r>
    </w:p>
    <w:sdt>
      <w:sdtPr>
        <w:alias w:val="Содержание"/>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Общие сведения</w:t>
      </w:r>
    </w:p>
    <w:p>
      <w:pPr>
        <w:pStyle w:val="Heading2"/>
        <w:spacing w:after="160" w:before="260"/>
      </w:pPr>
      <w:r>
        <w:t xml:space="preserve">1.1. Полное наименование системы</w:t>
      </w:r>
    </w:p>
    <w:p>
      <w:pPr>
        <w:spacing w:after="160" w:line="276"/>
        <w:jc w:val="both"/>
      </w:pPr>
      <w:r>
        <w:rPr>
          <w:rFonts w:ascii="Times New Roman" w:cs="Times New Roman" w:eastAsia="Times New Roman" w:hAnsi="Times New Roman"/>
          <w:b w:val="false"/>
          <w:bCs w:val="false"/>
          <w:i w:val="false"/>
          <w:iCs w:val="false"/>
          <w:sz w:val="22"/>
          <w:szCs w:val="22"/>
        </w:rPr>
        <w:t xml:space="preserve">Полное наименование: «Веб-сервис удалённого управления и диагностики электросчётчиков» (далее — Система, веб-сервис). Условное обозначение в документе: Meter Management Web Service (MMWS).</w:t>
      </w:r>
    </w:p>
    <w:p>
      <w:pPr>
        <w:pStyle w:val="Heading2"/>
        <w:spacing w:after="160" w:before="260"/>
      </w:pPr>
      <w:r>
        <w:t xml:space="preserve">1.2. Заказчик и Исполнитель</w:t>
      </w:r>
    </w:p>
    <w:p>
      <w:pPr>
        <w:spacing w:after="160" w:line="276"/>
        <w:jc w:val="both"/>
      </w:pPr>
      <w:r>
        <w:rPr>
          <w:rFonts w:ascii="Times New Roman" w:cs="Times New Roman" w:eastAsia="Times New Roman" w:hAnsi="Times New Roman"/>
          <w:b w:val="false"/>
          <w:bCs w:val="false"/>
          <w:i w:val="false"/>
          <w:iCs w:val="false"/>
          <w:sz w:val="22"/>
          <w:szCs w:val="22"/>
        </w:rPr>
        <w:t xml:space="preserve">Заказчик: энергетическая инфраструктурная организация (наименование уточняется по факту заключения договора).</w:t>
      </w:r>
    </w:p>
    <w:p>
      <w:pPr>
        <w:spacing w:after="160" w:line="276"/>
        <w:jc w:val="both"/>
      </w:pPr>
      <w:r>
        <w:rPr>
          <w:rFonts w:ascii="Times New Roman" w:cs="Times New Roman" w:eastAsia="Times New Roman" w:hAnsi="Times New Roman"/>
          <w:b w:val="false"/>
          <w:bCs w:val="false"/>
          <w:i w:val="false"/>
          <w:iCs w:val="false"/>
          <w:sz w:val="22"/>
          <w:szCs w:val="22"/>
        </w:rPr>
        <w:t xml:space="preserve">Исполнитель: определяется по итогам выбора команды разработки (см. рекомендации по составу команды в сопроводительных материалах к настоящему ТЗ).</w:t>
      </w:r>
    </w:p>
    <w:p>
      <w:pPr>
        <w:pStyle w:val="Heading2"/>
        <w:spacing w:after="160" w:before="260"/>
      </w:pPr>
      <w:r>
        <w:t xml:space="preserve">1.3. Основание для разработки</w:t>
      </w:r>
    </w:p>
    <w:p>
      <w:pPr>
        <w:spacing w:after="160" w:line="276"/>
        <w:jc w:val="both"/>
      </w:pPr>
      <w:r>
        <w:rPr>
          <w:rFonts w:ascii="Times New Roman" w:cs="Times New Roman" w:eastAsia="Times New Roman" w:hAnsi="Times New Roman"/>
          <w:b w:val="false"/>
          <w:bCs w:val="false"/>
          <w:i w:val="false"/>
          <w:iCs w:val="false"/>
          <w:sz w:val="22"/>
          <w:szCs w:val="22"/>
        </w:rPr>
        <w:t xml:space="preserve">Основанием для разработки является необходимость замены устаревшего настольного (desktop) приложения Risesun Smart Meter Manage v2.0.1.5, применяемого инженерами для настройки, диагностики и снятия показаний со счётчиков электроэнергии, на современный многопользовательский веб-сервис с расширенным функционалом аудита, автоматизации и ролевого доступа.</w:t>
      </w:r>
    </w:p>
    <w:p>
      <w:pPr>
        <w:pStyle w:val="Heading2"/>
        <w:spacing w:after="160" w:before="260"/>
      </w:pPr>
      <w:r>
        <w:t xml:space="preserve">1.4. Плановые сроки начала и окончания работ</w:t>
      </w:r>
    </w:p>
    <w:p>
      <w:pPr>
        <w:spacing w:after="160" w:line="276"/>
        <w:jc w:val="both"/>
      </w:pPr>
      <w:r>
        <w:rPr>
          <w:rFonts w:ascii="Times New Roman" w:cs="Times New Roman" w:eastAsia="Times New Roman" w:hAnsi="Times New Roman"/>
          <w:b w:val="false"/>
          <w:bCs w:val="false"/>
          <w:i w:val="false"/>
          <w:iCs w:val="false"/>
          <w:sz w:val="22"/>
          <w:szCs w:val="22"/>
        </w:rPr>
        <w:t xml:space="preserve">Сроки фиксируются в договоре/календарном плане на основании состава работ, приведённого в разделе 6 настоящего ТЗ. Ввиду наличия высокорискового протокольного компонента (см. п. 4.3) рекомендуется поэтапная разработка с обязательным Proof-of-Concept протокольного слоя на первом этапе, до фиксации сроков последующих этапов.</w:t>
      </w:r>
    </w:p>
    <w:p>
      <w:pPr>
        <w:spacing w:after="160" w:line="276"/>
        <w:jc w:val="both"/>
      </w:pPr>
      <w:r>
        <w:rPr>
          <w:rFonts w:ascii="Times New Roman" w:cs="Times New Roman" w:eastAsia="Times New Roman" w:hAnsi="Times New Roman"/>
          <w:b/>
          <w:bCs/>
          <w:i w:val="false"/>
          <w:iCs w:val="false"/>
          <w:sz w:val="22"/>
          <w:szCs w:val="22"/>
        </w:rPr>
        <w:t xml:space="preserve">Границы текущего этапа проекта: этапы 0–5 (раздел 6) реализуются исключительно для счётчиков Risesun. Многовендорная архитектура (реестр Gateway, п. 4.1.1) закладывается в проектирование Системы с самого начала, чтобы не потребовать переработки ядра AMI/HES Core в будущем, однако разработка и подключение Gateway для счётчиков других производителей не входит в состав работ по настоящему ТЗ и подлежит рассмотрению как отдельный последующий этап (Этап 6 и далее) после успешной сдачи и промышленной эксплуатации версии на Risesun.</w:t>
      </w:r>
    </w:p>
    <w:p>
      <w:pPr>
        <w:pStyle w:val="Heading2"/>
        <w:spacing w:after="160" w:before="260"/>
      </w:pPr>
      <w:r>
        <w:t xml:space="preserve">1.5. Порядок оформления и предъявления результатов работ</w:t>
      </w:r>
    </w:p>
    <w:p>
      <w:pPr>
        <w:spacing w:after="160" w:line="276"/>
        <w:jc w:val="both"/>
      </w:pPr>
      <w:r>
        <w:rPr>
          <w:rFonts w:ascii="Times New Roman" w:cs="Times New Roman" w:eastAsia="Times New Roman" w:hAnsi="Times New Roman"/>
          <w:b w:val="false"/>
          <w:bCs w:val="false"/>
          <w:i w:val="false"/>
          <w:iCs w:val="false"/>
          <w:sz w:val="22"/>
          <w:szCs w:val="22"/>
        </w:rPr>
        <w:t xml:space="preserve">Результаты каждого этапа (раздел 6) предъявляются Заказчику в виде работающего инкремента системы, разворачиваемого в тестовом контуре, вместе с кратким отчётом о выполненных задачах и известных ограничениях. Приёмка — по критериям раздела 7.</w:t>
      </w:r>
    </w:p>
    <w:p>
      <w:pPr>
        <w:pStyle w:val="Heading1"/>
        <w:spacing w:after="200" w:before="360"/>
      </w:pPr>
      <w:r>
        <w:t xml:space="preserve">2. Назначение и цели создания системы</w:t>
      </w:r>
    </w:p>
    <w:p>
      <w:pPr>
        <w:pStyle w:val="Heading2"/>
        <w:spacing w:after="160" w:before="260"/>
      </w:pPr>
      <w:r>
        <w:t xml:space="preserve">2.1. Назначение системы</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предназначена для дистанционной работы инженерного и диспетчерского персонала со счётчиками электроэнергии, подключёнными к IP-сети (GPRS/Ethernet), через веб-браузер, без необходимости установки специализированного клиентского ПО на рабочем месте.</w:t>
      </w:r>
    </w:p>
    <w:p>
      <w:pPr>
        <w:pStyle w:val="Heading2"/>
        <w:spacing w:after="160" w:before="260"/>
      </w:pPr>
      <w:r>
        <w:t xml:space="preserve">2.2. Цели создания системы</w:t>
      </w:r>
    </w:p>
    <w:p>
      <w:pPr>
        <w:pStyle w:val="ListParagraph"/>
        <w:numPr>
          <w:ilvl w:val="0"/>
          <w:numId w:val="2"/>
        </w:numPr>
        <w:spacing w:after="80" w:line="276"/>
      </w:pPr>
      <w:r>
        <w:rPr>
          <w:rFonts w:ascii="Times New Roman" w:cs="Times New Roman" w:eastAsia="Times New Roman" w:hAnsi="Times New Roman"/>
          <w:sz w:val="22"/>
          <w:szCs w:val="22"/>
        </w:rPr>
        <w:t xml:space="preserve">обеспечить многопользовательский одновременный доступ нескольких операторов к разным счётчикам без блокировок, свойственных файловой БД настольного приложения;</w:t>
      </w:r>
    </w:p>
    <w:p>
      <w:pPr>
        <w:pStyle w:val="ListParagraph"/>
        <w:numPr>
          <w:ilvl w:val="0"/>
          <w:numId w:val="2"/>
        </w:numPr>
        <w:spacing w:after="80" w:line="276"/>
      </w:pPr>
      <w:r>
        <w:rPr>
          <w:rFonts w:ascii="Times New Roman" w:cs="Times New Roman" w:eastAsia="Times New Roman" w:hAnsi="Times New Roman"/>
          <w:sz w:val="22"/>
          <w:szCs w:val="22"/>
        </w:rPr>
        <w:t xml:space="preserve">обеспечить полный аудит операций записи параметров на счётчики (в текущем решении отсутствует);</w:t>
      </w:r>
    </w:p>
    <w:p>
      <w:pPr>
        <w:pStyle w:val="ListParagraph"/>
        <w:numPr>
          <w:ilvl w:val="0"/>
          <w:numId w:val="2"/>
        </w:numPr>
        <w:spacing w:after="80" w:line="276"/>
      </w:pPr>
      <w:r>
        <w:rPr>
          <w:rFonts w:ascii="Times New Roman" w:cs="Times New Roman" w:eastAsia="Times New Roman" w:hAnsi="Times New Roman"/>
          <w:sz w:val="22"/>
          <w:szCs w:val="22"/>
        </w:rPr>
        <w:t xml:space="preserve">автоматизировать регулярный опрос счётчиков по расписанию вместо ручного запуска операций;</w:t>
      </w:r>
    </w:p>
    <w:p>
      <w:pPr>
        <w:pStyle w:val="ListParagraph"/>
        <w:numPr>
          <w:ilvl w:val="0"/>
          <w:numId w:val="2"/>
        </w:numPr>
        <w:spacing w:after="80" w:line="276"/>
      </w:pPr>
      <w:r>
        <w:rPr>
          <w:rFonts w:ascii="Times New Roman" w:cs="Times New Roman" w:eastAsia="Times New Roman" w:hAnsi="Times New Roman"/>
          <w:sz w:val="22"/>
          <w:szCs w:val="22"/>
        </w:rPr>
        <w:t xml:space="preserve">устранить хранение критичных секретов (паролей доступа к счётчикам, ключей шифрования) в открытом виде в конфигурационных файлах;</w:t>
      </w:r>
    </w:p>
    <w:p>
      <w:pPr>
        <w:pStyle w:val="ListParagraph"/>
        <w:numPr>
          <w:ilvl w:val="0"/>
          <w:numId w:val="2"/>
        </w:numPr>
        <w:spacing w:after="80" w:line="276"/>
      </w:pPr>
      <w:r>
        <w:rPr>
          <w:rFonts w:ascii="Times New Roman" w:cs="Times New Roman" w:eastAsia="Times New Roman" w:hAnsi="Times New Roman"/>
          <w:sz w:val="22"/>
          <w:szCs w:val="22"/>
        </w:rPr>
        <w:t xml:space="preserve">обеспечить ролевое разграничение доступа (чтение / запись / администрирование) вместо единственной роли в текущем решении;</w:t>
      </w:r>
    </w:p>
    <w:p>
      <w:pPr>
        <w:pStyle w:val="ListParagraph"/>
        <w:numPr>
          <w:ilvl w:val="0"/>
          <w:numId w:val="2"/>
        </w:numPr>
        <w:spacing w:after="80" w:line="276"/>
      </w:pPr>
      <w:r>
        <w:rPr>
          <w:rFonts w:ascii="Times New Roman" w:cs="Times New Roman" w:eastAsia="Times New Roman" w:hAnsi="Times New Roman"/>
          <w:sz w:val="22"/>
          <w:szCs w:val="22"/>
        </w:rPr>
        <w:t xml:space="preserve">сохранить функциональный паритет с текущим решением по всем операциям чтения и записи параметров счётчиков (раздел 4.2).</w:t>
      </w:r>
    </w:p>
    <w:p>
      <w:pPr>
        <w:pStyle w:val="Heading1"/>
        <w:spacing w:after="200" w:before="360"/>
      </w:pPr>
      <w:r>
        <w:t xml:space="preserve">3. Характеристика объекта автоматизации</w:t>
      </w:r>
    </w:p>
    <w:p>
      <w:pPr>
        <w:pStyle w:val="Heading2"/>
        <w:spacing w:after="160" w:before="260"/>
      </w:pPr>
      <w:r>
        <w:t xml:space="preserve">3.1. Краткая характеристика текущего решения</w:t>
      </w:r>
    </w:p>
    <w:p>
      <w:pPr>
        <w:spacing w:after="160" w:line="276"/>
        <w:jc w:val="both"/>
      </w:pPr>
      <w:r>
        <w:rPr>
          <w:rFonts w:ascii="Times New Roman" w:cs="Times New Roman" w:eastAsia="Times New Roman" w:hAnsi="Times New Roman"/>
          <w:b w:val="false"/>
          <w:bCs w:val="false"/>
          <w:i w:val="false"/>
          <w:iCs w:val="false"/>
          <w:sz w:val="22"/>
          <w:szCs w:val="22"/>
        </w:rPr>
        <w:t xml:space="preserve">Действующее решение — настольное приложение на платформе .NET (WinForms), использующее локальные файловые СУБД (SQLite, MS Access) и обеспечивающее прямую последовательную работу одного оператора с одним счётчиком через локальный COM-порт или сетевое соединение. Приложение реализует следующие функциональные группы (согласно эксплуатационной документации): настройка соединения, отладочная конфигурация протокола, управление пользователями, чтение показаний/журналов событий/журнала вмешательств, чтение и параметризация профиля нагрузки, чтение статусного слова счётчика, чтение/запись даты и времени, режимов отображения, тарифного расписания, параметров GPRS, сохранение и загрузка схем параметров.</w:t>
      </w:r>
    </w:p>
    <w:p>
      <w:pPr>
        <w:pStyle w:val="Heading2"/>
        <w:spacing w:after="160" w:before="260"/>
      </w:pPr>
      <w:r>
        <w:t xml:space="preserve">3.2. Используемые протоколы связи со счётчиками</w:t>
      </w:r>
    </w:p>
    <w:p>
      <w:pPr>
        <w:spacing w:after="160" w:line="276"/>
        <w:jc w:val="both"/>
      </w:pPr>
      <w:r>
        <w:rPr>
          <w:rFonts w:ascii="Times New Roman" w:cs="Times New Roman" w:eastAsia="Times New Roman" w:hAnsi="Times New Roman"/>
          <w:b w:val="false"/>
          <w:bCs w:val="false"/>
          <w:i w:val="false"/>
          <w:iCs w:val="false"/>
          <w:sz w:val="22"/>
          <w:szCs w:val="22"/>
        </w:rPr>
        <w:t xml:space="preserve">По результатам анализа конфигурационных файлов и эксплуатационной документации текущего решения установлено использование следующих протоколов:</w:t>
      </w:r>
    </w:p>
    <w:p>
      <w:pPr>
        <w:pStyle w:val="ListParagraph"/>
        <w:numPr>
          <w:ilvl w:val="0"/>
          <w:numId w:val="2"/>
        </w:numPr>
        <w:spacing w:after="80" w:line="276"/>
      </w:pPr>
      <w:r>
        <w:rPr>
          <w:rFonts w:ascii="Times New Roman" w:cs="Times New Roman" w:eastAsia="Times New Roman" w:hAnsi="Times New Roman"/>
          <w:sz w:val="22"/>
          <w:szCs w:val="22"/>
        </w:rPr>
        <w:t xml:space="preserve">IEC 62056-21, режим C — текстовый протокол запрос/ответ с идентификацией устройства и программируемым переключением скорости обмена;</w:t>
      </w:r>
    </w:p>
    <w:p>
      <w:pPr>
        <w:pStyle w:val="ListParagraph"/>
        <w:numPr>
          <w:ilvl w:val="0"/>
          <w:numId w:val="2"/>
        </w:numPr>
        <w:spacing w:after="80" w:line="276"/>
      </w:pPr>
      <w:r>
        <w:rPr>
          <w:rFonts w:ascii="Times New Roman" w:cs="Times New Roman" w:eastAsia="Times New Roman" w:hAnsi="Times New Roman"/>
          <w:sz w:val="22"/>
          <w:szCs w:val="22"/>
        </w:rPr>
        <w:t xml:space="preserve">IEC 62056-21, режим E — то же с последующим переходом на кадрирование HDLC;</w:t>
      </w:r>
    </w:p>
    <w:p>
      <w:pPr>
        <w:pStyle w:val="ListParagraph"/>
        <w:numPr>
          <w:ilvl w:val="0"/>
          <w:numId w:val="2"/>
        </w:numPr>
        <w:spacing w:after="80" w:line="276"/>
      </w:pPr>
      <w:r>
        <w:rPr>
          <w:rFonts w:ascii="Times New Roman" w:cs="Times New Roman" w:eastAsia="Times New Roman" w:hAnsi="Times New Roman"/>
          <w:sz w:val="22"/>
          <w:szCs w:val="22"/>
        </w:rPr>
        <w:t xml:space="preserve">HDLC-кадрирование с адресацией и данными в формате DLMS/COSEM (объекты адресуются OBIS-подобными идентификаторами; используются установление ассоциации AARQ/AARE, пароль низкого уровня безопасности, опциональное AES-шифрование payload'а для GPRS-канала).</w:t>
      </w:r>
    </w:p>
    <w:p>
      <w:pPr>
        <w:spacing w:after="160" w:line="276"/>
        <w:jc w:val="both"/>
      </w:pPr>
      <w:r>
        <w:rPr>
          <w:rFonts w:ascii="Times New Roman" w:cs="Times New Roman" w:eastAsia="Times New Roman" w:hAnsi="Times New Roman"/>
          <w:b w:val="false"/>
          <w:bCs w:val="false"/>
          <w:i w:val="false"/>
          <w:iCs w:val="false"/>
          <w:sz w:val="22"/>
          <w:szCs w:val="22"/>
        </w:rPr>
        <w:t xml:space="preserve">Парк счётчиков является смешанным: конкретный протокольный профиль определяется по типу/модели счётчика и должен настраиваться индивидуально в справочнике счётчиков разрабатываемой системы.</w:t>
      </w:r>
    </w:p>
    <w:p>
      <w:pPr>
        <w:pStyle w:val="Heading2"/>
        <w:spacing w:after="160" w:before="260"/>
      </w:pPr>
      <w:r>
        <w:t xml:space="preserve">3.3. Условия эксплуатации</w:t>
      </w:r>
    </w:p>
    <w:p>
      <w:pPr>
        <w:spacing w:after="160" w:line="276"/>
        <w:jc w:val="both"/>
      </w:pPr>
      <w:r>
        <w:rPr>
          <w:rFonts w:ascii="Times New Roman" w:cs="Times New Roman" w:eastAsia="Times New Roman" w:hAnsi="Times New Roman"/>
          <w:b w:val="false"/>
          <w:bCs w:val="false"/>
          <w:i w:val="false"/>
          <w:iCs w:val="false"/>
          <w:sz w:val="22"/>
          <w:szCs w:val="22"/>
        </w:rPr>
        <w:t xml:space="preserve">Счётчики подключены к сети через GPRS-модемы или Ethernet и доступны Системе по протоколу TCP/IP. Система разворачивается на серверной инфраструктуре Заказчика (on-premise), с сетевым доступом к диапазонам IP-адресов счётчиков. Веб-интерфейс используется операторами через браузер на рабочих станциях в локальной сети Заказчика.</w:t>
      </w:r>
    </w:p>
    <w:p>
      <w:pPr>
        <w:pStyle w:val="Heading1"/>
        <w:spacing w:after="200" w:before="360"/>
      </w:pPr>
      <w:r>
        <w:t xml:space="preserve">4. Требования к системе</w:t>
      </w:r>
    </w:p>
    <w:p>
      <w:pPr>
        <w:pStyle w:val="Heading2"/>
        <w:spacing w:after="160" w:before="260"/>
      </w:pPr>
      <w:r>
        <w:t xml:space="preserve">4.1. Требования к структуре и функционированию системы</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строится из следующих логических компонентов, размещаемых как независимо разворачиваемые сервисы:</w:t>
      </w:r>
    </w:p>
    <w:p>
      <w:pPr>
        <w:pStyle w:val="ListParagraph"/>
        <w:numPr>
          <w:ilvl w:val="0"/>
          <w:numId w:val="3"/>
        </w:numPr>
        <w:spacing w:after="80" w:line="276"/>
      </w:pPr>
      <w:r>
        <w:rPr>
          <w:rFonts w:ascii="Times New Roman" w:cs="Times New Roman" w:eastAsia="Times New Roman" w:hAnsi="Times New Roman"/>
          <w:sz w:val="22"/>
          <w:szCs w:val="22"/>
        </w:rPr>
        <w:t xml:space="preserve">Protocol Gateway — сервис, инкапсулирующий низкоуровневое взаимодействие со счётчиками одного производителя/протокольного семейства (установление TCP-соединений, реализация протокола, обработка таймаутов и повторов). Не содержит бизнес-логики, не имеет представления о пользователях и ролях. Система не ограничена одним экземпляром Gateway — см. требование к многовендорной архитектуре ниже.</w:t>
      </w:r>
    </w:p>
    <w:p>
      <w:pPr>
        <w:pStyle w:val="ListParagraph"/>
        <w:numPr>
          <w:ilvl w:val="0"/>
          <w:numId w:val="3"/>
        </w:numPr>
        <w:spacing w:after="80" w:line="276"/>
      </w:pPr>
      <w:r>
        <w:rPr>
          <w:rFonts w:ascii="Times New Roman" w:cs="Times New Roman" w:eastAsia="Times New Roman" w:hAnsi="Times New Roman"/>
          <w:sz w:val="22"/>
          <w:szCs w:val="22"/>
        </w:rPr>
        <w:t xml:space="preserve">AMI/HES Core (Backend API) — сервис бизнес-логики: аутентификация, авторизация, оркестрация задач чтения/записи, реестр подключённых экземпляров Gateway, маршрутизация операций к нужному Gateway по привязке счётчика, хранение и выдача данных, планировщик фоновых задач (scheduler).</w:t>
      </w:r>
    </w:p>
    <w:p>
      <w:pPr>
        <w:pStyle w:val="ListParagraph"/>
        <w:numPr>
          <w:ilvl w:val="0"/>
          <w:numId w:val="3"/>
        </w:numPr>
        <w:spacing w:after="80" w:line="276"/>
      </w:pPr>
      <w:r>
        <w:rPr>
          <w:rFonts w:ascii="Times New Roman" w:cs="Times New Roman" w:eastAsia="Times New Roman" w:hAnsi="Times New Roman"/>
          <w:sz w:val="22"/>
          <w:szCs w:val="22"/>
        </w:rPr>
        <w:t xml:space="preserve">База данных (PostgreSQL) — хранение справочника счётчиков, реестра gateway, показаний, журналов, истории операций записи, аудита, пользователей, расписаний, схем параметров.</w:t>
      </w:r>
    </w:p>
    <w:p>
      <w:pPr>
        <w:pStyle w:val="ListParagraph"/>
        <w:numPr>
          <w:ilvl w:val="0"/>
          <w:numId w:val="3"/>
        </w:numPr>
        <w:spacing w:after="80" w:line="276"/>
      </w:pPr>
      <w:r>
        <w:rPr>
          <w:rFonts w:ascii="Times New Roman" w:cs="Times New Roman" w:eastAsia="Times New Roman" w:hAnsi="Times New Roman"/>
          <w:sz w:val="22"/>
          <w:szCs w:val="22"/>
        </w:rPr>
        <w:t xml:space="preserve">Веб-интерфейс (SPA) — клиентское приложение для операторов, взаимодействующее с Backend API по REST/WebSocket.</w:t>
      </w:r>
    </w:p>
    <w:p>
      <w:pPr>
        <w:spacing w:after="160" w:line="276"/>
        <w:jc w:val="both"/>
      </w:pPr>
      <w:r>
        <w:rPr>
          <w:rFonts w:ascii="Times New Roman" w:cs="Times New Roman" w:eastAsia="Times New Roman" w:hAnsi="Times New Roman"/>
          <w:b w:val="false"/>
          <w:bCs w:val="false"/>
          <w:i w:val="false"/>
          <w:iCs w:val="false"/>
          <w:sz w:val="22"/>
          <w:szCs w:val="22"/>
        </w:rPr>
        <w:t xml:space="preserve">Взаимодействие Backend API ↔ Protocol Gateway выполняется по внутреннему RPC-протоколу (рекомендуется gRPC ввиду необходимости потоковой передачи данных профиля нагрузки и строгой типизации контракта).</w:t>
      </w:r>
    </w:p>
    <w:p>
      <w:pPr>
        <w:pStyle w:val="Heading3"/>
        <w:spacing w:after="120" w:before="200"/>
      </w:pPr>
      <w:r>
        <w:t xml:space="preserve">4.1.1. Требование к многовендорной архитектуре Gateway</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поддерживать одновременную работу нескольких независимых экземпляров Protocol Gateway, каждый из которых обслуживает счётчики одного производителя либо одного протокольного семейства (например, отдельный Gateway для прямого протокола Risesun, отдельный Gateway-адаптер для счётчиков, обслуживаемых через HES стороннего производителя). AMI/HES Core не реализует протокольную логику самостоятельно ни для одного производителя — вся протокольная специфика инкапсулирована внутри соответствующего Gateway.</w:t>
      </w:r>
    </w:p>
    <w:p>
      <w:pPr>
        <w:spacing w:after="160" w:line="276"/>
        <w:jc w:val="both"/>
      </w:pPr>
      <w:r>
        <w:rPr>
          <w:rFonts w:ascii="Times New Roman" w:cs="Times New Roman" w:eastAsia="Times New Roman" w:hAnsi="Times New Roman"/>
          <w:b w:val="false"/>
          <w:bCs w:val="false"/>
          <w:i w:val="false"/>
          <w:iCs w:val="false"/>
          <w:sz w:val="22"/>
          <w:szCs w:val="22"/>
        </w:rPr>
        <w:t xml:space="preserve">Для этого Система должна вести реестр подключённых Gateway (атрибуты: идентификатор, производитель/протокольное семейство, версия драйвера, сетевой адрес, поддерживаемые операции — например, наличие/отсутствие функции удалённого отключения, статус online/offline, время последнего heartbeat). Каждый счётчик в справочнике (п. 4.2.2) привязывается к конкретному экземпляру Gateway.</w:t>
      </w:r>
    </w:p>
    <w:p>
      <w:pPr>
        <w:spacing w:after="160" w:line="276"/>
        <w:jc w:val="both"/>
      </w:pPr>
      <w:r>
        <w:rPr>
          <w:rFonts w:ascii="Times New Roman" w:cs="Times New Roman" w:eastAsia="Times New Roman" w:hAnsi="Times New Roman"/>
          <w:b w:val="false"/>
          <w:bCs w:val="false"/>
          <w:i w:val="false"/>
          <w:iCs w:val="false"/>
          <w:sz w:val="22"/>
          <w:szCs w:val="22"/>
        </w:rPr>
        <w:t xml:space="preserve">Регистрация, подтверждение (подключение) и отключение экземпляра Gateway в реестре — исключительное право роли «Супер-администратор» (п. 4.2.1). Автоматическая регистрация нового Gateway без подтверждения человеком не допускается — регистрация нового Gateway означает допуск нового исполняемого компонента с сетевым доступом к боевым счётчикам, что требует обязательной ручной проверки.</w:t>
      </w:r>
    </w:p>
    <w:p>
      <w:pPr>
        <w:pStyle w:val="Heading2"/>
        <w:spacing w:after="160" w:before="260"/>
      </w:pPr>
      <w:r>
        <w:t xml:space="preserve">4.2. Функциональные требования</w:t>
      </w:r>
    </w:p>
    <w:p>
      <w:pPr>
        <w:pStyle w:val="Heading3"/>
        <w:spacing w:after="120" w:before="200"/>
      </w:pPr>
      <w:r>
        <w:t xml:space="preserve">4.2.1. Аутентификация, авторизация и роли</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поддерживать вход по логину/паролю с последующей выдачей сессионного токена (JWT с механизмом обновления — refresh token) и явное завершение сессии (выход) с очисткой токенов на стороне клиента. Восстановление пароля через email реализуется опционально, при наличии почтового сервера у Заказчика. Требуется реализовать следующую ролевую модель:</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6900"/>
      </w:tblGrid>
      <w:tr>
        <w:trPr>
          <w:tblHeader/>
        </w:trPr>
        <w:tc>
          <w:tcPr>
            <w:tcW w:type="dxa" w:w="2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Роль</w:t>
            </w:r>
          </w:p>
        </w:tc>
        <w:tc>
          <w:tcPr>
            <w:tcW w:type="dxa" w:w="69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Права доступа</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Оператор (чтение)</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Просмотр справочника счётчиков, показаний, профилей нагрузки, журналов событий и вмешательств; запуск операций чтения</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Инженер (запись)</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Все права роли «Оператор» + запись параметров на счётчики, применение схем параметров (в том числе массовое), удалённое отключение/подключение по одному счётчику через веб-интерфейс</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Наблюдатель</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Только просмотр данных по всем счётчикам, без права запуска каких-либо операций записи или чтения</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Администратор</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Управление пользователями, справочником счётчиков, расписаниями автоопроса, схемами параметров, просмотр журнала аудита; все права роли «Инженер»</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Супер-администратор</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Регистрация, подтверждение и отключение экземпляров Protocol Gateway в реестре (п. 4.1.1); все права роли «Администратор»</w:t>
            </w:r>
          </w:p>
        </w:tc>
      </w:tr>
    </w:tbl>
    <w:p>
      <w:pPr>
        <w:pStyle w:val="Heading3"/>
        <w:spacing w:after="120" w:before="200"/>
      </w:pPr>
      <w:r>
        <w:t xml:space="preserve">4.2.2. Справочник счётчиков</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обеспечивать ведение справочника счётчиков со следующими атрибутами: серийный номер, IP-адрес и порт, протокольный профиль (IEC 62056-21 mode C / mode E / HDLC-DLMS), master address, физический адрес, логический адрес, пароль доступа (хранится в зашифрованном виде), ключ AES-шифрования канала (при наличии, хранится в зашифрованном виде), местоположение/регион, статус (активен/неактивен), отметка времени последнего успешного соединения (last seen) и последнего успешного чтения.</w:t>
      </w:r>
    </w:p>
    <w:p>
      <w:pPr>
        <w:pStyle w:val="Heading3"/>
        <w:spacing w:after="120" w:before="200"/>
      </w:pPr>
      <w:r>
        <w:t xml:space="preserve">4.2.3. Чтение данных со счётчиков</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обеспечивать следующие операции чтения, инициируемые оператором вручную либо по расписанию:</w:t>
      </w:r>
    </w:p>
    <w:p>
      <w:pPr>
        <w:pStyle w:val="ListParagraph"/>
        <w:numPr>
          <w:ilvl w:val="0"/>
          <w:numId w:val="2"/>
        </w:numPr>
        <w:spacing w:after="80" w:line="276"/>
      </w:pPr>
      <w:r>
        <w:rPr>
          <w:rFonts w:ascii="Times New Roman" w:cs="Times New Roman" w:eastAsia="Times New Roman" w:hAnsi="Times New Roman"/>
          <w:sz w:val="22"/>
          <w:szCs w:val="22"/>
        </w:rPr>
        <w:t xml:space="preserve">чтение текущих показаний (Read-Data);</w:t>
      </w:r>
    </w:p>
    <w:p>
      <w:pPr>
        <w:pStyle w:val="ListParagraph"/>
        <w:numPr>
          <w:ilvl w:val="0"/>
          <w:numId w:val="2"/>
        </w:numPr>
        <w:spacing w:after="80" w:line="276"/>
      </w:pPr>
      <w:r>
        <w:rPr>
          <w:rFonts w:ascii="Times New Roman" w:cs="Times New Roman" w:eastAsia="Times New Roman" w:hAnsi="Times New Roman"/>
          <w:sz w:val="22"/>
          <w:szCs w:val="22"/>
        </w:rPr>
        <w:t xml:space="preserve">чтение журнала событий (Event log);</w:t>
      </w:r>
    </w:p>
    <w:p>
      <w:pPr>
        <w:pStyle w:val="ListParagraph"/>
        <w:numPr>
          <w:ilvl w:val="0"/>
          <w:numId w:val="2"/>
        </w:numPr>
        <w:spacing w:after="80" w:line="276"/>
      </w:pPr>
      <w:r>
        <w:rPr>
          <w:rFonts w:ascii="Times New Roman" w:cs="Times New Roman" w:eastAsia="Times New Roman" w:hAnsi="Times New Roman"/>
          <w:sz w:val="22"/>
          <w:szCs w:val="22"/>
        </w:rPr>
        <w:t xml:space="preserve">чтение журнала вмешательств (Tamper log);</w:t>
      </w:r>
    </w:p>
    <w:p>
      <w:pPr>
        <w:pStyle w:val="ListParagraph"/>
        <w:numPr>
          <w:ilvl w:val="0"/>
          <w:numId w:val="2"/>
        </w:numPr>
        <w:spacing w:after="80" w:line="276"/>
      </w:pPr>
      <w:r>
        <w:rPr>
          <w:rFonts w:ascii="Times New Roman" w:cs="Times New Roman" w:eastAsia="Times New Roman" w:hAnsi="Times New Roman"/>
          <w:sz w:val="22"/>
          <w:szCs w:val="22"/>
        </w:rPr>
        <w:t xml:space="preserve">чтение профиля нагрузки (Load Profile Data) с указанием номера профиля, канала и диапазона дат;</w:t>
      </w:r>
    </w:p>
    <w:p>
      <w:pPr>
        <w:pStyle w:val="ListParagraph"/>
        <w:numPr>
          <w:ilvl w:val="0"/>
          <w:numId w:val="2"/>
        </w:numPr>
        <w:spacing w:after="80" w:line="276"/>
      </w:pPr>
      <w:r>
        <w:rPr>
          <w:rFonts w:ascii="Times New Roman" w:cs="Times New Roman" w:eastAsia="Times New Roman" w:hAnsi="Times New Roman"/>
          <w:sz w:val="22"/>
          <w:szCs w:val="22"/>
        </w:rPr>
        <w:t xml:space="preserve">чтение параметров профиля нагрузки (интервал, количество объектов, OBIS-код, тип данных);</w:t>
      </w:r>
    </w:p>
    <w:p>
      <w:pPr>
        <w:pStyle w:val="ListParagraph"/>
        <w:numPr>
          <w:ilvl w:val="0"/>
          <w:numId w:val="2"/>
        </w:numPr>
        <w:spacing w:after="80" w:line="276"/>
      </w:pPr>
      <w:r>
        <w:rPr>
          <w:rFonts w:ascii="Times New Roman" w:cs="Times New Roman" w:eastAsia="Times New Roman" w:hAnsi="Times New Roman"/>
          <w:sz w:val="22"/>
          <w:szCs w:val="22"/>
        </w:rPr>
        <w:t xml:space="preserve">чтение статусного слова счётчика и кодов ошибок (Meter Status Word);</w:t>
      </w:r>
    </w:p>
    <w:p>
      <w:pPr>
        <w:pStyle w:val="ListParagraph"/>
        <w:numPr>
          <w:ilvl w:val="0"/>
          <w:numId w:val="2"/>
        </w:numPr>
        <w:spacing w:after="80" w:line="276"/>
      </w:pPr>
      <w:r>
        <w:rPr>
          <w:rFonts w:ascii="Times New Roman" w:cs="Times New Roman" w:eastAsia="Times New Roman" w:hAnsi="Times New Roman"/>
          <w:sz w:val="22"/>
          <w:szCs w:val="22"/>
        </w:rPr>
        <w:t xml:space="preserve">чтение частоты обновления показаний (RefreshRate).</w:t>
      </w:r>
    </w:p>
    <w:p>
      <w:pPr>
        <w:spacing w:after="160" w:line="276"/>
        <w:jc w:val="both"/>
      </w:pPr>
      <w:r>
        <w:rPr>
          <w:rFonts w:ascii="Times New Roman" w:cs="Times New Roman" w:eastAsia="Times New Roman" w:hAnsi="Times New Roman"/>
          <w:b w:val="false"/>
          <w:bCs w:val="false"/>
          <w:i w:val="false"/>
          <w:iCs w:val="false"/>
          <w:sz w:val="22"/>
          <w:szCs w:val="22"/>
        </w:rPr>
        <w:t xml:space="preserve">Операции, потенциально занимающие длительное время (в первую очередь — чтение профиля нагрузки за протяжённый период), должны выполняться асинхронно, с отображением прогресса оператору и возможностью докачки данных при обрыве соединения без потери уже полученной части.</w:t>
      </w:r>
    </w:p>
    <w:p>
      <w:pPr>
        <w:pStyle w:val="Heading3"/>
        <w:spacing w:after="120" w:before="200"/>
      </w:pPr>
      <w:r>
        <w:t xml:space="preserve">4.2.4. Запись параметров на счётчики</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обеспечивать запись следующих параметров (доступно ролям «Инженер» и «Администратор»):</w:t>
      </w:r>
    </w:p>
    <w:p>
      <w:pPr>
        <w:pStyle w:val="ListParagraph"/>
        <w:numPr>
          <w:ilvl w:val="0"/>
          <w:numId w:val="2"/>
        </w:numPr>
        <w:spacing w:after="80" w:line="276"/>
      </w:pPr>
      <w:r>
        <w:rPr>
          <w:rFonts w:ascii="Times New Roman" w:cs="Times New Roman" w:eastAsia="Times New Roman" w:hAnsi="Times New Roman"/>
          <w:sz w:val="22"/>
          <w:szCs w:val="22"/>
        </w:rPr>
        <w:t xml:space="preserve">дата и время счётчика;</w:t>
      </w:r>
    </w:p>
    <w:p>
      <w:pPr>
        <w:pStyle w:val="ListParagraph"/>
        <w:numPr>
          <w:ilvl w:val="0"/>
          <w:numId w:val="2"/>
        </w:numPr>
        <w:spacing w:after="80" w:line="276"/>
      </w:pPr>
      <w:r>
        <w:rPr>
          <w:rFonts w:ascii="Times New Roman" w:cs="Times New Roman" w:eastAsia="Times New Roman" w:hAnsi="Times New Roman"/>
          <w:sz w:val="22"/>
          <w:szCs w:val="22"/>
        </w:rPr>
        <w:t xml:space="preserve">режимы отображения на дисплее счётчика;</w:t>
      </w:r>
    </w:p>
    <w:p>
      <w:pPr>
        <w:pStyle w:val="ListParagraph"/>
        <w:numPr>
          <w:ilvl w:val="0"/>
          <w:numId w:val="2"/>
        </w:numPr>
        <w:spacing w:after="80" w:line="276"/>
      </w:pPr>
      <w:r>
        <w:rPr>
          <w:rFonts w:ascii="Times New Roman" w:cs="Times New Roman" w:eastAsia="Times New Roman" w:hAnsi="Times New Roman"/>
          <w:sz w:val="22"/>
          <w:szCs w:val="22"/>
        </w:rPr>
        <w:t xml:space="preserve">тарифное расписание (Tariff Schedule);</w:t>
      </w:r>
    </w:p>
    <w:p>
      <w:pPr>
        <w:pStyle w:val="ListParagraph"/>
        <w:numPr>
          <w:ilvl w:val="0"/>
          <w:numId w:val="2"/>
        </w:numPr>
        <w:spacing w:after="80" w:line="276"/>
      </w:pPr>
      <w:r>
        <w:rPr>
          <w:rFonts w:ascii="Times New Roman" w:cs="Times New Roman" w:eastAsia="Times New Roman" w:hAnsi="Times New Roman"/>
          <w:sz w:val="22"/>
          <w:szCs w:val="22"/>
        </w:rPr>
        <w:t xml:space="preserve">параметры профиля нагрузки (интервал, количество элементов, OBIS-код);</w:t>
      </w:r>
    </w:p>
    <w:p>
      <w:pPr>
        <w:pStyle w:val="ListParagraph"/>
        <w:numPr>
          <w:ilvl w:val="0"/>
          <w:numId w:val="2"/>
        </w:numPr>
        <w:spacing w:after="80" w:line="276"/>
      </w:pPr>
      <w:r>
        <w:rPr>
          <w:rFonts w:ascii="Times New Roman" w:cs="Times New Roman" w:eastAsia="Times New Roman" w:hAnsi="Times New Roman"/>
          <w:sz w:val="22"/>
          <w:szCs w:val="22"/>
        </w:rPr>
        <w:t xml:space="preserve">параметры GPRS-соединения счётчика.</w:t>
      </w:r>
    </w:p>
    <w:p>
      <w:pPr>
        <w:spacing w:after="160" w:line="276"/>
        <w:jc w:val="both"/>
      </w:pPr>
      <w:r>
        <w:rPr>
          <w:rFonts w:ascii="Times New Roman" w:cs="Times New Roman" w:eastAsia="Times New Roman" w:hAnsi="Times New Roman"/>
          <w:b w:val="false"/>
          <w:bCs w:val="false"/>
          <w:i w:val="false"/>
          <w:iCs w:val="false"/>
          <w:sz w:val="22"/>
          <w:szCs w:val="22"/>
        </w:rPr>
        <w:t xml:space="preserve">Каждая операция записи должна безусловно фиксироваться в журнале аудита (см. п. 4.2.7) с указанием пользователя, времени, счётчика, изменяемого параметра, предыдущего и нового значения, результата выполнения.</w:t>
      </w:r>
    </w:p>
    <w:p>
      <w:pPr>
        <w:pStyle w:val="Heading3"/>
        <w:spacing w:after="120" w:before="200"/>
      </w:pPr>
      <w:r>
        <w:t xml:space="preserve">4.2.5. Схемы параметров</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обеспечивать сохранение набора параметров как именованной «схемы» (аналог функции Save Scheme/Load Scheme текущего решения) с последующей загрузкой и применением схемы к одному или нескольким счётчикам за одну операцию (массовое применение — расширение по сравнению с текущим решением, где схема применялась к одному счётчику за раз).</w:t>
      </w:r>
    </w:p>
    <w:p>
      <w:pPr>
        <w:pStyle w:val="Heading3"/>
        <w:spacing w:after="120" w:before="200"/>
      </w:pPr>
      <w:r>
        <w:t xml:space="preserve">4.2.6. Автоматизация опроса по расписанию</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обеспечивать создание расписаний (например, в формате cron-выражения) для автоматического периодического опроса выбранной группы счётчиков без участия оператора, с фиксацией результата каждого выполнения в истории задач.</w:t>
      </w:r>
    </w:p>
    <w:p>
      <w:pPr>
        <w:pStyle w:val="Heading3"/>
        <w:spacing w:after="120" w:before="200"/>
      </w:pPr>
      <w:r>
        <w:t xml:space="preserve">4.2.7. Журналирование и аудит</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вести неизменяемый (append-only) журнал аудита всех операций записи и административных действий, доступный для просмотра роли «Администратор» с фильтрацией по пользователю, счётчику, типу операции и периоду.</w:t>
      </w:r>
    </w:p>
    <w:p>
      <w:pPr>
        <w:pStyle w:val="Heading3"/>
        <w:spacing w:after="120" w:before="200"/>
      </w:pPr>
      <w:r>
        <w:t xml:space="preserve">4.2.8. Уведомления</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поддерживать уведомления (в веб-интерфейсе, опционально — по электронной почте) о следующих событиях: переход счётчика в состояние offline (по истечении настраиваемого таймаута), регистрация tamper-события в журнале вмешательств, ошибка выполнения запланированной задачи.</w:t>
      </w:r>
    </w:p>
    <w:p>
      <w:pPr>
        <w:pStyle w:val="Heading3"/>
        <w:spacing w:after="120" w:before="200"/>
      </w:pPr>
      <w:r>
        <w:t xml:space="preserve">4.2.9. Интеграция с биллинговой системой</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должна предоставлять отдельный сегмент REST API для внешнего опроса биллинговой системой в режиме Pull (биллинг самостоятельно инициирует запросы к Системе по расписанию). Канал интеграции строится по принципу платформенной независимости — REST/JSON поверх HTTPS, без привязки к конкретной технологической платформе биллинговой системы; на момент разработки настоящего ТЗ в качестве биллинговой системы Заказчиком рассматривается платформа 1С, однако интеграционный слой не должен требовать переработки при последующей смене платформы биллинга (переиздаётся только комплект учётных данных для нового клиента API):</w:t>
      </w:r>
    </w:p>
    <w:p>
      <w:pPr>
        <w:pStyle w:val="ListParagraph"/>
        <w:numPr>
          <w:ilvl w:val="0"/>
          <w:numId w:val="2"/>
        </w:numPr>
        <w:spacing w:after="80" w:line="276"/>
      </w:pPr>
      <w:r>
        <w:rPr>
          <w:rFonts w:ascii="Times New Roman" w:cs="Times New Roman" w:eastAsia="Times New Roman" w:hAnsi="Times New Roman"/>
          <w:sz w:val="22"/>
          <w:szCs w:val="22"/>
        </w:rPr>
        <w:t xml:space="preserve">GET /api/billing/readings — показания за период, с фильтрацией по счётчику/группе счётчиков;</w:t>
      </w:r>
    </w:p>
    <w:p>
      <w:pPr>
        <w:pStyle w:val="ListParagraph"/>
        <w:numPr>
          <w:ilvl w:val="0"/>
          <w:numId w:val="2"/>
        </w:numPr>
        <w:spacing w:after="80" w:line="276"/>
      </w:pPr>
      <w:r>
        <w:rPr>
          <w:rFonts w:ascii="Times New Roman" w:cs="Times New Roman" w:eastAsia="Times New Roman" w:hAnsi="Times New Roman"/>
          <w:sz w:val="22"/>
          <w:szCs w:val="22"/>
        </w:rPr>
        <w:t xml:space="preserve">GET /api/billing/tariffs — тарифные данные, снятые со счётчиков.</w:t>
      </w:r>
    </w:p>
    <w:p>
      <w:pPr>
        <w:spacing w:after="160" w:line="276"/>
        <w:jc w:val="both"/>
      </w:pPr>
      <w:r>
        <w:rPr>
          <w:rFonts w:ascii="Times New Roman" w:cs="Times New Roman" w:eastAsia="Times New Roman" w:hAnsi="Times New Roman"/>
          <w:b w:val="false"/>
          <w:bCs w:val="false"/>
          <w:i w:val="false"/>
          <w:iCs w:val="false"/>
          <w:sz w:val="22"/>
          <w:szCs w:val="22"/>
        </w:rPr>
        <w:t xml:space="preserve">Аутентификация биллинг-интеграции выполняется отдельно от сессионной аутентификации веб-интерфейса — по API-ключу либо Basic Auth поверх HTTPS. Доступ ограничивается принципом наименьших привилегий: только чтение показаний и тарифов, без доступа к операциям записи параметров, справочнику пользователей и административным функциям. Все обращения биллинговой системы к API подлежат обязательному логированию в журнал аудита отдельной категорией.</w:t>
      </w:r>
    </w:p>
    <w:p>
      <w:pPr>
        <w:pStyle w:val="Heading3"/>
        <w:spacing w:after="120" w:before="200"/>
      </w:pPr>
      <w:r>
        <w:t xml:space="preserve">4.2.10. Удалённое отключение и подключение счётчика</w:t>
      </w:r>
    </w:p>
    <w:p>
      <w:pPr>
        <w:spacing w:after="160" w:line="276"/>
        <w:jc w:val="both"/>
      </w:pPr>
      <w:r>
        <w:rPr>
          <w:rFonts w:ascii="Times New Roman" w:cs="Times New Roman" w:eastAsia="Times New Roman" w:hAnsi="Times New Roman"/>
          <w:b w:val="false"/>
          <w:bCs w:val="false"/>
          <w:i w:val="false"/>
          <w:iCs w:val="false"/>
          <w:sz w:val="22"/>
          <w:szCs w:val="22"/>
        </w:rPr>
        <w:t xml:space="preserve">Операция удалённого отключения/подключения счётчика от сети (управление реле отключения) инициируется одним из двух способов:</w:t>
      </w:r>
    </w:p>
    <w:p>
      <w:pPr>
        <w:pStyle w:val="ListParagraph"/>
        <w:numPr>
          <w:ilvl w:val="0"/>
          <w:numId w:val="4"/>
        </w:numPr>
        <w:spacing w:after="80" w:line="276"/>
      </w:pPr>
      <w:r>
        <w:rPr>
          <w:rFonts w:ascii="Times New Roman" w:cs="Times New Roman" w:eastAsia="Times New Roman" w:hAnsi="Times New Roman"/>
          <w:sz w:val="22"/>
          <w:szCs w:val="22"/>
        </w:rPr>
        <w:t xml:space="preserve">вручную — через веб-интерфейс, по одному счётчику (роли «Инженер», «Администратор»);</w:t>
      </w:r>
    </w:p>
    <w:p>
      <w:pPr>
        <w:pStyle w:val="ListParagraph"/>
        <w:numPr>
          <w:ilvl w:val="0"/>
          <w:numId w:val="4"/>
        </w:numPr>
        <w:spacing w:after="80" w:line="276"/>
      </w:pPr>
      <w:r>
        <w:rPr>
          <w:rFonts w:ascii="Times New Roman" w:cs="Times New Roman" w:eastAsia="Times New Roman" w:hAnsi="Times New Roman"/>
          <w:sz w:val="22"/>
          <w:szCs w:val="22"/>
        </w:rPr>
        <w:t xml:space="preserve">пакетно от биллинговой системы — биллинг передаёт список счётчиков на отключение и/или подключение одним запросом; Система принимает список, регистрирует по каждому счётчику отдельную асинхронную задачу и выполняет их в пределах пропускной способности Protocol Gateway, не блокируя вызывающую сторону ожиданием фактического выполнения.</w:t>
      </w:r>
    </w:p>
    <w:p>
      <w:pPr>
        <w:spacing w:after="160" w:line="276"/>
        <w:jc w:val="both"/>
      </w:pPr>
      <w:r>
        <w:rPr>
          <w:rFonts w:ascii="Times New Roman" w:cs="Times New Roman" w:eastAsia="Times New Roman" w:hAnsi="Times New Roman"/>
          <w:b w:val="false"/>
          <w:bCs w:val="false"/>
          <w:i w:val="false"/>
          <w:iCs w:val="false"/>
          <w:sz w:val="22"/>
          <w:szCs w:val="22"/>
        </w:rPr>
        <w:t xml:space="preserve">Требования к пакетной обработке запросов от биллинга:</w:t>
      </w:r>
    </w:p>
    <w:p>
      <w:pPr>
        <w:pStyle w:val="ListParagraph"/>
        <w:numPr>
          <w:ilvl w:val="0"/>
          <w:numId w:val="2"/>
        </w:numPr>
        <w:spacing w:after="80" w:line="276"/>
      </w:pPr>
      <w:r>
        <w:rPr>
          <w:rFonts w:ascii="Times New Roman" w:cs="Times New Roman" w:eastAsia="Times New Roman" w:hAnsi="Times New Roman"/>
          <w:sz w:val="22"/>
          <w:szCs w:val="22"/>
        </w:rPr>
        <w:t xml:space="preserve">POST /api/billing/disconnect-batch — приём списка счётчиков (серийный номер/идентификатор) на отключение;</w:t>
      </w:r>
    </w:p>
    <w:p>
      <w:pPr>
        <w:pStyle w:val="ListParagraph"/>
        <w:numPr>
          <w:ilvl w:val="0"/>
          <w:numId w:val="2"/>
        </w:numPr>
        <w:spacing w:after="80" w:line="276"/>
      </w:pPr>
      <w:r>
        <w:rPr>
          <w:rFonts w:ascii="Times New Roman" w:cs="Times New Roman" w:eastAsia="Times New Roman" w:hAnsi="Times New Roman"/>
          <w:sz w:val="22"/>
          <w:szCs w:val="22"/>
        </w:rPr>
        <w:t xml:space="preserve">POST /api/billing/reconnect-batch — приём списка счётчиков на подключение;</w:t>
      </w:r>
    </w:p>
    <w:p>
      <w:pPr>
        <w:pStyle w:val="ListParagraph"/>
        <w:numPr>
          <w:ilvl w:val="0"/>
          <w:numId w:val="2"/>
        </w:numPr>
        <w:spacing w:after="80" w:line="276"/>
      </w:pPr>
      <w:r>
        <w:rPr>
          <w:rFonts w:ascii="Times New Roman" w:cs="Times New Roman" w:eastAsia="Times New Roman" w:hAnsi="Times New Roman"/>
          <w:sz w:val="22"/>
          <w:szCs w:val="22"/>
        </w:rPr>
        <w:t xml:space="preserve">ответ на пакетный запрос — немедленное подтверждение приёма с идентификатором пакета (batch_id), без ожидания фактического выполнения операций;</w:t>
      </w:r>
    </w:p>
    <w:p>
      <w:pPr>
        <w:pStyle w:val="ListParagraph"/>
        <w:numPr>
          <w:ilvl w:val="0"/>
          <w:numId w:val="2"/>
        </w:numPr>
        <w:spacing w:after="80" w:line="276"/>
      </w:pPr>
      <w:r>
        <w:rPr>
          <w:rFonts w:ascii="Times New Roman" w:cs="Times New Roman" w:eastAsia="Times New Roman" w:hAnsi="Times New Roman"/>
          <w:sz w:val="22"/>
          <w:szCs w:val="22"/>
        </w:rPr>
        <w:t xml:space="preserve">результат обработки пакета — доступен через GET /api/billing/disconnect-batch/{batch_id} с индивидуальным статусом по каждому счётчику (в очереди / выполнено / ошибка).</w:t>
      </w:r>
    </w:p>
    <w:p>
      <w:pPr>
        <w:spacing w:after="160" w:line="276"/>
        <w:jc w:val="both"/>
      </w:pPr>
      <w:r>
        <w:rPr>
          <w:rFonts w:ascii="Times New Roman" w:cs="Times New Roman" w:eastAsia="Times New Roman" w:hAnsi="Times New Roman"/>
          <w:b w:val="false"/>
          <w:bCs w:val="false"/>
          <w:i w:val="false"/>
          <w:iCs w:val="false"/>
          <w:sz w:val="22"/>
          <w:szCs w:val="22"/>
        </w:rPr>
        <w:t xml:space="preserve">Ввиду физических последствий операции (обесточивание потребителя), обязательны:</w:t>
      </w:r>
    </w:p>
    <w:p>
      <w:pPr>
        <w:pStyle w:val="ListParagraph"/>
        <w:numPr>
          <w:ilvl w:val="0"/>
          <w:numId w:val="2"/>
        </w:numPr>
        <w:spacing w:after="80" w:line="276"/>
      </w:pPr>
      <w:r>
        <w:rPr>
          <w:rFonts w:ascii="Times New Roman" w:cs="Times New Roman" w:eastAsia="Times New Roman" w:hAnsi="Times New Roman"/>
          <w:sz w:val="22"/>
          <w:szCs w:val="22"/>
        </w:rPr>
        <w:t xml:space="preserve">явное подтверждение оператора при ручном запуске через веб-интерфейс;</w:t>
      </w:r>
    </w:p>
    <w:p>
      <w:pPr>
        <w:pStyle w:val="ListParagraph"/>
        <w:numPr>
          <w:ilvl w:val="0"/>
          <w:numId w:val="2"/>
        </w:numPr>
        <w:spacing w:after="80" w:line="276"/>
      </w:pPr>
      <w:r>
        <w:rPr>
          <w:rFonts w:ascii="Times New Roman" w:cs="Times New Roman" w:eastAsia="Times New Roman" w:hAnsi="Times New Roman"/>
          <w:sz w:val="22"/>
          <w:szCs w:val="22"/>
        </w:rPr>
        <w:t xml:space="preserve">ограничение размера и частоты пакетных запросов от биллинговой системы (rate limiting);</w:t>
      </w:r>
    </w:p>
    <w:p>
      <w:pPr>
        <w:pStyle w:val="ListParagraph"/>
        <w:numPr>
          <w:ilvl w:val="0"/>
          <w:numId w:val="2"/>
        </w:numPr>
        <w:spacing w:after="80" w:line="276"/>
      </w:pPr>
      <w:r>
        <w:rPr>
          <w:rFonts w:ascii="Times New Roman" w:cs="Times New Roman" w:eastAsia="Times New Roman" w:hAnsi="Times New Roman"/>
          <w:sz w:val="22"/>
          <w:szCs w:val="22"/>
        </w:rPr>
        <w:t xml:space="preserve">безусловная фиксация в журнале аудита каждой отдельной операции отключения/подключения с указанием источника инициации (пользователь веб-интерфейса либо идентификатор пакета от биллинга).</w:t>
      </w:r>
    </w:p>
    <w:p>
      <w:pPr>
        <w:spacing w:after="160" w:line="276"/>
        <w:jc w:val="both"/>
      </w:pPr>
      <w:r>
        <w:rPr>
          <w:rFonts w:ascii="Times New Roman" w:cs="Times New Roman" w:eastAsia="Times New Roman" w:hAnsi="Times New Roman"/>
          <w:b w:val="false"/>
          <w:bCs w:val="false"/>
          <w:i w:val="false"/>
          <w:iCs w:val="false"/>
          <w:sz w:val="22"/>
          <w:szCs w:val="22"/>
        </w:rPr>
        <w:t xml:space="preserve">Функция требует поддержки на протокольном уровне (п. 4.3) — команда управления отключением (Disconnect Control, класс объекта DLMS 70) для счётчиков с протокольным профилем HDLC-DLMS. Для счётчиков с профилем IEC 62056-21 доступность функции зависит от конкретной модели счётчика и подлежит уточнению на этапе PoC протокольного слоя (этап 0, раздел 6).</w:t>
      </w:r>
    </w:p>
    <w:p>
      <w:pPr>
        <w:pStyle w:val="Heading3"/>
        <w:spacing w:after="120" w:before="200"/>
      </w:pPr>
      <w:r>
        <w:t xml:space="preserve">4.2.11. Требования к экранам пользовательского интерфейса</w:t>
      </w:r>
    </w:p>
    <w:p>
      <w:pPr>
        <w:spacing w:after="160" w:line="276"/>
        <w:jc w:val="both"/>
      </w:pPr>
      <w:r>
        <w:rPr>
          <w:rFonts w:ascii="Times New Roman" w:cs="Times New Roman" w:eastAsia="Times New Roman" w:hAnsi="Times New Roman"/>
          <w:b w:val="false"/>
          <w:bCs w:val="false"/>
          <w:i w:val="false"/>
          <w:iCs w:val="false"/>
          <w:sz w:val="22"/>
          <w:szCs w:val="22"/>
        </w:rPr>
        <w:t xml:space="preserve">Веб-интерфейс должен реализовывать следующий минимальный состав экранов:</w:t>
      </w:r>
    </w:p>
    <w:p>
      <w:pPr>
        <w:spacing w:after="160" w:line="276"/>
        <w:jc w:val="both"/>
      </w:pPr>
      <w:r>
        <w:rPr>
          <w:rFonts w:ascii="Times New Roman" w:cs="Times New Roman" w:eastAsia="Times New Roman" w:hAnsi="Times New Roman"/>
          <w:b w:val="false"/>
          <w:bCs w:val="false"/>
          <w:i w:val="false"/>
          <w:iCs w:val="false"/>
          <w:sz w:val="22"/>
          <w:szCs w:val="22"/>
        </w:rPr>
        <w:t xml:space="preserve">Дашборд — стартовый экран, отображающий сводную статистику: общее количество счётчиков; количество счётчиков в статусе online/offline; количество активных задач (в очереди/выполняются); количество tamper-событий за последние 24 часа; график динамики опроса/показаний.</w:t>
      </w:r>
    </w:p>
    <w:p>
      <w:pPr>
        <w:spacing w:after="160" w:line="276"/>
        <w:jc w:val="both"/>
      </w:pPr>
      <w:r>
        <w:rPr>
          <w:rFonts w:ascii="Times New Roman" w:cs="Times New Roman" w:eastAsia="Times New Roman" w:hAnsi="Times New Roman"/>
          <w:b w:val="false"/>
          <w:bCs w:val="false"/>
          <w:i w:val="false"/>
          <w:iCs w:val="false"/>
          <w:sz w:val="22"/>
          <w:szCs w:val="22"/>
        </w:rPr>
        <w:t xml:space="preserve">Справочник счётчиков — таблица с колонками: серийный номер, IP-адрес, протокол, местоположение, статус (online/offline), время последнего успешного чтения; фильтрация по местоположению, протоколу, статусу; поиск по серийному номеру/IP; действия добавления, редактирования и удаления счётчика (форма: серийный номер, IP, порт, протокол, пароль доступа, ключ AES, местоположение, модель, привязка к экземпляру Gateway согласно п. 4.1.1).</w:t>
      </w:r>
    </w:p>
    <w:p>
      <w:pPr>
        <w:spacing w:after="160" w:line="276"/>
        <w:jc w:val="both"/>
      </w:pPr>
      <w:r>
        <w:rPr>
          <w:rFonts w:ascii="Times New Roman" w:cs="Times New Roman" w:eastAsia="Times New Roman" w:hAnsi="Times New Roman"/>
          <w:b w:val="false"/>
          <w:bCs w:val="false"/>
          <w:i w:val="false"/>
          <w:iCs w:val="false"/>
          <w:sz w:val="22"/>
          <w:szCs w:val="22"/>
        </w:rPr>
        <w:t xml:space="preserve">Карточка счётчика — детальная страница: общая информация, текущие показания, статусное слово, история событий, история вмешательств, графики профиля нагрузки; для ролей «Инженер»/«Администратор» — управляющие действия «Обновить показания», «Прочитать профиль нагрузки», «Установить время», «Отключить/Подключить» (с обязательным подтверждением).</w:t>
      </w:r>
    </w:p>
    <w:p>
      <w:pPr>
        <w:spacing w:after="160" w:line="276"/>
        <w:jc w:val="both"/>
      </w:pPr>
      <w:r>
        <w:rPr>
          <w:rFonts w:ascii="Times New Roman" w:cs="Times New Roman" w:eastAsia="Times New Roman" w:hAnsi="Times New Roman"/>
          <w:b w:val="false"/>
          <w:bCs w:val="false"/>
          <w:i w:val="false"/>
          <w:iCs w:val="false"/>
          <w:sz w:val="22"/>
          <w:szCs w:val="22"/>
        </w:rPr>
        <w:t xml:space="preserve">Управление схемами параметров — сохранение именованной схемы, применение к одному счётчику или группе (массовая операция), просмотр/редактирование/удаление сохранённых схем.</w:t>
      </w:r>
    </w:p>
    <w:p>
      <w:pPr>
        <w:spacing w:after="160" w:line="276"/>
        <w:jc w:val="both"/>
      </w:pPr>
      <w:r>
        <w:rPr>
          <w:rFonts w:ascii="Times New Roman" w:cs="Times New Roman" w:eastAsia="Times New Roman" w:hAnsi="Times New Roman"/>
          <w:b w:val="false"/>
          <w:bCs w:val="false"/>
          <w:i w:val="false"/>
          <w:iCs w:val="false"/>
          <w:sz w:val="22"/>
          <w:szCs w:val="22"/>
        </w:rPr>
        <w:t xml:space="preserve">Расписания — создание расписания (выбор группы счётчиков, периодичность в виде cron-выражения либо визуального конструктора, тип операции); список расписаний со статусом и временем последнего запуска; журнал выполнения каждого запуска.</w:t>
      </w:r>
    </w:p>
    <w:p>
      <w:pPr>
        <w:spacing w:after="160" w:line="276"/>
        <w:jc w:val="both"/>
      </w:pPr>
      <w:r>
        <w:rPr>
          <w:rFonts w:ascii="Times New Roman" w:cs="Times New Roman" w:eastAsia="Times New Roman" w:hAnsi="Times New Roman"/>
          <w:b w:val="false"/>
          <w:bCs w:val="false"/>
          <w:i w:val="false"/>
          <w:iCs w:val="false"/>
          <w:sz w:val="22"/>
          <w:szCs w:val="22"/>
        </w:rPr>
        <w:t xml:space="preserve">Журнал аудита — таблица со всеми действиями пользователей и системными событиями (время, пользователь, IP-адрес, действие, объект, результат); фильтрация по пользователю/счётчику/типу действия/периоду; экспорт отфильтрованного журнала в CSV/Excel.</w:t>
      </w:r>
    </w:p>
    <w:p>
      <w:pPr>
        <w:spacing w:after="160" w:line="276"/>
        <w:jc w:val="both"/>
      </w:pPr>
      <w:r>
        <w:rPr>
          <w:rFonts w:ascii="Times New Roman" w:cs="Times New Roman" w:eastAsia="Times New Roman" w:hAnsi="Times New Roman"/>
          <w:b w:val="false"/>
          <w:bCs w:val="false"/>
          <w:i w:val="false"/>
          <w:iCs w:val="false"/>
          <w:sz w:val="22"/>
          <w:szCs w:val="22"/>
        </w:rPr>
        <w:t xml:space="preserve">Управление пользователями — список пользователей (логин, роль, дата регистрации); создание пользователя; редактирование роли, сброс пароля, блокировка учётной записи.</w:t>
      </w:r>
    </w:p>
    <w:p>
      <w:pPr>
        <w:pStyle w:val="Heading3"/>
        <w:spacing w:after="120" w:before="200"/>
      </w:pPr>
      <w:r>
        <w:t xml:space="preserve">4.2.12. Требования к UX длительных операций</w:t>
      </w:r>
    </w:p>
    <w:p>
      <w:pPr>
        <w:pStyle w:val="ListParagraph"/>
        <w:numPr>
          <w:ilvl w:val="0"/>
          <w:numId w:val="2"/>
        </w:numPr>
        <w:spacing w:after="80" w:line="276"/>
      </w:pPr>
      <w:r>
        <w:rPr>
          <w:rFonts w:ascii="Times New Roman" w:cs="Times New Roman" w:eastAsia="Times New Roman" w:hAnsi="Times New Roman"/>
          <w:sz w:val="22"/>
          <w:szCs w:val="22"/>
        </w:rPr>
        <w:t xml:space="preserve">операции записи параметров и чтения профиля нагрузки выполняются асинхронно; о запуске операции пользователь уведомляется всплывающим уведомлением либо отдельным виджетом «Мои задачи»;</w:t>
      </w:r>
    </w:p>
    <w:p>
      <w:pPr>
        <w:pStyle w:val="ListParagraph"/>
        <w:numPr>
          <w:ilvl w:val="0"/>
          <w:numId w:val="2"/>
        </w:numPr>
        <w:spacing w:after="80" w:line="276"/>
      </w:pPr>
      <w:r>
        <w:rPr>
          <w:rFonts w:ascii="Times New Roman" w:cs="Times New Roman" w:eastAsia="Times New Roman" w:hAnsi="Times New Roman"/>
          <w:sz w:val="22"/>
          <w:szCs w:val="22"/>
        </w:rPr>
        <w:t xml:space="preserve">уведомления о завершении задачи или возникновении ошибки доставляются пользователю в реальном времени по WebSocket, без необходимости обновления страницы;</w:t>
      </w:r>
    </w:p>
    <w:p>
      <w:pPr>
        <w:pStyle w:val="ListParagraph"/>
        <w:numPr>
          <w:ilvl w:val="0"/>
          <w:numId w:val="2"/>
        </w:numPr>
        <w:spacing w:after="80" w:line="276"/>
      </w:pPr>
      <w:r>
        <w:rPr>
          <w:rFonts w:ascii="Times New Roman" w:cs="Times New Roman" w:eastAsia="Times New Roman" w:hAnsi="Times New Roman"/>
          <w:sz w:val="22"/>
          <w:szCs w:val="22"/>
        </w:rPr>
        <w:t xml:space="preserve">при обрыве соединения во время чтения профиля нагрузки система сохраняет уже полученные данные и предлагает продолжить с последней точки, с отображением индикатора прогресса.</w:t>
      </w:r>
    </w:p>
    <w:p>
      <w:pPr>
        <w:pStyle w:val="Heading2"/>
        <w:spacing w:after="160" w:before="260"/>
      </w:pPr>
      <w:r>
        <w:t xml:space="preserve">4.3. Требования к протокольному уровню (Protocol Gateway)</w:t>
      </w:r>
    </w:p>
    <w:p>
      <w:pPr>
        <w:spacing w:after="160" w:line="276"/>
        <w:jc w:val="both"/>
      </w:pPr>
      <w:r>
        <w:rPr>
          <w:rFonts w:ascii="Times New Roman" w:cs="Times New Roman" w:eastAsia="Times New Roman" w:hAnsi="Times New Roman"/>
          <w:b w:val="false"/>
          <w:bCs w:val="false"/>
          <w:i w:val="false"/>
          <w:iCs w:val="false"/>
          <w:sz w:val="22"/>
          <w:szCs w:val="22"/>
        </w:rPr>
        <w:t xml:space="preserve">Данный раздел выделен отдельно ввиду наивысшей технической сложности и риска реализации.</w:t>
      </w:r>
    </w:p>
    <w:p>
      <w:pPr>
        <w:pStyle w:val="Heading3"/>
        <w:spacing w:after="120" w:before="200"/>
      </w:pPr>
      <w:r>
        <w:t xml:space="preserve">4.3.1. Транспортный уровень</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6500"/>
      </w:tblGrid>
      <w:tr>
        <w:trPr>
          <w:tblHeader/>
        </w:trPr>
        <w:tc>
          <w:tcPr>
            <w:tcW w:type="dxa" w:w="30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Параметр</w:t>
            </w:r>
          </w:p>
        </w:tc>
        <w:tc>
          <w:tcPr>
            <w:tcW w:type="dxa" w:w="65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Требование</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Транспорт</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TCP/IP (Ethernet или GPRS-модем счётчика)</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Таймаут соединения/операции</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Конфигурируемый, значение по умолчанию — 5000 мс</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Повторные попытки</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До 3 попыток с возрастающей задержкой перед переводом счётчика в статус «недоступен»</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Модель соединения</w:t>
            </w:r>
          </w:p>
        </w:tc>
        <w:tc>
          <w:tcPr>
            <w:tcW w:type="dxa" w:w="6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Gateway инициирует TCP-соединение к IP-адресу и порту счётчика, указанным в справочнике</w:t>
            </w:r>
          </w:p>
        </w:tc>
      </w:tr>
    </w:tbl>
    <w:p>
      <w:pPr>
        <w:pStyle w:val="Heading3"/>
        <w:spacing w:after="120" w:before="200"/>
      </w:pPr>
      <w:r>
        <w:t xml:space="preserve">4.3.2. Поддерживаемые протокольные профили</w:t>
      </w:r>
    </w:p>
    <w:p>
      <w:pPr>
        <w:spacing w:after="160" w:line="276"/>
        <w:jc w:val="both"/>
      </w:pPr>
      <w:r>
        <w:rPr>
          <w:rFonts w:ascii="Times New Roman" w:cs="Times New Roman" w:eastAsia="Times New Roman" w:hAnsi="Times New Roman"/>
          <w:b w:val="false"/>
          <w:bCs w:val="false"/>
          <w:i w:val="false"/>
          <w:iCs w:val="false"/>
          <w:sz w:val="22"/>
          <w:szCs w:val="22"/>
        </w:rPr>
        <w:t xml:space="preserve">Требования настоящего раздела 4.3 относятся к экземпляру Gateway, обслуживающему счётчики Risesun (парк первого этапа проекта, раздел 3.2). В рамках протокольного семейства Risesun Gateway должен реализовывать три протокольных профиля, выбираемых индивидуально для каждого счётчика:</w:t>
      </w:r>
    </w:p>
    <w:p>
      <w:pPr>
        <w:pStyle w:val="ListParagraph"/>
        <w:numPr>
          <w:ilvl w:val="0"/>
          <w:numId w:val="5"/>
        </w:numPr>
        <w:spacing w:after="80" w:line="276"/>
      </w:pPr>
      <w:r>
        <w:rPr>
          <w:rFonts w:ascii="Times New Roman" w:cs="Times New Roman" w:eastAsia="Times New Roman" w:hAnsi="Times New Roman"/>
          <w:sz w:val="22"/>
          <w:szCs w:val="22"/>
        </w:rPr>
        <w:t xml:space="preserve">IEC 62056-21, режим C — идентификация устройства, программное переключение скорости обмена, текстовый обмен данными;</w:t>
      </w:r>
    </w:p>
    <w:p>
      <w:pPr>
        <w:pStyle w:val="ListParagraph"/>
        <w:numPr>
          <w:ilvl w:val="0"/>
          <w:numId w:val="5"/>
        </w:numPr>
        <w:spacing w:after="80" w:line="276"/>
      </w:pPr>
      <w:r>
        <w:rPr>
          <w:rFonts w:ascii="Times New Roman" w:cs="Times New Roman" w:eastAsia="Times New Roman" w:hAnsi="Times New Roman"/>
          <w:sz w:val="22"/>
          <w:szCs w:val="22"/>
        </w:rPr>
        <w:t xml:space="preserve">IEC 62056-21, режим E — идентификация с последующим переходом на кадрирование HDLC;</w:t>
      </w:r>
    </w:p>
    <w:p>
      <w:pPr>
        <w:pStyle w:val="ListParagraph"/>
        <w:numPr>
          <w:ilvl w:val="0"/>
          <w:numId w:val="5"/>
        </w:numPr>
        <w:spacing w:after="80" w:line="276"/>
      </w:pPr>
      <w:r>
        <w:rPr>
          <w:rFonts w:ascii="Times New Roman" w:cs="Times New Roman" w:eastAsia="Times New Roman" w:hAnsi="Times New Roman"/>
          <w:sz w:val="22"/>
          <w:szCs w:val="22"/>
        </w:rPr>
        <w:t xml:space="preserve">HDLC + DLMS/COSEM — полный стек: HDLC-кадры, установление ассоциации (AARQ/AARE), сервисы GET/SET/ACTION над COSEM-объектами, адресуемыми OBIS-кодами.</w:t>
      </w:r>
    </w:p>
    <w:p>
      <w:pPr>
        <w:spacing w:after="160" w:line="276"/>
        <w:jc w:val="both"/>
      </w:pPr>
      <w:r>
        <w:rPr>
          <w:rFonts w:ascii="Times New Roman" w:cs="Times New Roman" w:eastAsia="Times New Roman" w:hAnsi="Times New Roman"/>
          <w:b w:val="false"/>
          <w:bCs w:val="false"/>
          <w:i w:val="false"/>
          <w:iCs w:val="false"/>
          <w:sz w:val="22"/>
          <w:szCs w:val="22"/>
        </w:rPr>
        <w:t xml:space="preserve">Правило определения физического адреса счётчика: для протокольных профилей IEC 62056-21 режим E и HDLC-DLMS физический адрес — последние 5 цифр серийного номера счётчика; для режима C — серийный номер целиком.</w:t>
      </w:r>
    </w:p>
    <w:p>
      <w:pPr>
        <w:pStyle w:val="Heading3"/>
        <w:spacing w:after="120" w:before="200"/>
      </w:pPr>
      <w:r>
        <w:t xml:space="preserve">4.3.3. Безопасность канала связи со счётчиком</w:t>
      </w:r>
    </w:p>
    <w:p>
      <w:pPr>
        <w:pStyle w:val="ListParagraph"/>
        <w:numPr>
          <w:ilvl w:val="0"/>
          <w:numId w:val="2"/>
        </w:numPr>
        <w:spacing w:after="80" w:line="276"/>
      </w:pPr>
      <w:r>
        <w:rPr>
          <w:rFonts w:ascii="Times New Roman" w:cs="Times New Roman" w:eastAsia="Times New Roman" w:hAnsi="Times New Roman"/>
          <w:sz w:val="22"/>
          <w:szCs w:val="22"/>
        </w:rPr>
        <w:t xml:space="preserve">пароль доступа (Low Level Security, 8 символов) — используется при установлении ассоциации; хранится в БД Backend в зашифрованном виде, передаётся Gateway только на время выполнения операции;</w:t>
      </w:r>
    </w:p>
    <w:p>
      <w:pPr>
        <w:pStyle w:val="ListParagraph"/>
        <w:numPr>
          <w:ilvl w:val="0"/>
          <w:numId w:val="2"/>
        </w:numPr>
        <w:spacing w:after="80" w:line="276"/>
      </w:pPr>
      <w:r>
        <w:rPr>
          <w:rFonts w:ascii="Times New Roman" w:cs="Times New Roman" w:eastAsia="Times New Roman" w:hAnsi="Times New Roman"/>
          <w:sz w:val="22"/>
          <w:szCs w:val="22"/>
        </w:rPr>
        <w:t xml:space="preserve">ключ AES для шифрования данных при обмене по GPRS-каналу (при наличии у конкретного счётчика) — хранится аналогично, в зашифрованном виде, не в конфигурационных файлах приложения.</w:t>
      </w:r>
    </w:p>
    <w:p>
      <w:pPr>
        <w:pStyle w:val="Heading3"/>
        <w:spacing w:after="120" w:before="200"/>
      </w:pPr>
      <w:r>
        <w:t xml:space="preserve">4.3.4. Обработка ошибок связи</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3600"/>
        <w:gridCol w:w="5900"/>
      </w:tblGrid>
      <w:tr>
        <w:trPr>
          <w:tblHeader/>
        </w:trPr>
        <w:tc>
          <w:tcPr>
            <w:tcW w:type="dxa" w:w="3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Ситуация</w:t>
            </w:r>
          </w:p>
        </w:tc>
        <w:tc>
          <w:tcPr>
            <w:tcW w:type="dxa" w:w="59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Требуемое поведение системы</w:t>
            </w:r>
          </w:p>
        </w:tc>
      </w:tr>
      <w:tr>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Счётчик не отвечает (таймаут)</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Задача получает статус «ошибка», причина TIMEOUT; счётчик помечается offline</w:t>
            </w:r>
          </w:p>
        </w:tc>
      </w:tr>
      <w:tr>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Ошибка аутентификации (неверный пароль/адрес)</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Задача получает статус «ошибка», причина AUTH_FAILED; автоматический повтор не выполняется</w:t>
            </w:r>
          </w:p>
        </w:tc>
      </w:tr>
      <w:tr>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Обрыв соединения при чтении профиля нагрузки</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Частично полученные данные сохраняются с флагом «неполные»; предусматривается докачка с последней точки</w:t>
            </w:r>
          </w:p>
        </w:tc>
      </w:tr>
      <w:tr>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Ошибка контрольной суммы / некорректный кадр</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Сырой кадр протоколируется в журнале диагностики (в шестнадцатеричном виде); выполняется повтор запроса (до 3 раз)</w:t>
            </w:r>
          </w:p>
        </w:tc>
      </w:tr>
    </w:tbl>
    <w:p>
      <w:pPr>
        <w:pStyle w:val="Heading2"/>
        <w:spacing w:after="160" w:before="260"/>
      </w:pPr>
      <w:r>
        <w:t xml:space="preserve">4.4. Требования к видам обеспечения</w:t>
      </w:r>
    </w:p>
    <w:p>
      <w:pPr>
        <w:pStyle w:val="Heading3"/>
        <w:spacing w:after="120" w:before="200"/>
      </w:pPr>
      <w:r>
        <w:t xml:space="preserve">4.4.1. Информационное обеспечение (модель данных)</w:t>
      </w:r>
    </w:p>
    <w:p>
      <w:pPr>
        <w:spacing w:after="160" w:line="276"/>
        <w:jc w:val="both"/>
      </w:pPr>
      <w:r>
        <w:rPr>
          <w:rFonts w:ascii="Times New Roman" w:cs="Times New Roman" w:eastAsia="Times New Roman" w:hAnsi="Times New Roman"/>
          <w:b w:val="false"/>
          <w:bCs w:val="false"/>
          <w:i w:val="false"/>
          <w:iCs w:val="false"/>
          <w:sz w:val="22"/>
          <w:szCs w:val="22"/>
        </w:rPr>
        <w:t xml:space="preserve">Основные сущности хранимых данных (детальный состав полей — предмет проектирования на этапе разработки, минимальный обязательный состав приведён в Приложении Б):</w:t>
      </w:r>
    </w:p>
    <w:p>
      <w:pPr>
        <w:pStyle w:val="ListParagraph"/>
        <w:numPr>
          <w:ilvl w:val="0"/>
          <w:numId w:val="2"/>
        </w:numPr>
        <w:spacing w:after="80" w:line="276"/>
      </w:pPr>
      <w:r>
        <w:rPr>
          <w:rFonts w:ascii="Times New Roman" w:cs="Times New Roman" w:eastAsia="Times New Roman" w:hAnsi="Times New Roman"/>
          <w:sz w:val="22"/>
          <w:szCs w:val="22"/>
        </w:rPr>
        <w:t xml:space="preserve">meters — справочник счётчиков;</w:t>
      </w:r>
    </w:p>
    <w:p>
      <w:pPr>
        <w:pStyle w:val="ListParagraph"/>
        <w:numPr>
          <w:ilvl w:val="0"/>
          <w:numId w:val="2"/>
        </w:numPr>
        <w:spacing w:after="80" w:line="276"/>
      </w:pPr>
      <w:r>
        <w:rPr>
          <w:rFonts w:ascii="Times New Roman" w:cs="Times New Roman" w:eastAsia="Times New Roman" w:hAnsi="Times New Roman"/>
          <w:sz w:val="22"/>
          <w:szCs w:val="22"/>
        </w:rPr>
        <w:t xml:space="preserve">gateways — реестр подключённых экземпляров Protocol Gateway (производитель, версия драйвера, сетевой адрес, поддерживаемые операции, статус online/offline);</w:t>
      </w:r>
    </w:p>
    <w:p>
      <w:pPr>
        <w:pStyle w:val="ListParagraph"/>
        <w:numPr>
          <w:ilvl w:val="0"/>
          <w:numId w:val="2"/>
        </w:numPr>
        <w:spacing w:after="80" w:line="276"/>
      </w:pPr>
      <w:r>
        <w:rPr>
          <w:rFonts w:ascii="Times New Roman" w:cs="Times New Roman" w:eastAsia="Times New Roman" w:hAnsi="Times New Roman"/>
          <w:sz w:val="22"/>
          <w:szCs w:val="22"/>
        </w:rPr>
        <w:t xml:space="preserve">meter_readings — снятые показания;</w:t>
      </w:r>
    </w:p>
    <w:p>
      <w:pPr>
        <w:pStyle w:val="ListParagraph"/>
        <w:numPr>
          <w:ilvl w:val="0"/>
          <w:numId w:val="2"/>
        </w:numPr>
        <w:spacing w:after="80" w:line="276"/>
      </w:pPr>
      <w:r>
        <w:rPr>
          <w:rFonts w:ascii="Times New Roman" w:cs="Times New Roman" w:eastAsia="Times New Roman" w:hAnsi="Times New Roman"/>
          <w:sz w:val="22"/>
          <w:szCs w:val="22"/>
        </w:rPr>
        <w:t xml:space="preserve">load_profile_data — данные профиля нагрузки;</w:t>
      </w:r>
    </w:p>
    <w:p>
      <w:pPr>
        <w:pStyle w:val="ListParagraph"/>
        <w:numPr>
          <w:ilvl w:val="0"/>
          <w:numId w:val="2"/>
        </w:numPr>
        <w:spacing w:after="80" w:line="276"/>
      </w:pPr>
      <w:r>
        <w:rPr>
          <w:rFonts w:ascii="Times New Roman" w:cs="Times New Roman" w:eastAsia="Times New Roman" w:hAnsi="Times New Roman"/>
          <w:sz w:val="22"/>
          <w:szCs w:val="22"/>
        </w:rPr>
        <w:t xml:space="preserve">event_log, tamper_log — журналы событий и вмешательств счётчика;</w:t>
      </w:r>
    </w:p>
    <w:p>
      <w:pPr>
        <w:pStyle w:val="ListParagraph"/>
        <w:numPr>
          <w:ilvl w:val="0"/>
          <w:numId w:val="2"/>
        </w:numPr>
        <w:spacing w:after="80" w:line="276"/>
      </w:pPr>
      <w:r>
        <w:rPr>
          <w:rFonts w:ascii="Times New Roman" w:cs="Times New Roman" w:eastAsia="Times New Roman" w:hAnsi="Times New Roman"/>
          <w:sz w:val="22"/>
          <w:szCs w:val="22"/>
        </w:rPr>
        <w:t xml:space="preserve">parameter_write_history — история операций записи параметров;</w:t>
      </w:r>
    </w:p>
    <w:p>
      <w:pPr>
        <w:pStyle w:val="ListParagraph"/>
        <w:numPr>
          <w:ilvl w:val="0"/>
          <w:numId w:val="2"/>
        </w:numPr>
        <w:spacing w:after="80" w:line="276"/>
      </w:pPr>
      <w:r>
        <w:rPr>
          <w:rFonts w:ascii="Times New Roman" w:cs="Times New Roman" w:eastAsia="Times New Roman" w:hAnsi="Times New Roman"/>
          <w:sz w:val="22"/>
          <w:szCs w:val="22"/>
        </w:rPr>
        <w:t xml:space="preserve">meter_status_snapshots — снимки статусного слова счётчика;</w:t>
      </w:r>
    </w:p>
    <w:p>
      <w:pPr>
        <w:pStyle w:val="ListParagraph"/>
        <w:numPr>
          <w:ilvl w:val="0"/>
          <w:numId w:val="2"/>
        </w:numPr>
        <w:spacing w:after="80" w:line="276"/>
      </w:pPr>
      <w:r>
        <w:rPr>
          <w:rFonts w:ascii="Times New Roman" w:cs="Times New Roman" w:eastAsia="Times New Roman" w:hAnsi="Times New Roman"/>
          <w:sz w:val="22"/>
          <w:szCs w:val="22"/>
        </w:rPr>
        <w:t xml:space="preserve">users — пользователи системы;</w:t>
      </w:r>
    </w:p>
    <w:p>
      <w:pPr>
        <w:pStyle w:val="ListParagraph"/>
        <w:numPr>
          <w:ilvl w:val="0"/>
          <w:numId w:val="2"/>
        </w:numPr>
        <w:spacing w:after="80" w:line="276"/>
      </w:pPr>
      <w:r>
        <w:rPr>
          <w:rFonts w:ascii="Times New Roman" w:cs="Times New Roman" w:eastAsia="Times New Roman" w:hAnsi="Times New Roman"/>
          <w:sz w:val="22"/>
          <w:szCs w:val="22"/>
        </w:rPr>
        <w:t xml:space="preserve">parameter_schemes — сохранённые схемы параметров;</w:t>
      </w:r>
    </w:p>
    <w:p>
      <w:pPr>
        <w:pStyle w:val="ListParagraph"/>
        <w:numPr>
          <w:ilvl w:val="0"/>
          <w:numId w:val="2"/>
        </w:numPr>
        <w:spacing w:after="80" w:line="276"/>
      </w:pPr>
      <w:r>
        <w:rPr>
          <w:rFonts w:ascii="Times New Roman" w:cs="Times New Roman" w:eastAsia="Times New Roman" w:hAnsi="Times New Roman"/>
          <w:sz w:val="22"/>
          <w:szCs w:val="22"/>
        </w:rPr>
        <w:t xml:space="preserve">scheduled_jobs — расписания автоматического опроса;</w:t>
      </w:r>
    </w:p>
    <w:p>
      <w:pPr>
        <w:pStyle w:val="ListParagraph"/>
        <w:numPr>
          <w:ilvl w:val="0"/>
          <w:numId w:val="2"/>
        </w:numPr>
        <w:spacing w:after="80" w:line="276"/>
      </w:pPr>
      <w:r>
        <w:rPr>
          <w:rFonts w:ascii="Times New Roman" w:cs="Times New Roman" w:eastAsia="Times New Roman" w:hAnsi="Times New Roman"/>
          <w:sz w:val="22"/>
          <w:szCs w:val="22"/>
        </w:rPr>
        <w:t xml:space="preserve">audit_log — журнал аудита действий пользователей.</w:t>
      </w:r>
    </w:p>
    <w:p>
      <w:pPr>
        <w:pStyle w:val="Heading3"/>
        <w:spacing w:after="120" w:before="200"/>
      </w:pPr>
      <w:r>
        <w:t xml:space="preserve">4.4.2. Программное обеспечение</w:t>
      </w:r>
    </w:p>
    <w:p>
      <w:pPr>
        <w:spacing w:after="160" w:line="276"/>
        <w:jc w:val="both"/>
      </w:pPr>
      <w:r>
        <w:rPr>
          <w:rFonts w:ascii="Times New Roman" w:cs="Times New Roman" w:eastAsia="Times New Roman" w:hAnsi="Times New Roman"/>
          <w:b w:val="false"/>
          <w:bCs w:val="false"/>
          <w:i w:val="false"/>
          <w:iCs w:val="false"/>
          <w:sz w:val="22"/>
          <w:szCs w:val="22"/>
        </w:rPr>
        <w:t xml:space="preserve">Рекомендуемый технологический стек (может быть скорректирован Исполнителем при согласовании с Заказчиком, при условии соответствия функциональным и нефункциональным требованиям настоящего ТЗ):</w:t>
      </w:r>
    </w:p>
    <w:p>
      <w:pPr>
        <w:pStyle w:val="ListParagraph"/>
        <w:numPr>
          <w:ilvl w:val="0"/>
          <w:numId w:val="2"/>
        </w:numPr>
        <w:spacing w:after="80" w:line="276"/>
      </w:pPr>
      <w:r>
        <w:rPr>
          <w:rFonts w:ascii="Times New Roman" w:cs="Times New Roman" w:eastAsia="Times New Roman" w:hAnsi="Times New Roman"/>
          <w:sz w:val="22"/>
          <w:szCs w:val="22"/>
        </w:rPr>
        <w:t xml:space="preserve">СУБД: PostgreSQL;</w:t>
      </w:r>
    </w:p>
    <w:p>
      <w:pPr>
        <w:pStyle w:val="ListParagraph"/>
        <w:numPr>
          <w:ilvl w:val="0"/>
          <w:numId w:val="2"/>
        </w:numPr>
        <w:spacing w:after="80" w:line="276"/>
      </w:pPr>
      <w:r>
        <w:rPr>
          <w:rFonts w:ascii="Times New Roman" w:cs="Times New Roman" w:eastAsia="Times New Roman" w:hAnsi="Times New Roman"/>
          <w:sz w:val="22"/>
          <w:szCs w:val="22"/>
        </w:rPr>
        <w:t xml:space="preserve">Backend API: NestJS либо FastAPI;</w:t>
      </w:r>
    </w:p>
    <w:p>
      <w:pPr>
        <w:pStyle w:val="ListParagraph"/>
        <w:numPr>
          <w:ilvl w:val="0"/>
          <w:numId w:val="2"/>
        </w:numPr>
        <w:spacing w:after="80" w:line="276"/>
      </w:pPr>
      <w:r>
        <w:rPr>
          <w:rFonts w:ascii="Times New Roman" w:cs="Times New Roman" w:eastAsia="Times New Roman" w:hAnsi="Times New Roman"/>
          <w:sz w:val="22"/>
          <w:szCs w:val="22"/>
        </w:rPr>
        <w:t xml:space="preserve">Protocol Gateway: отдельный процесс на Node.js либо Python с очередью фоновых задач;</w:t>
      </w:r>
    </w:p>
    <w:p>
      <w:pPr>
        <w:pStyle w:val="ListParagraph"/>
        <w:numPr>
          <w:ilvl w:val="0"/>
          <w:numId w:val="2"/>
        </w:numPr>
        <w:spacing w:after="80" w:line="276"/>
      </w:pPr>
      <w:r>
        <w:rPr>
          <w:rFonts w:ascii="Times New Roman" w:cs="Times New Roman" w:eastAsia="Times New Roman" w:hAnsi="Times New Roman"/>
          <w:sz w:val="22"/>
          <w:szCs w:val="22"/>
        </w:rPr>
        <w:t xml:space="preserve">Веб-интерфейс: React либо Vue (SPA);</w:t>
      </w:r>
    </w:p>
    <w:p>
      <w:pPr>
        <w:pStyle w:val="ListParagraph"/>
        <w:numPr>
          <w:ilvl w:val="0"/>
          <w:numId w:val="2"/>
        </w:numPr>
        <w:spacing w:after="80" w:line="276"/>
      </w:pPr>
      <w:r>
        <w:rPr>
          <w:rFonts w:ascii="Times New Roman" w:cs="Times New Roman" w:eastAsia="Times New Roman" w:hAnsi="Times New Roman"/>
          <w:sz w:val="22"/>
          <w:szCs w:val="22"/>
        </w:rPr>
        <w:t xml:space="preserve">контейнеризация и развёртывание: Docker Compose на выделенном сервере Заказчика (on-premise).</w:t>
      </w:r>
    </w:p>
    <w:p>
      <w:pPr>
        <w:pStyle w:val="Heading3"/>
        <w:spacing w:after="120" w:before="200"/>
      </w:pPr>
      <w:r>
        <w:t xml:space="preserve">4.4.3. Техническое обеспечение</w:t>
      </w:r>
    </w:p>
    <w:p>
      <w:pPr>
        <w:spacing w:after="160" w:line="276"/>
        <w:jc w:val="both"/>
      </w:pPr>
      <w:r>
        <w:rPr>
          <w:rFonts w:ascii="Times New Roman" w:cs="Times New Roman" w:eastAsia="Times New Roman" w:hAnsi="Times New Roman"/>
          <w:b w:val="false"/>
          <w:bCs w:val="false"/>
          <w:i w:val="false"/>
          <w:iCs w:val="false"/>
          <w:sz w:val="22"/>
          <w:szCs w:val="22"/>
        </w:rPr>
        <w:t xml:space="preserve">Система разворачивается на серверной инфраструктуре Заказчика с сетевым доступом к диапазону IP-адресов счётчиков (Ethernet/GPRS-шлюзы). Требования к аппаратной конфигурации сервера уточняются на этапе проектирования исходя из планируемого количества обслуживаемых счётчиков и частоты автоматического опроса.</w:t>
      </w:r>
    </w:p>
    <w:p>
      <w:pPr>
        <w:pStyle w:val="Heading3"/>
        <w:spacing w:after="120" w:before="200"/>
      </w:pPr>
      <w:r>
        <w:t xml:space="preserve">4.4.4. Лингвистическое обеспечение</w:t>
      </w:r>
    </w:p>
    <w:p>
      <w:pPr>
        <w:spacing w:after="160" w:line="276"/>
        <w:jc w:val="both"/>
      </w:pPr>
      <w:r>
        <w:rPr>
          <w:rFonts w:ascii="Times New Roman" w:cs="Times New Roman" w:eastAsia="Times New Roman" w:hAnsi="Times New Roman"/>
          <w:b w:val="false"/>
          <w:bCs w:val="false"/>
          <w:i w:val="false"/>
          <w:iCs w:val="false"/>
          <w:sz w:val="22"/>
          <w:szCs w:val="22"/>
        </w:rPr>
        <w:t xml:space="preserve">Интерфейс системы, системные сообщения и документация — на русском языке.</w:t>
      </w:r>
    </w:p>
    <w:p>
      <w:pPr>
        <w:pStyle w:val="Heading3"/>
        <w:spacing w:after="120" w:before="200"/>
      </w:pPr>
      <w:r>
        <w:t xml:space="preserve">4.4.5. Эргономические требования и требования к интерфейсу</w:t>
      </w:r>
    </w:p>
    <w:p>
      <w:pPr>
        <w:pStyle w:val="ListParagraph"/>
        <w:numPr>
          <w:ilvl w:val="0"/>
          <w:numId w:val="2"/>
        </w:numPr>
        <w:spacing w:after="80" w:line="276"/>
      </w:pPr>
      <w:r>
        <w:rPr>
          <w:rFonts w:ascii="Times New Roman" w:cs="Times New Roman" w:eastAsia="Times New Roman" w:hAnsi="Times New Roman"/>
          <w:sz w:val="22"/>
          <w:szCs w:val="22"/>
        </w:rPr>
        <w:t xml:space="preserve">веб-интерфейс должен корректно отображаться в актуальных версиях браузеров Chrome, Firefox, Edge, на экранах с разрешением от 1280×720;</w:t>
      </w:r>
    </w:p>
    <w:p>
      <w:pPr>
        <w:pStyle w:val="ListParagraph"/>
        <w:numPr>
          <w:ilvl w:val="0"/>
          <w:numId w:val="2"/>
        </w:numPr>
        <w:spacing w:after="80" w:line="276"/>
      </w:pPr>
      <w:r>
        <w:rPr>
          <w:rFonts w:ascii="Times New Roman" w:cs="Times New Roman" w:eastAsia="Times New Roman" w:hAnsi="Times New Roman"/>
          <w:sz w:val="22"/>
          <w:szCs w:val="22"/>
        </w:rPr>
        <w:t xml:space="preserve">операции с длительным временем выполнения (чтение профиля нагрузки) должны сопровождаться индикатором прогресса (п. 4.2.12);</w:t>
      </w:r>
    </w:p>
    <w:p>
      <w:pPr>
        <w:pStyle w:val="ListParagraph"/>
        <w:numPr>
          <w:ilvl w:val="0"/>
          <w:numId w:val="2"/>
        </w:numPr>
        <w:spacing w:after="80" w:line="276"/>
      </w:pPr>
      <w:r>
        <w:rPr>
          <w:rFonts w:ascii="Times New Roman" w:cs="Times New Roman" w:eastAsia="Times New Roman" w:hAnsi="Times New Roman"/>
          <w:sz w:val="22"/>
          <w:szCs w:val="22"/>
        </w:rPr>
        <w:t xml:space="preserve">действия записи параметров на счётчик и отключения/подключения должны сопровождаться модальным окном с явным подтверждением оператора перед выполнением;</w:t>
      </w:r>
    </w:p>
    <w:p>
      <w:pPr>
        <w:pStyle w:val="ListParagraph"/>
        <w:numPr>
          <w:ilvl w:val="0"/>
          <w:numId w:val="2"/>
        </w:numPr>
        <w:spacing w:after="80" w:line="276"/>
      </w:pPr>
      <w:r>
        <w:rPr>
          <w:rFonts w:ascii="Times New Roman" w:cs="Times New Roman" w:eastAsia="Times New Roman" w:hAnsi="Times New Roman"/>
          <w:sz w:val="22"/>
          <w:szCs w:val="22"/>
        </w:rPr>
        <w:t xml:space="preserve">навигация — логичное боковое меню, единый визуальный стиль форм и таблиц; при возникновении ошибок пользователю показываются понятные сообщения, а не технические стектрейсы;</w:t>
      </w:r>
    </w:p>
    <w:p>
      <w:pPr>
        <w:pStyle w:val="ListParagraph"/>
        <w:numPr>
          <w:ilvl w:val="0"/>
          <w:numId w:val="2"/>
        </w:numPr>
        <w:spacing w:after="80" w:line="276"/>
      </w:pPr>
      <w:r>
        <w:rPr>
          <w:rFonts w:ascii="Times New Roman" w:cs="Times New Roman" w:eastAsia="Times New Roman" w:hAnsi="Times New Roman"/>
          <w:sz w:val="22"/>
          <w:szCs w:val="22"/>
        </w:rPr>
        <w:t xml:space="preserve">поддержка переключения между тёмной и светлой темой интерфейса — опционально, но желательно.</w:t>
      </w:r>
    </w:p>
    <w:p>
      <w:pPr>
        <w:pStyle w:val="Heading2"/>
        <w:spacing w:after="160" w:before="260"/>
      </w:pPr>
      <w:r>
        <w:t xml:space="preserve">4.5. Требования к безопасности</w:t>
      </w:r>
    </w:p>
    <w:p>
      <w:pPr>
        <w:pStyle w:val="ListParagraph"/>
        <w:numPr>
          <w:ilvl w:val="0"/>
          <w:numId w:val="2"/>
        </w:numPr>
        <w:spacing w:after="80" w:line="276"/>
      </w:pPr>
      <w:r>
        <w:rPr>
          <w:rFonts w:ascii="Times New Roman" w:cs="Times New Roman" w:eastAsia="Times New Roman" w:hAnsi="Times New Roman"/>
          <w:sz w:val="22"/>
          <w:szCs w:val="22"/>
        </w:rPr>
        <w:t xml:space="preserve">передача данных между веб-интерфейсом и Backend API, включая WebSocket-соединения — по протоколу TLS;</w:t>
      </w:r>
    </w:p>
    <w:p>
      <w:pPr>
        <w:pStyle w:val="ListParagraph"/>
        <w:numPr>
          <w:ilvl w:val="0"/>
          <w:numId w:val="2"/>
        </w:numPr>
        <w:spacing w:after="80" w:line="276"/>
      </w:pPr>
      <w:r>
        <w:rPr>
          <w:rFonts w:ascii="Times New Roman" w:cs="Times New Roman" w:eastAsia="Times New Roman" w:hAnsi="Times New Roman"/>
          <w:sz w:val="22"/>
          <w:szCs w:val="22"/>
        </w:rPr>
        <w:t xml:space="preserve">пароли пользователей системы — хранятся в виде хэша (алгоритм bcrypt либо аналогичный по стойкости), не в открытом виде;</w:t>
      </w:r>
    </w:p>
    <w:p>
      <w:pPr>
        <w:pStyle w:val="ListParagraph"/>
        <w:numPr>
          <w:ilvl w:val="0"/>
          <w:numId w:val="2"/>
        </w:numPr>
        <w:spacing w:after="80" w:line="276"/>
      </w:pPr>
      <w:r>
        <w:rPr>
          <w:rFonts w:ascii="Times New Roman" w:cs="Times New Roman" w:eastAsia="Times New Roman" w:hAnsi="Times New Roman"/>
          <w:sz w:val="22"/>
          <w:szCs w:val="22"/>
        </w:rPr>
        <w:t xml:space="preserve">пароли доступа к счётчикам и ключи шифрования — хранятся в зашифрованном виде (рекомендуется использование выделенного хранилища секретов / KMS, отдельный ключ шифрования приложения);</w:t>
      </w:r>
    </w:p>
    <w:p>
      <w:pPr>
        <w:pStyle w:val="ListParagraph"/>
        <w:numPr>
          <w:ilvl w:val="0"/>
          <w:numId w:val="2"/>
        </w:numPr>
        <w:spacing w:after="80" w:line="276"/>
      </w:pPr>
      <w:r>
        <w:rPr>
          <w:rFonts w:ascii="Times New Roman" w:cs="Times New Roman" w:eastAsia="Times New Roman" w:hAnsi="Times New Roman"/>
          <w:sz w:val="22"/>
          <w:szCs w:val="22"/>
        </w:rPr>
        <w:t xml:space="preserve">доступ к функциям записи параметров и администрирования — только для авторизованных ролей согласно п. 4.2.1;</w:t>
      </w:r>
    </w:p>
    <w:p>
      <w:pPr>
        <w:pStyle w:val="ListParagraph"/>
        <w:numPr>
          <w:ilvl w:val="0"/>
          <w:numId w:val="2"/>
        </w:numPr>
        <w:spacing w:after="80" w:line="276"/>
      </w:pPr>
      <w:r>
        <w:rPr>
          <w:rFonts w:ascii="Times New Roman" w:cs="Times New Roman" w:eastAsia="Times New Roman" w:hAnsi="Times New Roman"/>
          <w:sz w:val="22"/>
          <w:szCs w:val="22"/>
        </w:rPr>
        <w:t xml:space="preserve">регистрация и подключение новых экземпляров Protocol Gateway в реестре (п. 4.1.1) — исключительно роль «Супер-администратор», без возможности автоматической регистрации без подтверждения;</w:t>
      </w:r>
    </w:p>
    <w:p>
      <w:pPr>
        <w:pStyle w:val="ListParagraph"/>
        <w:numPr>
          <w:ilvl w:val="0"/>
          <w:numId w:val="2"/>
        </w:numPr>
        <w:spacing w:after="80" w:line="276"/>
      </w:pPr>
      <w:r>
        <w:rPr>
          <w:rFonts w:ascii="Times New Roman" w:cs="Times New Roman" w:eastAsia="Times New Roman" w:hAnsi="Times New Roman"/>
          <w:sz w:val="22"/>
          <w:szCs w:val="22"/>
        </w:rPr>
        <w:t xml:space="preserve">веб-интерфейс должен быть защищён от CSRF и XSS-атак (анти-CSRF токены на изменяющих состояние запросах, экранирование вывода);</w:t>
      </w:r>
    </w:p>
    <w:p>
      <w:pPr>
        <w:pStyle w:val="ListParagraph"/>
        <w:numPr>
          <w:ilvl w:val="0"/>
          <w:numId w:val="2"/>
        </w:numPr>
        <w:spacing w:after="80" w:line="276"/>
      </w:pPr>
      <w:r>
        <w:rPr>
          <w:rFonts w:ascii="Times New Roman" w:cs="Times New Roman" w:eastAsia="Times New Roman" w:hAnsi="Times New Roman"/>
          <w:sz w:val="22"/>
          <w:szCs w:val="22"/>
        </w:rPr>
        <w:t xml:space="preserve">все операции записи параметров на счётчики — подлежат обязательному аудиту без возможности отключения этой функции;</w:t>
      </w:r>
    </w:p>
    <w:p>
      <w:pPr>
        <w:pStyle w:val="ListParagraph"/>
        <w:numPr>
          <w:ilvl w:val="0"/>
          <w:numId w:val="2"/>
        </w:numPr>
        <w:spacing w:after="80" w:line="276"/>
      </w:pPr>
      <w:r>
        <w:rPr>
          <w:rFonts w:ascii="Times New Roman" w:cs="Times New Roman" w:eastAsia="Times New Roman" w:hAnsi="Times New Roman"/>
          <w:sz w:val="22"/>
          <w:szCs w:val="22"/>
        </w:rPr>
        <w:t xml:space="preserve">доступ биллинговой системы к API — по отдельным учётным данным (API-ключ/Basic Auth поверх HTTPS), не связанным с пользовательскими сессиями веб-интерфейса, с правами, ограниченными строго необходимым набором операций (п. 4.2.9, 4.2.10); канал не должен зависеть от технологической платформы биллинговой системы;</w:t>
      </w:r>
    </w:p>
    <w:p>
      <w:pPr>
        <w:pStyle w:val="ListParagraph"/>
        <w:numPr>
          <w:ilvl w:val="0"/>
          <w:numId w:val="2"/>
        </w:numPr>
        <w:spacing w:after="80" w:line="276"/>
      </w:pPr>
      <w:r>
        <w:rPr>
          <w:rFonts w:ascii="Times New Roman" w:cs="Times New Roman" w:eastAsia="Times New Roman" w:hAnsi="Times New Roman"/>
          <w:sz w:val="22"/>
          <w:szCs w:val="22"/>
        </w:rPr>
        <w:t xml:space="preserve">пакетные запросы на отключение/подключение счётчиков от биллинговой системы — подлежат ограничению частоты (rate limiting) и обязательному постатейному аудиту (п. 4.2.10).</w:t>
      </w:r>
    </w:p>
    <w:p>
      <w:pPr>
        <w:pStyle w:val="Heading2"/>
        <w:spacing w:after="160" w:before="260"/>
      </w:pPr>
      <w:r>
        <w:t xml:space="preserve">4.6. Требования к надёжности</w:t>
      </w:r>
    </w:p>
    <w:p>
      <w:pPr>
        <w:pStyle w:val="ListParagraph"/>
        <w:numPr>
          <w:ilvl w:val="0"/>
          <w:numId w:val="2"/>
        </w:numPr>
        <w:spacing w:after="80" w:line="276"/>
      </w:pPr>
      <w:r>
        <w:rPr>
          <w:rFonts w:ascii="Times New Roman" w:cs="Times New Roman" w:eastAsia="Times New Roman" w:hAnsi="Times New Roman"/>
          <w:sz w:val="22"/>
          <w:szCs w:val="22"/>
        </w:rPr>
        <w:t xml:space="preserve">обрыв TCP-сессии с конкретным счётчиком не должен приводить к потере состояния других активных задач или к падению сервиса Protocol Gateway;</w:t>
      </w:r>
    </w:p>
    <w:p>
      <w:pPr>
        <w:pStyle w:val="ListParagraph"/>
        <w:numPr>
          <w:ilvl w:val="0"/>
          <w:numId w:val="2"/>
        </w:numPr>
        <w:spacing w:after="80" w:line="276"/>
      </w:pPr>
      <w:r>
        <w:rPr>
          <w:rFonts w:ascii="Times New Roman" w:cs="Times New Roman" w:eastAsia="Times New Roman" w:hAnsi="Times New Roman"/>
          <w:sz w:val="22"/>
          <w:szCs w:val="22"/>
        </w:rPr>
        <w:t xml:space="preserve">очередь фоновых задач должна быть персистентной (не храниться исключительно в оперативной памяти), чтобы перезапуск сервиса не приводил к потере поставленных в очередь операций;</w:t>
      </w:r>
    </w:p>
    <w:p>
      <w:pPr>
        <w:pStyle w:val="ListParagraph"/>
        <w:numPr>
          <w:ilvl w:val="0"/>
          <w:numId w:val="2"/>
        </w:numPr>
        <w:spacing w:after="80" w:line="276"/>
      </w:pPr>
      <w:r>
        <w:rPr>
          <w:rFonts w:ascii="Times New Roman" w:cs="Times New Roman" w:eastAsia="Times New Roman" w:hAnsi="Times New Roman"/>
          <w:sz w:val="22"/>
          <w:szCs w:val="22"/>
        </w:rPr>
        <w:t xml:space="preserve">Backend API должен допускать горизонтальное масштабирование (stateless-архитектура), Protocol Gateway — возможность развёртывания нескольких экземпляров (например, по регионам/подсетям).</w:t>
      </w:r>
    </w:p>
    <w:p>
      <w:pPr>
        <w:pStyle w:val="Heading2"/>
        <w:spacing w:after="160" w:before="260"/>
      </w:pPr>
      <w:r>
        <w:t xml:space="preserve">4.7. Требования к производительности</w:t>
      </w:r>
    </w:p>
    <w:p>
      <w:pPr>
        <w:spacing w:after="160" w:line="276"/>
        <w:jc w:val="both"/>
      </w:pPr>
      <w:r>
        <w:rPr>
          <w:rFonts w:ascii="Times New Roman" w:cs="Times New Roman" w:eastAsia="Times New Roman" w:hAnsi="Times New Roman"/>
          <w:b w:val="false"/>
          <w:bCs w:val="false"/>
          <w:i w:val="false"/>
          <w:iCs w:val="false"/>
          <w:sz w:val="22"/>
          <w:szCs w:val="22"/>
        </w:rPr>
        <w:t xml:space="preserve">Время отклика веб-интерфейса до начала выполнения операции (постановка задачи в очередь, без учёта времени фактического опроса счётчика) не должно превышать 500 мс для 95% запросов. Прочие количественные показатели (число одновременно обслуживаемых счётчиков, пропускная способность фонового опроса) фиксируются по результатам обследования фактического парка счётчиков Заказчика на этапе проектирования и включаются в проектную документацию как уточнение настоящего ТЗ.</w:t>
      </w:r>
    </w:p>
    <w:p>
      <w:pPr>
        <w:pStyle w:val="Heading1"/>
        <w:spacing w:after="200" w:before="360"/>
      </w:pPr>
      <w:r>
        <w:t xml:space="preserve">5. Архитектурная схема системы (справочно)</w:t>
      </w:r>
    </w:p>
    <w:p>
      <w:pPr>
        <w:spacing w:after="160" w:line="276"/>
        <w:jc w:val="both"/>
      </w:pPr>
      <w:r>
        <w:rPr>
          <w:rFonts w:ascii="Times New Roman" w:cs="Times New Roman" w:eastAsia="Times New Roman" w:hAnsi="Times New Roman"/>
          <w:b w:val="false"/>
          <w:bCs w:val="false"/>
          <w:i w:val="false"/>
          <w:iCs w:val="false"/>
          <w:sz w:val="22"/>
          <w:szCs w:val="22"/>
        </w:rPr>
        <w:t xml:space="preserve">Ниже приведена принципиальная схема взаимодействия компонентов системы.</w:t>
      </w:r>
    </w:p>
    <w:p>
      <w:pPr>
        <w:spacing w:after="160" w:line="276"/>
        <w:jc w:val="both"/>
      </w:pPr>
      <w:r>
        <w:rPr>
          <w:rFonts w:ascii="Times New Roman" w:cs="Times New Roman" w:eastAsia="Times New Roman" w:hAnsi="Times New Roman"/>
          <w:b w:val="false"/>
          <w:bCs w:val="false"/>
          <w:i/>
          <w:iCs/>
          <w:sz w:val="22"/>
          <w:szCs w:val="22"/>
        </w:rPr>
        <w:t xml:space="preserve">Умные счётчики (IP-сеть: GPRS/Ethernet) → Protocol Gateway (реализация IEC 62056-21 / HDLC / DLMS-COSEM, управление сессиями, шифрование) → Backend API и планировщик задач (REST API, бизнес-логика, аутентификация) → PostgreSQL (хранение данных).</w:t>
      </w:r>
    </w:p>
    <w:p>
      <w:pPr>
        <w:spacing w:after="160" w:line="276"/>
        <w:jc w:val="both"/>
      </w:pPr>
      <w:r>
        <w:rPr>
          <w:rFonts w:ascii="Times New Roman" w:cs="Times New Roman" w:eastAsia="Times New Roman" w:hAnsi="Times New Roman"/>
          <w:b w:val="false"/>
          <w:bCs w:val="false"/>
          <w:i/>
          <w:iCs/>
          <w:sz w:val="22"/>
          <w:szCs w:val="22"/>
        </w:rPr>
        <w:t xml:space="preserve">Backend API взаимодействует с веб-интерфейсом (React/Vue SPA) по REST и WebSocket (для потоковых обновлений статуса длительных операций).</w:t>
      </w:r>
    </w:p>
    <w:p>
      <w:pPr>
        <w:pStyle w:val="Heading1"/>
        <w:spacing w:after="200" w:before="360"/>
      </w:pPr>
      <w:r>
        <w:t xml:space="preserve">6. Состав и содержание работ по созданию системы</w:t>
      </w:r>
    </w:p>
    <w:p>
      <w:pPr>
        <w:spacing w:after="160" w:line="276"/>
        <w:jc w:val="both"/>
      </w:pPr>
      <w:r>
        <w:rPr>
          <w:rFonts w:ascii="Times New Roman" w:cs="Times New Roman" w:eastAsia="Times New Roman" w:hAnsi="Times New Roman"/>
          <w:b w:val="false"/>
          <w:bCs w:val="false"/>
          <w:i w:val="false"/>
          <w:iCs w:val="false"/>
          <w:sz w:val="22"/>
          <w:szCs w:val="22"/>
        </w:rPr>
        <w:t xml:space="preserve">Разработка ведётся поэтапно (итеративная модель с короткими циклами обратной связи), с обязательным вынесением протокольного слоя в отдельный, наиболее ранний и тщательно тестируемый этап.</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4700"/>
        <w:gridCol w:w="2900"/>
      </w:tblGrid>
      <w:tr>
        <w:trPr>
          <w:tblHeader/>
        </w:trPr>
        <w:tc>
          <w:tcPr>
            <w:tcW w:type="dxa" w:w="19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Этап</w:t>
            </w:r>
          </w:p>
        </w:tc>
        <w:tc>
          <w:tcPr>
            <w:tcW w:type="dxa" w:w="47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Содержание работ</w:t>
            </w:r>
          </w:p>
        </w:tc>
        <w:tc>
          <w:tcPr>
            <w:tcW w:type="dxa" w:w="29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Критерий завершения</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0. PoC протокольного слоя</w:t>
            </w:r>
          </w:p>
        </w:tc>
        <w:tc>
          <w:tcPr>
            <w:tcW w:type="dxa" w:w="4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Реализация Protocol Gateway в объёме, достаточном для чтения показаний с реального счётчика каждого из трёх протокольных профилей (п. 4.3.2)</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Подтверждённое успешное чтение показаний хотя бы с одного счётчика каждого профиля</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 MVP чтения</w:t>
            </w:r>
          </w:p>
        </w:tc>
        <w:tc>
          <w:tcPr>
            <w:tcW w:type="dxa" w:w="4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Backend API, база данных, минимальный веб-интерфейс: справочник счётчиков, чтение показаний/журналов без функций записи</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Оператор может просматривать актуальные данные по счётчикам через браузер</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 Запись параметров</w:t>
            </w:r>
          </w:p>
        </w:tc>
        <w:tc>
          <w:tcPr>
            <w:tcW w:type="dxa" w:w="4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Реализация операций записи (п. 4.2.4) с обязательным аудитом (п. 4.2.7)</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Инженер может записать параметр на счётчик; операция отражена в журнале аудита</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Профиль нагрузки</w:t>
            </w:r>
          </w:p>
        </w:tc>
        <w:tc>
          <w:tcPr>
            <w:tcW w:type="dxa" w:w="4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Асинхронное чтение больших объёмов данных профиля нагрузки, докачка при обрыве соединения</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Корректное чтение профиля нагрузки за протяжённый период без потери данных при кратковременном обрыве связи</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 Автоматизация</w:t>
            </w:r>
          </w:p>
        </w:tc>
        <w:tc>
          <w:tcPr>
            <w:tcW w:type="dxa" w:w="4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Расписания автоопроса, массовое применение схем параметров, уведомления</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Настроенное расписание выполняется автоматически; схема применяется к группе счётчиков одной операцией</w:t>
            </w:r>
          </w:p>
        </w:tc>
      </w:tr>
      <w:tr>
        <w:tc>
          <w:tcPr>
            <w:tcW w:type="dxa" w:w="1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5. Завершающая доработка</w:t>
            </w:r>
          </w:p>
        </w:tc>
        <w:tc>
          <w:tcPr>
            <w:tcW w:type="dxa" w:w="4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Мониторинг, экспорт данных, финальное тестирование и приёмка</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Выполнены критерии приёмки раздела 7</w:t>
            </w:r>
          </w:p>
        </w:tc>
      </w:tr>
    </w:tbl>
    <w:p>
      <w:pPr>
        <w:spacing w:after="160" w:line="276"/>
        <w:jc w:val="both"/>
      </w:pPr>
      <w:r>
        <w:rPr>
          <w:rFonts w:ascii="Times New Roman" w:cs="Times New Roman" w:eastAsia="Times New Roman" w:hAnsi="Times New Roman"/>
          <w:b w:val="false"/>
          <w:bCs w:val="false"/>
          <w:i/>
          <w:iCs/>
          <w:sz w:val="22"/>
          <w:szCs w:val="22"/>
        </w:rPr>
        <w:t xml:space="preserve">Этап 6 (за рамками настоящего ТЗ) — подключение счётчиков последующих производителей через реестр Gateway (п. 4.1.1): отдельный протокольный PoC и разработка соответствующего Gateway-драйвера по аналогии с этапом 0, без изменения ядра AMI/HES Core. Состав работ и сроки Этапа 6 фиксируются отдельным ТЗ/допсоглашением после успешной сдачи текущего проекта.</w:t>
      </w:r>
    </w:p>
    <w:p>
      <w:pPr>
        <w:pStyle w:val="Heading1"/>
        <w:spacing w:after="200" w:before="360"/>
      </w:pPr>
      <w:r>
        <w:t xml:space="preserve">7. Порядок контроля и приёмки системы</w:t>
      </w:r>
    </w:p>
    <w:p>
      <w:pPr>
        <w:spacing w:after="160" w:line="276"/>
        <w:jc w:val="both"/>
      </w:pPr>
      <w:r>
        <w:rPr>
          <w:rFonts w:ascii="Times New Roman" w:cs="Times New Roman" w:eastAsia="Times New Roman" w:hAnsi="Times New Roman"/>
          <w:b w:val="false"/>
          <w:bCs w:val="false"/>
          <w:i w:val="false"/>
          <w:iCs w:val="false"/>
          <w:sz w:val="22"/>
          <w:szCs w:val="22"/>
        </w:rPr>
        <w:t xml:space="preserve">Приёмка каждого этапа выполняется Заказчиком на основании критерия завершения, указанного в таблице раздела 6, путём проверки функционала в тестовом контуре. Приёмка системы в целом выполняется после завершения этапа 5 и включает:</w:t>
      </w:r>
    </w:p>
    <w:p>
      <w:pPr>
        <w:pStyle w:val="ListParagraph"/>
        <w:numPr>
          <w:ilvl w:val="0"/>
          <w:numId w:val="2"/>
        </w:numPr>
        <w:spacing w:after="80" w:line="276"/>
      </w:pPr>
      <w:r>
        <w:rPr>
          <w:rFonts w:ascii="Times New Roman" w:cs="Times New Roman" w:eastAsia="Times New Roman" w:hAnsi="Times New Roman"/>
          <w:sz w:val="22"/>
          <w:szCs w:val="22"/>
        </w:rPr>
        <w:t xml:space="preserve">проверку соответствия реализованного функционала перечню требований раздела 4.2;</w:t>
      </w:r>
    </w:p>
    <w:p>
      <w:pPr>
        <w:pStyle w:val="ListParagraph"/>
        <w:numPr>
          <w:ilvl w:val="0"/>
          <w:numId w:val="2"/>
        </w:numPr>
        <w:spacing w:after="80" w:line="276"/>
      </w:pPr>
      <w:r>
        <w:rPr>
          <w:rFonts w:ascii="Times New Roman" w:cs="Times New Roman" w:eastAsia="Times New Roman" w:hAnsi="Times New Roman"/>
          <w:sz w:val="22"/>
          <w:szCs w:val="22"/>
        </w:rPr>
        <w:t xml:space="preserve">проверку работы протокольного слоя со всеми используемыми Заказчиком протокольными профилями и типами счётчиков на реальном оборудовании;</w:t>
      </w:r>
    </w:p>
    <w:p>
      <w:pPr>
        <w:pStyle w:val="ListParagraph"/>
        <w:numPr>
          <w:ilvl w:val="0"/>
          <w:numId w:val="2"/>
        </w:numPr>
        <w:spacing w:after="80" w:line="276"/>
      </w:pPr>
      <w:r>
        <w:rPr>
          <w:rFonts w:ascii="Times New Roman" w:cs="Times New Roman" w:eastAsia="Times New Roman" w:hAnsi="Times New Roman"/>
          <w:sz w:val="22"/>
          <w:szCs w:val="22"/>
        </w:rPr>
        <w:t xml:space="preserve">проверку полноты и корректности ведения журнала аудита операций записи;</w:t>
      </w:r>
    </w:p>
    <w:p>
      <w:pPr>
        <w:pStyle w:val="ListParagraph"/>
        <w:numPr>
          <w:ilvl w:val="0"/>
          <w:numId w:val="2"/>
        </w:numPr>
        <w:spacing w:after="80" w:line="276"/>
      </w:pPr>
      <w:r>
        <w:rPr>
          <w:rFonts w:ascii="Times New Roman" w:cs="Times New Roman" w:eastAsia="Times New Roman" w:hAnsi="Times New Roman"/>
          <w:sz w:val="22"/>
          <w:szCs w:val="22"/>
        </w:rPr>
        <w:t xml:space="preserve">проверку соответствия требованиям безопасности раздела 4.5 (в том числе — отсутствие секретов в открытом виде в конфигурации и коде);</w:t>
      </w:r>
    </w:p>
    <w:p>
      <w:pPr>
        <w:pStyle w:val="ListParagraph"/>
        <w:numPr>
          <w:ilvl w:val="0"/>
          <w:numId w:val="2"/>
        </w:numPr>
        <w:spacing w:after="80" w:line="276"/>
      </w:pPr>
      <w:r>
        <w:rPr>
          <w:rFonts w:ascii="Times New Roman" w:cs="Times New Roman" w:eastAsia="Times New Roman" w:hAnsi="Times New Roman"/>
          <w:sz w:val="22"/>
          <w:szCs w:val="22"/>
        </w:rPr>
        <w:t xml:space="preserve">проверку устойчивости к обрыву соединения при выполнении длительных операций (раздел 4.6).</w:t>
      </w:r>
    </w:p>
    <w:p>
      <w:pPr>
        <w:spacing w:after="160" w:line="276"/>
        <w:jc w:val="both"/>
      </w:pPr>
      <w:r>
        <w:rPr>
          <w:rFonts w:ascii="Times New Roman" w:cs="Times New Roman" w:eastAsia="Times New Roman" w:hAnsi="Times New Roman"/>
          <w:b w:val="false"/>
          <w:bCs w:val="false"/>
          <w:i w:val="false"/>
          <w:iCs w:val="false"/>
          <w:sz w:val="22"/>
          <w:szCs w:val="22"/>
        </w:rPr>
        <w:t xml:space="preserve">По результатам приёмки оформляется акт приёмки-передачи выполненных работ.</w:t>
      </w:r>
    </w:p>
    <w:p>
      <w:pPr>
        <w:pStyle w:val="Heading1"/>
        <w:spacing w:after="200" w:before="360"/>
      </w:pPr>
      <w:r>
        <w:t xml:space="preserve">8. Требования к документированию</w:t>
      </w:r>
    </w:p>
    <w:p>
      <w:pPr>
        <w:spacing w:after="160" w:line="276"/>
        <w:jc w:val="both"/>
      </w:pPr>
      <w:r>
        <w:rPr>
          <w:rFonts w:ascii="Times New Roman" w:cs="Times New Roman" w:eastAsia="Times New Roman" w:hAnsi="Times New Roman"/>
          <w:b w:val="false"/>
          <w:bCs w:val="false"/>
          <w:i w:val="false"/>
          <w:iCs w:val="false"/>
          <w:sz w:val="22"/>
          <w:szCs w:val="22"/>
        </w:rPr>
        <w:t xml:space="preserve">По результатам разработки Исполнитель предоставляет Заказчику:</w:t>
      </w:r>
    </w:p>
    <w:p>
      <w:pPr>
        <w:pStyle w:val="ListParagraph"/>
        <w:numPr>
          <w:ilvl w:val="0"/>
          <w:numId w:val="2"/>
        </w:numPr>
        <w:spacing w:after="80" w:line="276"/>
      </w:pPr>
      <w:r>
        <w:rPr>
          <w:rFonts w:ascii="Times New Roman" w:cs="Times New Roman" w:eastAsia="Times New Roman" w:hAnsi="Times New Roman"/>
          <w:sz w:val="22"/>
          <w:szCs w:val="22"/>
        </w:rPr>
        <w:t xml:space="preserve">руководство администратора (установка, настройка, управление пользователями и справочником счётчиков);</w:t>
      </w:r>
    </w:p>
    <w:p>
      <w:pPr>
        <w:pStyle w:val="ListParagraph"/>
        <w:numPr>
          <w:ilvl w:val="0"/>
          <w:numId w:val="2"/>
        </w:numPr>
        <w:spacing w:after="80" w:line="276"/>
      </w:pPr>
      <w:r>
        <w:rPr>
          <w:rFonts w:ascii="Times New Roman" w:cs="Times New Roman" w:eastAsia="Times New Roman" w:hAnsi="Times New Roman"/>
          <w:sz w:val="22"/>
          <w:szCs w:val="22"/>
        </w:rPr>
        <w:t xml:space="preserve">руководство оператора (описание функций веб-интерфейса для ролей «Оператор» и «Инженер»);</w:t>
      </w:r>
    </w:p>
    <w:p>
      <w:pPr>
        <w:pStyle w:val="ListParagraph"/>
        <w:numPr>
          <w:ilvl w:val="0"/>
          <w:numId w:val="2"/>
        </w:numPr>
        <w:spacing w:after="80" w:line="276"/>
      </w:pPr>
      <w:r>
        <w:rPr>
          <w:rFonts w:ascii="Times New Roman" w:cs="Times New Roman" w:eastAsia="Times New Roman" w:hAnsi="Times New Roman"/>
          <w:sz w:val="22"/>
          <w:szCs w:val="22"/>
        </w:rPr>
        <w:t xml:space="preserve">описание REST API (см. состав в Приложении А) в формате, пригодном для машинной обработки (например, OpenAPI/Swagger);</w:t>
      </w:r>
    </w:p>
    <w:p>
      <w:pPr>
        <w:pStyle w:val="ListParagraph"/>
        <w:numPr>
          <w:ilvl w:val="0"/>
          <w:numId w:val="2"/>
        </w:numPr>
        <w:spacing w:after="80" w:line="276"/>
      </w:pPr>
      <w:r>
        <w:rPr>
          <w:rFonts w:ascii="Times New Roman" w:cs="Times New Roman" w:eastAsia="Times New Roman" w:hAnsi="Times New Roman"/>
          <w:sz w:val="22"/>
          <w:szCs w:val="22"/>
        </w:rPr>
        <w:t xml:space="preserve">описание структуры базы данных (см. Приложение Б);</w:t>
      </w:r>
    </w:p>
    <w:p>
      <w:pPr>
        <w:pStyle w:val="ListParagraph"/>
        <w:numPr>
          <w:ilvl w:val="0"/>
          <w:numId w:val="2"/>
        </w:numPr>
        <w:spacing w:after="80" w:line="276"/>
      </w:pPr>
      <w:r>
        <w:rPr>
          <w:rFonts w:ascii="Times New Roman" w:cs="Times New Roman" w:eastAsia="Times New Roman" w:hAnsi="Times New Roman"/>
          <w:sz w:val="22"/>
          <w:szCs w:val="22"/>
        </w:rPr>
        <w:t xml:space="preserve">инструкцию по развёртыванию системы в контуре Заказчика.</w:t>
      </w:r>
    </w:p>
    <w:p>
      <w:pPr>
        <w:pStyle w:val="Heading1"/>
        <w:spacing w:after="200" w:before="360"/>
      </w:pPr>
      <w:r>
        <w:t xml:space="preserve">9. Источники разработки</w:t>
      </w:r>
    </w:p>
    <w:p>
      <w:pPr>
        <w:spacing w:after="160" w:line="276"/>
        <w:jc w:val="both"/>
      </w:pPr>
      <w:r>
        <w:rPr>
          <w:rFonts w:ascii="Times New Roman" w:cs="Times New Roman" w:eastAsia="Times New Roman" w:hAnsi="Times New Roman"/>
          <w:b w:val="false"/>
          <w:bCs w:val="false"/>
          <w:i w:val="false"/>
          <w:iCs w:val="false"/>
          <w:sz w:val="22"/>
          <w:szCs w:val="22"/>
        </w:rPr>
        <w:t xml:space="preserve">Настоящее ТЗ разработано на основании анализа эксплуатационной документации и конфигурационных файлов настольного приложения Risesun Smart Meter Manage v2.0.1.5 (в том числе: руководство пользователя METER MANAGE USER MANUAL, файлы Config.ini, Parameter.ini, DataReadScheme.ini), а также требований Заказчика, сформулированных в ходе обсуждения архитектуры и объёма первого этапа разработки.</w:t>
      </w:r>
    </w:p>
    <w:p>
      <w:r>
        <w:br w:type="page"/>
      </w:r>
    </w:p>
    <w:p>
      <w:pPr>
        <w:pStyle w:val="Heading1"/>
        <w:spacing w:after="200" w:before="360"/>
      </w:pPr>
      <w:r>
        <w:t xml:space="preserve">Приложение А. Перечень методов REST API (справочно)</w:t>
      </w:r>
    </w:p>
    <w:p>
      <w:pPr>
        <w:spacing w:after="160" w:line="276"/>
        <w:jc w:val="both"/>
      </w:pPr>
      <w:r>
        <w:rPr>
          <w:rFonts w:ascii="Times New Roman" w:cs="Times New Roman" w:eastAsia="Times New Roman" w:hAnsi="Times New Roman"/>
          <w:b w:val="false"/>
          <w:bCs w:val="false"/>
          <w:i w:val="false"/>
          <w:iCs w:val="false"/>
          <w:sz w:val="22"/>
          <w:szCs w:val="22"/>
        </w:rPr>
        <w:t xml:space="preserve">Приведённый перечень является ориентировочным и подлежит детализации в проектной документации (спецификация OpenAPI) на этапе разработки.</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3300"/>
        <w:gridCol w:w="4900"/>
      </w:tblGrid>
      <w:tr>
        <w:trPr>
          <w:tblHeader/>
        </w:trPr>
        <w:tc>
          <w:tcPr>
            <w:tcW w:type="dxa" w:w="13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Метод</w:t>
            </w:r>
          </w:p>
        </w:tc>
        <w:tc>
          <w:tcPr>
            <w:tcW w:type="dxa" w:w="33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Путь</w:t>
            </w:r>
          </w:p>
        </w:tc>
        <w:tc>
          <w:tcPr>
            <w:tcW w:type="dxa" w:w="49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Назначение</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/api/auth/login</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Аутентификация пользователя</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/api/meters</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Список счётчиков с фильтрацией по местоположению/протоколу/статусу, поиск по серийному номеру/IP</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/api/meters/{id}</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Карточка счётчика</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 / PUT / DELETE</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/api/meters/{id}</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Добавление, редактирование, удаление счётчика в справочнике</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/api/meters/{id}/read</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Запуск операции чтения (показания/статус/refresh rate)</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/api/meters/{id}/read-load-profile</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Запуск чтения профиля нагрузки за период</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/api/meters/{id}/load-profile</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Получение сохранённых данных профиля нагрузки</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/api/meters/{id}/event-log</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Журнал событий счётчика</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/api/meters/{id}/tamper-log</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Журнал вмешательств счётчика</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 / 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/api/gateways</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Реестр экземпляров Protocol Gateway: список, регистрация нового экземпляра (роль «Супер-администратор»)</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/api/gateways/{id}/approve</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Подтверждение (подключение) зарегистрированного Gateway (роль «Супер-администратор»)</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/api/meters/{id}/write-parameter</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Запись параметра на счётчик (роль «Инженер» и выше)</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/api/jobs/{job_id}</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Статус асинхронной задачи</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WS</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/api/jobs/{job_id}/stream</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Потоковое обновление статуса задачи</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/api/schemes</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Сохранение схемы параметров</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/api/schemes</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Список сохранённых схем</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/api/schemes/{id}/apply</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Массовое применение схемы к группе счётчиков</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/api/schedules</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Создание расписания автоопроса</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/api/schedules</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Список расписаний</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/api/audit-log</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Журнал аудита (роль «Администратор»)</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 / 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/api/users</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Управление пользователями (роль «Администратор»)</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/api/billing/readings</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Показания за период — для внешней биллинговой системы</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/api/billing/tariffs</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Тарифные данные — для внешней биллинговой системы</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/api/billing/disconnect-batch</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Пакетное отключение счётчиков по списку от биллинга</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POST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/api/billing/reconnect-batch</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Пакетное подключение счётчиков по списку от биллинга</w:t>
            </w:r>
          </w:p>
        </w:tc>
      </w:tr>
      <w:tr>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GET</w:t>
            </w:r>
          </w:p>
        </w:tc>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/api/billing/disconnect-batch/{batch_id}</w:t>
            </w:r>
          </w:p>
        </w:tc>
        <w:tc>
          <w:tcPr>
            <w:tcW w:type="dxa" w:w="4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Статус выполнения пакетной операции отключения/подключения</w:t>
            </w:r>
          </w:p>
        </w:tc>
      </w:tr>
    </w:tbl>
    <w:p>
      <w:r>
        <w:br w:type="page"/>
      </w:r>
    </w:p>
    <w:p>
      <w:pPr>
        <w:pStyle w:val="Heading1"/>
        <w:spacing w:after="200" w:before="360"/>
      </w:pPr>
      <w:r>
        <w:t xml:space="preserve">Приложение Б. Минимальный состав таблиц базы данных (справочно)</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300"/>
      </w:tblGrid>
      <w:tr>
        <w:trPr>
          <w:tblHeader/>
        </w:trPr>
        <w:tc>
          <w:tcPr>
            <w:tcW w:type="dxa" w:w="32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Таблица</w:t>
            </w:r>
          </w:p>
        </w:tc>
        <w:tc>
          <w:tcPr>
            <w:tcW w:type="dxa" w:w="63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Назначение</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meters</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Справочник счётчиков (адрес, протокольный профиль, привязка к gateway, секреты, статус)</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gateways</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Реестр экземпляров Protocol Gateway (производитель, версия драйвера, адрес, поддерживаемые операции, статус)</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meter_readings</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Снятые показания счётчиков</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load_profile_data</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Данные профиля нагрузки</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event_log</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Журнал событий счётчика</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tamper_log</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Журнал вмешательств счётчика</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parameter_write_history</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История операций записи параметров (часть аудита)</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meter_status_snapshots</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Снимки статусного слова и кодов ошибок счётчика</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users</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Пользователи системы и их роли</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parameter_schemes</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Сохранённые схемы параметров</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scheduled_jobs</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Расписания автоматического опроса счётчиков</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audit_log</w:t>
            </w:r>
          </w:p>
        </w:tc>
        <w:tc>
          <w:tcPr>
            <w:tcW w:type="dxa" w:w="6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Журнал аудита действий пользователей системы</w:t>
            </w:r>
          </w:p>
        </w:tc>
      </w:tr>
    </w:tbl>
    <w:p>
      <w:r>
        <w:br w:type="page"/>
      </w:r>
    </w:p>
    <w:p>
      <w:pPr>
        <w:pStyle w:val="Heading1"/>
        <w:spacing w:after="200" w:before="360"/>
      </w:pPr>
      <w:r>
        <w:t xml:space="preserve">Приложение В. Термины и сокращения</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6900"/>
      </w:tblGrid>
      <w:tr>
        <w:trPr>
          <w:tblHeader/>
        </w:trPr>
        <w:tc>
          <w:tcPr>
            <w:tcW w:type="dxa" w:w="2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Термин / сокращение</w:t>
            </w:r>
          </w:p>
        </w:tc>
        <w:tc>
          <w:tcPr>
            <w:tcW w:type="dxa" w:w="69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Значение</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ТЗ</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Техническое задание</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MMWS</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Meter Management Web Service — условное обозначение разрабатываемой системы</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AMI/HES Core</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Отраслевое обозначение центрального компонента Системы (Backend API), обслуживающего реестр gateway и единый веб-интерфейс для всех пользователей</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Gateway / Protocol Gateway</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Сервис, реализующий низкоуровневое протокольное взаимодействие со счётчиками одного производителя/протокольного семейства</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DLMS/COSEM</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Device Language Message Specification / Companion Specification for Energy Metering — стандарт протокола обмена данными со счётчиками электроэнергии</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IEC 62056-21</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Международный стандарт протокола прямого локального обмена данными со счётчиками</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HDLC</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High-Level Data Link Control — протокол кадрирования канального уровня</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OBIS-код</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Object Identification System — система идентификации объектов данных счётчика</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AARQ / AARE</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Application Association Request / Response — сообщения установления ассоциации в DLMS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Профиль нагрузки (Load Profile)</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Массив показаний счётчика с заданной периодичностью за указанный интервал времени</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Tamper-событие</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Событие, зафиксированное счётчиком как признак несанкционированного вмешательства</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Disconnect Control</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Класс объекта DLMS/COSEM (класс 70), реализующий удалённое управление реле отключения счётчика от сети</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Batch-запрос</w:t>
            </w:r>
          </w:p>
        </w:tc>
        <w:tc>
          <w:tcPr>
            <w:tcW w:type="dxa" w:w="6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Пакетный запрос, содержащий список счётчиков для групповой обработки (например, отключение/подключение)</w:t>
            </w:r>
          </w:p>
        </w:tc>
      </w:tr>
    </w:tbl>
    <w:p>
      <w:r>
        <w:br w:type="page"/>
      </w:r>
    </w:p>
    <w:p>
      <w:pPr>
        <w:pStyle w:val="Heading1"/>
        <w:spacing w:after="200" w:before="360"/>
      </w:pPr>
      <w:r>
        <w:t xml:space="preserve">Приложение Г. Словарь OBIS-кодов и структуры данных счётчика</w:t>
      </w:r>
    </w:p>
    <w:p>
      <w:pPr>
        <w:spacing w:after="160" w:line="276"/>
        <w:jc w:val="both"/>
      </w:pPr>
      <w:r>
        <w:rPr>
          <w:rFonts w:ascii="Times New Roman" w:cs="Times New Roman" w:eastAsia="Times New Roman" w:hAnsi="Times New Roman"/>
          <w:b w:val="false"/>
          <w:bCs w:val="false"/>
          <w:i w:val="false"/>
          <w:iCs w:val="false"/>
          <w:sz w:val="22"/>
          <w:szCs w:val="22"/>
        </w:rPr>
        <w:t xml:space="preserve">Настоящее приложение составлено по результатам анализа исходной базы данных настольного приложения Risesun Smart Meter Manage v2.0.1.5 (файл NewDataDb.mdb), выгруженной Заказчиком в виде набора таблиц. Приложение фиксирует фактический состав параметров, кодов событий и форматов кодирования данных счётчика, подтверждённый на уровне реальных значений (а не предположений по стандарту DLMS общего вида). Полный детализированный словарь (9165 строк дерева чтения, 669 кодов событий, 416 каналов профиля нагрузки) передаётся Исполнителю отдельным файлом-приложением к настоящему документу (см. п. Г.7); в тексте ТЗ приведены сведённые и наиболее востребованные для реализации протокольного слоя (раздел 4.3) таблицы.</w:t>
      </w:r>
    </w:p>
    <w:p>
      <w:pPr>
        <w:pStyle w:val="Heading2"/>
        <w:spacing w:after="160" w:before="260"/>
      </w:pPr>
      <w:r>
        <w:t xml:space="preserve">Г.1. Источник и метод получения данных</w:t>
      </w:r>
    </w:p>
    <w:p>
      <w:pPr>
        <w:spacing w:after="160" w:line="276"/>
        <w:jc w:val="both"/>
      </w:pPr>
      <w:r>
        <w:rPr>
          <w:rFonts w:ascii="Times New Roman" w:cs="Times New Roman" w:eastAsia="Times New Roman" w:hAnsi="Times New Roman"/>
          <w:b w:val="false"/>
          <w:bCs w:val="false"/>
          <w:i w:val="false"/>
          <w:iCs w:val="false"/>
          <w:sz w:val="22"/>
          <w:szCs w:val="22"/>
        </w:rPr>
        <w:t xml:space="preserve">Данные получены путём выгрузки таблиц исходной базы данных NewDataDb.mdb в формат Excel и последующего анализа. База данных не содержит шифрования — является стандартной локальной базой формата MS Access (Jet), используемой настольным приложением для хранения дерева параметров, кодов событий, форматов кодирования и справочника ролей пользователей.</w:t>
      </w:r>
    </w:p>
    <w:p>
      <w:pPr>
        <w:pStyle w:val="Heading2"/>
        <w:spacing w:after="160" w:before="260"/>
      </w:pPr>
      <w:r>
        <w:t xml:space="preserve">Г.2. Форматы кодирования данных на канале связи</w:t>
      </w:r>
    </w:p>
    <w:p>
      <w:pPr>
        <w:spacing w:after="160" w:line="276"/>
        <w:jc w:val="both"/>
      </w:pPr>
      <w:r>
        <w:rPr>
          <w:rFonts w:ascii="Times New Roman" w:cs="Times New Roman" w:eastAsia="Times New Roman" w:hAnsi="Times New Roman"/>
          <w:b w:val="false"/>
          <w:bCs w:val="false"/>
          <w:i w:val="false"/>
          <w:iCs w:val="false"/>
          <w:sz w:val="22"/>
          <w:szCs w:val="22"/>
        </w:rPr>
        <w:t xml:space="preserve">Ниже приведён полный перечень типов данных, используемых счётчиком при обмене (тип кодирования, длина в байтах, маска формата), подтверждённый выгрузкой таблицы DATATYPE исходной базы. Данная таблица является обязательным исходным материалом для реализации разбора ответов счётчика на протокольном уровне (раздел 4.3 настоящего ТЗ).</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2700"/>
        <w:gridCol w:w="1300"/>
        <w:gridCol w:w="1000"/>
        <w:gridCol w:w="1600"/>
        <w:gridCol w:w="900"/>
        <w:gridCol w:w="2000"/>
      </w:tblGrid>
      <w:tr>
        <w:trPr>
          <w:tblHeader/>
        </w:trPr>
        <w:tc>
          <w:tcPr>
            <w:tcW w:type="dxa" w:w="27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Наименование</w:t>
            </w:r>
          </w:p>
        </w:tc>
        <w:tc>
          <w:tcPr>
            <w:tcW w:type="dxa" w:w="13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Тип</w:t>
            </w:r>
          </w:p>
        </w:tc>
        <w:tc>
          <w:tcPr>
            <w:tcW w:type="dxa" w:w="10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Длина, байт</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Формат</w:t>
            </w:r>
          </w:p>
        </w:tc>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Единица</w:t>
            </w:r>
          </w:p>
        </w:tc>
        <w:tc>
          <w:tcPr>
            <w:tcW w:type="dxa" w:w="20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Кодирование</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Энергия (kWh)</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kWh</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BCD</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Энергия (kVarh)</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kVarh</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BCD</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Максимальная мощность (кВт)</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kW</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BCD</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Максимальная мощность (квар)</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kVar</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BCD</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Время наступления максимума мощности</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DateTime</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MMDDhhmm</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Дата и день недели</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DateTime</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YYMMDDWW</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Время</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DateTime</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hhmmss</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Счётчик событий (2 байта)</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раз</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Счётчик событий (3 байта)</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раз</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Напряжение (XXX.X)</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Напряжение (XXXX)</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Ток</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BCD</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Активная мощность</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kW</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Реактивная мощность (3 байта)</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kVar</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Реактивная мощность (2 байта)</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kVar</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Коэффициент мощности</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BCD</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Постоянная активная (передаточное число)</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p/kWh</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Постоянная реактивная (передаточное число)</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p/kVar</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Строковое значение</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String</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6</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XXXXXXXXXXXX</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Время (минуты)</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mm</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m</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BCD</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Время (секунды)</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Numeric</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ss</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BCD</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День/час</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DateTime</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DDhh</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Статус недели</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StatusByte</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HEX</w:t>
            </w:r>
          </w:p>
        </w:tc>
      </w:tr>
      <w:tr>
        <w:tc>
          <w:tcPr>
            <w:tcW w:type="dxa" w:w="27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Статус работы счётчика</w:t>
            </w:r>
          </w:p>
        </w:tc>
        <w:tc>
          <w:tcPr>
            <w:tcW w:type="dxa" w:w="1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StatusByte</w:t>
            </w:r>
          </w:p>
        </w:tc>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S1</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HEX</w:t>
            </w:r>
          </w:p>
        </w:tc>
      </w:tr>
    </w:tbl>
    <w:p>
      <w:pPr>
        <w:pStyle w:val="Heading2"/>
        <w:spacing w:after="160" w:before="260"/>
      </w:pPr>
      <w:r>
        <w:t xml:space="preserve">Г.3. Параметры, подтверждённо доступные для чтения/записи (с полным OBIS-кодом)</w:t>
      </w:r>
    </w:p>
    <w:p>
      <w:pPr>
        <w:spacing w:after="160" w:line="276"/>
        <w:jc w:val="both"/>
      </w:pPr>
      <w:r>
        <w:rPr>
          <w:rFonts w:ascii="Times New Roman" w:cs="Times New Roman" w:eastAsia="Times New Roman" w:hAnsi="Times New Roman"/>
          <w:b w:val="false"/>
          <w:bCs w:val="false"/>
          <w:i w:val="false"/>
          <w:iCs w:val="false"/>
          <w:sz w:val="22"/>
          <w:szCs w:val="22"/>
        </w:rPr>
        <w:t xml:space="preserve">Перечень ниже — часть дерева параметров экрана чтения/записи исходного приложения, для которой в базе данных зафиксирован полный шестибайтовый OBIS-код формата A.B.C.D.E.F. Формат подтверждает, что счётчик реализует полноценный DLMS/COSEM (раздел 3.2, 4.3 настоящего ТЗ), а не упрощённый диалект. Полный перечень (77 строк) — см. лист «RW_Tree_только_с_OBIS» файла-словаря (п. Г.7); ниже приведена представительная выборка по основным группам.</w:t>
      </w:r>
    </w:p>
    <w:tbl>
      <w:tblPr>
        <w:tblW w:type="dxa" w:w="9300"/>
        <w:tblBorders>
          <w:top w:val="single" w:color="999999" w:sz="4"/>
          <w:left w:val="single" w:color="999999" w:sz="4"/>
          <w:bottom w:val="single" w:color="999999" w:sz="4"/>
          <w:right w:val="single" w:color="999999" w:sz="4"/>
          <w:insideH w:val="single" w:color="999999" w:sz="4"/>
          <w:insideV w:val="single" w:color="999999" w:sz="4"/>
        </w:tblBorders>
      </w:tblPr>
      <w:tblGrid>
        <w:gridCol w:w="3300"/>
        <w:gridCol w:w="4400"/>
        <w:gridCol w:w="1600"/>
      </w:tblGrid>
      <w:tr>
        <w:trPr>
          <w:tblHeader/>
        </w:trPr>
        <w:tc>
          <w:tcPr>
            <w:tcW w:type="dxa" w:w="33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OBIS-код</w:t>
            </w:r>
          </w:p>
        </w:tc>
        <w:tc>
          <w:tcPr>
            <w:tcW w:type="dxa" w:w="44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Наименование</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Класс DLMS</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1.1.1.8.0.ff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Активная энергия, приём, всего</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1.1.1.8.1.ff … 1.1.1.8.c.ff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Активная энергия, приём, тариф 1–12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1.1.3.8.0.ff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Реактивная энергия, приём, всего</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1.1.3.8.1.ff … 1.1.3.8.c.ff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Реактивная энергия, приём, тариф 1–12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1.1.1.7.ff.ff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Активная мощность, всего (мгновенная)</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1.1.15.7.ff.ff / 1.1.29.7.ff.ff / 1.1.3d.7.ff.ff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Активная мощность, фазы A/B/C</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1.1.3.7.ff.ff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Реактивная мощность, всего (мгновенная)</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1.1.20.7.ff.ff / 1.1.34.7.ff.ff / 1.1.48.7.ff.ff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Напряжение, фазы A/B/C</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1.1.1f.7.ff.ff / 1.1.33.7.ff.ff / 1.1.47.7.ff.ff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Ток, фазы A/B/C</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1.1.5b.7.ff.ff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Ток нулевого провода</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1.1.0e.7.ff.ff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Частота сети</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1.1.1.6.0.ff … 1.1.1.6.c.ff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Максимум мощности (Max Demand), приём, всего/тариф 1–12</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 (Extended Register)</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1.0.0.1.0.ff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Текущий номер расчётного периода (Settlement No)</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 (Data)</w:t>
            </w:r>
          </w:p>
        </w:tc>
      </w:tr>
      <w:tr>
        <w:tc>
          <w:tcPr>
            <w:tcW w:type="dxa" w:w="33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1.0.0.9.1.ff / 1.0.0.9.2.ff / 1.0.0.9.5.ff</w:t>
            </w:r>
          </w:p>
        </w:tc>
        <w:tc>
          <w:tcPr>
            <w:tcW w:type="dxa" w:w="44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Текущее время / дата / неделя</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 (Data)</w:t>
            </w:r>
          </w:p>
        </w:tc>
      </w:tr>
    </w:tbl>
    <w:p>
      <w:pPr>
        <w:pStyle w:val="Heading2"/>
        <w:spacing w:after="160" w:before="260"/>
      </w:pPr>
      <w:r>
        <w:t xml:space="preserve">Г.4. Категории журнала событий и вмешательств</w:t>
      </w:r>
    </w:p>
    <w:p>
      <w:pPr>
        <w:spacing w:after="160" w:line="276"/>
        <w:jc w:val="both"/>
      </w:pPr>
      <w:r>
        <w:rPr>
          <w:rFonts w:ascii="Times New Roman" w:cs="Times New Roman" w:eastAsia="Times New Roman" w:hAnsi="Times New Roman"/>
          <w:b w:val="false"/>
          <w:bCs w:val="false"/>
          <w:i w:val="false"/>
          <w:iCs w:val="false"/>
          <w:sz w:val="22"/>
          <w:szCs w:val="22"/>
        </w:rPr>
        <w:t xml:space="preserve">Подтверждённый перечень верхнеуровневых категорий журнала событий/вмешательств (таблица EventLog исходной базы, 669 строк детализации сведены к 16 категориям верхнего уровня). Используется для наполнения таблиц event_log/tamper_log (Приложение Б) и для проектирования уведомлений (п. 4.2.8 настоящего ТЗ).</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9500"/>
      </w:tblGrid>
      <w:tr>
        <w:trPr>
          <w:tblHeader/>
        </w:trPr>
        <w:tc>
          <w:tcPr>
            <w:tcW w:type="dxa" w:w="95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Категория события</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Пропадание напряжения (Voltage Missing)</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Пропадание тока (Current Missing)</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Обрыв фазы (Phase Failure)</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Переполюсовка тока (Current Reversing)</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Дисбаланс нагрузки (Load Unbalance)</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Ток нулевого провода превышен (Neutral Line Current)</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Превышение спроса (D_Exceed, Demand Overload)</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Превышение мощности (P_Exceed, Power Overload)</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Превышение напряжения (Over Voltage)</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Понижение напряжения (Under Voltage)</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Пропадание питания (Power Failure)</w:t>
            </w:r>
          </w:p>
        </w:tc>
      </w:tr>
    </w:tbl>
    <w:p>
      <w:pPr>
        <w:pStyle w:val="Heading2"/>
        <w:spacing w:after="160" w:before="260"/>
      </w:pPr>
      <w:r>
        <w:t xml:space="preserve">Г.5. Каналы профиля нагрузки — верхнеуровневые категории</w:t>
      </w:r>
    </w:p>
    <w:p>
      <w:pPr>
        <w:spacing w:after="160" w:line="276"/>
        <w:jc w:val="both"/>
      </w:pPr>
      <w:r>
        <w:rPr>
          <w:rFonts w:ascii="Times New Roman" w:cs="Times New Roman" w:eastAsia="Times New Roman" w:hAnsi="Times New Roman"/>
          <w:b w:val="false"/>
          <w:bCs w:val="false"/>
          <w:i w:val="false"/>
          <w:iCs w:val="false"/>
          <w:sz w:val="22"/>
          <w:szCs w:val="22"/>
        </w:rPr>
        <w:t xml:space="preserve">Полный список каналов профиля нагрузки (лист «LoadProfile_каналы» файла-словаря) содержит 416 конкретных каналов (например, «Energy\Import Active Energy\Tariff 1», единица kWh), сгруппированных в 27 категорий верхнего уровня, перечисленных ниже. При проектировании функции чтения профиля нагрузки (п. 4.2.3 настоящего ТЗ) следует учитывать, что не каждая категория обязательно поддерживается конкретной моделью счётчика — фактический перечень доступных каналов уточняется на этапе PoC протокольного слоя (раздел 6, этап 0).</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9500"/>
      </w:tblGrid>
      <w:tr>
        <w:trPr>
          <w:tblHeader/>
        </w:trPr>
        <w:tc>
          <w:tcPr>
            <w:tcW w:type="dxa" w:w="95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Категории каналов профиля нагрузки</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Total / Import / Export Active Energy — суммарная/принятая/отданная активная энергия</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Total / Import / Export Reactive Energy — суммарная/принятая/отданная реактивная энергия</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Quadrant 1–4 Active Energy, Quadrant 1–4 Reactive Energy — энергия по квадрантам</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Phase Energy — энергия по фазам</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Apparent energy — полная энергия</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Voltage, Current — напряжение, ток</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Apparent Power, Active Power, Reactive Power — мощности (полная/активная/реактивная)</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Power Factor — коэффициент мощности</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Voltage Harmonics, Current Harmonics — гармоники напряжения и тока</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Phase Angle — фазовый угол</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Demand — потребляемая мощность (спрос)</w:t>
            </w:r>
          </w:p>
        </w:tc>
      </w:tr>
      <w:tr>
        <w:tc>
          <w:tcPr>
            <w:tcW w:type="dxa" w:w="95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Frequency — частота сети</w:t>
            </w:r>
          </w:p>
        </w:tc>
      </w:tr>
    </w:tbl>
    <w:p>
      <w:pPr>
        <w:pStyle w:val="Heading2"/>
        <w:spacing w:after="160" w:before="260"/>
      </w:pPr>
      <w:r>
        <w:t xml:space="preserve">Г.6. Ролевая модель оригинального приложения (для сверки)</w:t>
      </w:r>
    </w:p>
    <w:p>
      <w:pPr>
        <w:spacing w:after="160" w:line="276"/>
        <w:jc w:val="both"/>
      </w:pPr>
      <w:r>
        <w:rPr>
          <w:rFonts w:ascii="Times New Roman" w:cs="Times New Roman" w:eastAsia="Times New Roman" w:hAnsi="Times New Roman"/>
          <w:b w:val="false"/>
          <w:bCs w:val="false"/>
          <w:i w:val="false"/>
          <w:iCs w:val="false"/>
          <w:sz w:val="22"/>
          <w:szCs w:val="22"/>
        </w:rPr>
        <w:t xml:space="preserve">Оригинальное настольное приложение фактически использовало не одну роль «Администратор», как предполагалось на основании только конфигурационных файлов, а четыре уровня доступа (таблица USERNAME исходной базы). Приведены для сверки при финальном проектировании ролевой модели MMWS (п. 4.2.1 настоящего ТЗ) — прямого соответствия новым ролям нет, роли Programmer и Factory носят заводской/сервисный характер и не подлежат переносу в веб-версию без отдельного решения Заказчика.</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800"/>
        <w:gridCol w:w="5100"/>
      </w:tblGrid>
      <w:tr>
        <w:trPr>
          <w:tblHeader/>
        </w:trPr>
        <w:tc>
          <w:tcPr>
            <w:tcW w:type="dxa" w:w="26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Роль (оригинал)</w:t>
            </w:r>
          </w:p>
        </w:tc>
        <w:tc>
          <w:tcPr>
            <w:tcW w:type="dxa" w:w="18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Уровень</w:t>
            </w:r>
          </w:p>
        </w:tc>
        <w:tc>
          <w:tcPr>
            <w:tcW w:type="dxa" w:w="5100"/>
            <w:shd w:fill="D9D9D9" w:val="clear"/>
            <w:tcMar>
              <w:top w:type="dxa" w:w="80"/>
              <w:left w:type="dxa" w:w="100"/>
              <w:bottom w:type="dxa" w:w="80"/>
              <w:right w:type="dxa" w:w="100"/>
            </w:tcMar>
            <w:vAlign w:val="center"/>
          </w:tcPr>
          <w:p>
            <w:r>
              <w:rPr>
                <w:rFonts w:ascii="Times New Roman" w:cs="Times New Roman" w:eastAsia="Times New Roman" w:hAnsi="Times New Roman"/>
                <w:b/>
                <w:bCs/>
                <w:sz w:val="20"/>
                <w:szCs w:val="20"/>
              </w:rPr>
              <w:t xml:space="preserve">Комментарий</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User</w:t>
            </w:r>
          </w:p>
        </w:tc>
        <w:tc>
          <w:tcPr>
            <w:tcW w:type="dxa" w:w="18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1 (низший)</w:t>
            </w:r>
          </w:p>
        </w:tc>
        <w:tc>
          <w:tcPr>
            <w:tcW w:type="dxa" w:w="51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Базовый уровень — соответствует по духу роли «Оператор» MMWS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programmer</w:t>
            </w:r>
          </w:p>
        </w:tc>
        <w:tc>
          <w:tcPr>
            <w:tcW w:type="dxa" w:w="18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2</w:t>
            </w:r>
          </w:p>
        </w:tc>
        <w:tc>
          <w:tcPr>
            <w:tcW w:type="dxa" w:w="51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Расширенный технический доступ — частично соответствует роли «Инженер» MMWS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Admin</w:t>
            </w:r>
          </w:p>
        </w:tc>
        <w:tc>
          <w:tcPr>
            <w:tcW w:type="dxa" w:w="18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3</w:t>
            </w:r>
          </w:p>
        </w:tc>
        <w:tc>
          <w:tcPr>
            <w:tcW w:type="dxa" w:w="51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Административный доступ — соответствует роли «Администратор» MMWS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Factory</w:t>
            </w:r>
          </w:p>
        </w:tc>
        <w:tc>
          <w:tcPr>
            <w:tcW w:type="dxa" w:w="18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4 (высший)</w:t>
            </w:r>
          </w:p>
        </w:tc>
        <w:tc>
          <w:tcPr>
            <w:tcW w:type="dxa" w:w="5100"/>
            <w:tcMar>
              <w:top w:type="dxa" w:w="80"/>
              <w:left w:type="dxa" w:w="100"/>
              <w:bottom w:type="dxa" w:w="80"/>
              <w:right w:type="dxa" w:w="100"/>
            </w:tcMar>
            <w:vAlign w:val="center"/>
          </w:tcPr>
          <w:p>
            <w:r>
              <w:rPr>
                <w:rFonts w:ascii="Times New Roman" w:cs="Times New Roman" w:eastAsia="Times New Roman" w:hAnsi="Times New Roman"/>
                <w:b w:val="false"/>
                <w:bCs w:val="false"/>
                <w:sz w:val="20"/>
                <w:szCs w:val="20"/>
              </w:rPr>
              <w:t xml:space="preserve">Заводской/сервисный уровень — не имеет аналога в MMWS, перенос требует отдельного решения Заказчика</w:t>
            </w:r>
          </w:p>
        </w:tc>
      </w:tr>
    </w:tbl>
    <w:p>
      <w:pPr>
        <w:pStyle w:val="Heading2"/>
        <w:spacing w:after="160" w:before="260"/>
      </w:pPr>
      <w:r>
        <w:t xml:space="preserve">Г.7. Полный детализированный словарь (файл-приложение)</w:t>
      </w:r>
    </w:p>
    <w:p>
      <w:pPr>
        <w:spacing w:after="160" w:line="276"/>
        <w:jc w:val="both"/>
      </w:pPr>
      <w:r>
        <w:rPr>
          <w:rFonts w:ascii="Times New Roman" w:cs="Times New Roman" w:eastAsia="Times New Roman" w:hAnsi="Times New Roman"/>
          <w:b w:val="false"/>
          <w:bCs w:val="false"/>
          <w:i w:val="false"/>
          <w:iCs w:val="false"/>
          <w:sz w:val="22"/>
          <w:szCs w:val="22"/>
        </w:rPr>
        <w:t xml:space="preserve">Полная версия всех перечисленных выше сведений (дерево чтения — 9165 строк, полный перечень RW-параметров — 93 строки, полный перечень событий — 669 строк, полный перечень каналов профиля нагрузки — 416 строк) передаётся Исполнителю отдельным файлом «Словарь_OBIS_параметров_счётчика.xlsx», прилагаемым к настоящему ТЗ. Файл содержит 7 листов, структурированных по разделам Г.2–Г.6 настоящего приложения, и является обязательным исходным материалом для реализации протокольного слоя на этапе 0 (PoC), исключающим необходимость повторного разбора структуры исходной базы данных.</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из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ТЗ. MMWS. Версия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1F1F"/>
      <w:sz w:val="28"/>
      <w:szCs w:val="28"/>
    </w:rPr>
  </w:style>
  <w:style w:type="paragraph" w:styleId="Heading2">
    <w:name w:val="Heading 2"/>
    <w:basedOn w:val="Normal"/>
    <w:next w:val="Normal"/>
    <w:qFormat/>
    <w:pPr>
      <w:spacing w:after="160" w:before="260"/>
      <w:outlineLvl w:val="1"/>
    </w:pPr>
    <w:rPr>
      <w:rFonts w:ascii="Times New Roman" w:cs="Times New Roman" w:eastAsia="Times New Roman" w:hAnsi="Times New Roman"/>
      <w:b/>
      <w:bCs/>
      <w:color w:val="1F1F1F"/>
      <w:sz w:val="24"/>
      <w:szCs w:val="24"/>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2026-08-17T09:15:13.137Z</dcterms:created>
  <dcterms:modified xsi:type="dcterms:W3CDTF">2026-08-17T09:15:13.150Z</dcterms:modified>
</cp:coreProperties>
</file>

<file path=docProps/custom.xml><?xml version="1.0" encoding="utf-8"?>
<Properties xmlns="http://schemas.openxmlformats.org/officeDocument/2006/custom-properties" xmlns:vt="http://schemas.openxmlformats.org/officeDocument/2006/docPropsVTypes"/>
</file>