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ТЕХНИЧЕСКИЙ РЕГЛАМЕНТ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взаимодействия по API с внешней биллинговой системой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 рамках системы «Веб-сервис удалённого управления и диагностики электросчётчиков» (MMWS)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Версия документа: 1.0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Дата: __________________</w:t>
      </w:r>
    </w:p>
    <w:p>
      <w:pPr>
        <w:spacing w:after="30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Статус: проект для согласования</w:t>
      </w:r>
    </w:p>
    <w:p>
      <w:r>
        <w:br w:type="page"/>
      </w:r>
    </w:p>
    <w:p>
      <w:pPr>
        <w:pStyle w:val="Heading1"/>
        <w:spacing w:after="200" w:before="36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t xml:space="preserve">1. Общие положения</w:t>
      </w:r>
    </w:p>
    <w:p>
      <w:pPr>
        <w:pStyle w:val="Heading2"/>
        <w:spacing w:after="160" w:before="260"/>
      </w:pPr>
      <w:r>
        <w:t xml:space="preserve">1.1. Назначение документа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Настоящий регламент определяет порядок и правила технического взаимодействия между веб-сервисом удалённого управления и диагностики электросчётчиков (далее — MMWS, Система) и внешней биллинговой системой Заказчика (далее — Биллинг) через программный интерфейс (API). Документ является обязательным для соблюдения на стороне Биллинга при разработке или настройке интеграции с MMWS.</w:t>
      </w:r>
    </w:p>
    <w:p>
      <w:pPr>
        <w:pStyle w:val="Heading2"/>
        <w:spacing w:after="160" w:before="260"/>
      </w:pPr>
      <w:r>
        <w:t xml:space="preserve">1.2. Область применения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Регламент распространяется на все обращения к сегменту REST API MMWS, предназначенному для биллинговой интеграции (методы группы /v1/billing/*), описанному в п. 4.2.9 и 4.2.10 технического задания на разработку MMWS. Регламент не распространяется на методы API, предназначенные для веб-интерфейса оператора.</w:t>
      </w:r>
    </w:p>
    <w:p>
      <w:pPr>
        <w:pStyle w:val="Heading2"/>
        <w:spacing w:after="160" w:before="260"/>
      </w:pPr>
      <w:r>
        <w:t xml:space="preserve">1.3. Платформенная независимость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Интеграционный канал построен по принципу платформенной независимости: любое клиентское приложение, способное выполнять HTTP(S)-запросы и обрабатывать JSON, может выступать интегрируемой Биллинговой системой, независимо от технологической платформы, на которой она реализована (1С, Java-, .NET-, Python-приложение и т. п.). Смена платформы Биллинга не требует изменения настоящего регламента и не влечёт изменений на стороне MMWS, за исключением переоформления учётных данных доступа (раздел 3).</w:t>
      </w:r>
    </w:p>
    <w:p>
      <w:pPr>
        <w:pStyle w:val="Heading2"/>
        <w:spacing w:after="160" w:before="260"/>
      </w:pPr>
      <w:r>
        <w:t xml:space="preserve">1.4. Термины и сокращения</w:t>
      </w:r>
    </w:p>
    <w:tbl>
      <w:tblPr>
        <w:tblW w:type="dxa" w:w="95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Термин / сокращение</w:t>
            </w:r>
          </w:p>
        </w:tc>
        <w:tc>
          <w:tcPr>
            <w:tcW w:type="dxa" w:w="6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MMWS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Meter Management Web Service — система удалённого управления и диагностики электросчётчиков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Биллинг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Внешняя биллинговая система Заказчика, потребитель настоящего API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Batch (пакет)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Список счётчиков, передаваемый одним запросом для групповой обработки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batch_id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Уникальный идентификатор пакетной операции, присваиваемый MMWS при приёме пакета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API-ключ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Секретный идентификатор доступа, используемый для аутентификации запросов Биллинга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Idempotency-Key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Ключ идемпотентности — заголовок, предотвращающий повторную обработку одного и того же запроса</w:t>
            </w:r>
          </w:p>
        </w:tc>
      </w:tr>
    </w:tbl>
    <w:p>
      <w:pPr>
        <w:pStyle w:val="Heading1"/>
        <w:spacing w:after="200" w:before="360"/>
      </w:pPr>
      <w:r>
        <w:t xml:space="preserve">2. Общие принципы взаимодействия</w:t>
      </w:r>
    </w:p>
    <w:p>
      <w:pPr>
        <w:pStyle w:val="Heading2"/>
        <w:spacing w:after="160" w:before="260"/>
      </w:pPr>
      <w:r>
        <w:t xml:space="preserve">2.1. Транспорт и формат данных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протокол транспортного уровня — HTTPS (TLS 1.2 и выше обязателен, соединения по HTTP не принимаются);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формат тела запроса и ответа — JSON, кодировка UTF-8;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заголовок Content-Type: application/json обязателен для запросов, содержащих тело;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формат даты и времени — ISO 8601 с указанием часового пояса (например, 2026-08-13T10:15:00+05:00).</w:t>
      </w:r>
    </w:p>
    <w:p>
      <w:pPr>
        <w:pStyle w:val="Heading2"/>
        <w:spacing w:after="160" w:before="260"/>
      </w:pPr>
      <w:r>
        <w:t xml:space="preserve">2.2. Базовый адрес и версионирование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Базовый адрес API предоставляется Биллингу при выдаче доступа (раздел 3) и имеет вид: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https://&lt;хост-MMWS&gt;/api/v1/billing/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Номер версии входит в путь запроса (/v1/). При выпуске несовместимых изменений API MMWS публикует новую версию (/v2/ и т. д.), сохраняя работоспособность предыдущей версии на срок, согласованный дополнительно с Заказчиком (см. раздел 10). Обратно совместимые изменения (добавление необязательных полей) выполняются без смены версии.</w:t>
      </w:r>
    </w:p>
    <w:p>
      <w:pPr>
        <w:pStyle w:val="Heading2"/>
        <w:spacing w:after="160" w:before="260"/>
      </w:pPr>
      <w:r>
        <w:t xml:space="preserve">2.3. Идемпотентность запросов, изменяющих состояние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методов, инициирующих пакетные операции (раздел 4.3, 4.4), Биллинг обязан передавать заголовок Idempotency-Key с уникальным значением (например, UUID) для каждого нового пакета. Повторная отправка запроса с ранее использованным значением Idempotency-Key возвращает результат уже принятого пакета без повторной постановки его в очередь — это защищает от дублирования операций отключения/подключения при повторных попытках на стороне Биллинга (например, после сетевого таймаута).</w:t>
      </w:r>
    </w:p>
    <w:p>
      <w:pPr>
        <w:pStyle w:val="Heading1"/>
        <w:spacing w:after="200" w:before="360"/>
      </w:pPr>
      <w:r>
        <w:t xml:space="preserve">3. Аутентификация и авторизация</w:t>
      </w:r>
    </w:p>
    <w:p>
      <w:pPr>
        <w:pStyle w:val="Heading2"/>
        <w:spacing w:after="160" w:before="260"/>
      </w:pPr>
      <w:r>
        <w:t xml:space="preserve">3.1. Модель доступа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Доступ Биллинга к API выполняется по выделенной технической учётной записи, не связанной с пользовательскими учётными записями веб-интерфейса MMWS. Учётная запись включает Client ID и API-ключ (секрет), выдаваемые администратором MMWS.</w:t>
      </w:r>
    </w:p>
    <w:p>
      <w:pPr>
        <w:pStyle w:val="Heading2"/>
        <w:spacing w:after="160" w:before="260"/>
      </w:pPr>
      <w:r>
        <w:t xml:space="preserve">3.2. Передача учётных данных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API-ключ передаётся в заголовке каждого запроса: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Authorization: Bearer &lt;API-ключ&gt;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Запросы без заголовка Authorization либо с недействительным ключом отклоняются с кодом состояния 401 (см. Приложение А).</w:t>
      </w:r>
    </w:p>
    <w:p>
      <w:pPr>
        <w:pStyle w:val="Heading2"/>
        <w:spacing w:after="160" w:before="260"/>
      </w:pPr>
      <w:r>
        <w:t xml:space="preserve">3.3. Область действия прав (scope)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Учётная запись Биллинга обладает правами, строго ограниченными следующим перечнем операций, и не имеет доступа к каким-либо иным методам API MMWS (в том числе к операциям записи параметров счётчиков, администрированию пользователей, справочнику счётчиков вне контекста показаний/тарифов):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чтение показаний (GET /readings);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чтение тарифных данных (GET /tariffs);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постановка пакетных операций отключения/подключения (POST /disconnect-batch, /reconnect-batch);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>получение статуса пакетной операции (GET /disconnect-batch/{batch_id});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>чтение профиля нагрузки (GET /profile).</w:t>
      </w:r>
    </w:p>
    <w:p>
      <w:pPr>
        <w:pStyle w:val="Heading2"/>
        <w:spacing w:after="160" w:before="260"/>
      </w:pPr>
      <w:r>
        <w:t xml:space="preserve">3.4. Порядок выдачи и ротации ключей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Выдача, ротация и отзыв API-ключа выполняются администратором MMWS по заявке ответственного лица со стороны Заказчика. Плановая ротация ключа выполняется не реже одного раза в 12 месяцев. При компрометации ключа он подлежит немедленному отзыву с одновременной выдачей нового; факт компрометации и отзыва фиксируется в журнале аудита MMWS.</w:t>
      </w:r>
    </w:p>
    <w:p>
      <w:pPr>
        <w:pStyle w:val="Heading1"/>
        <w:spacing w:after="200" w:before="360"/>
      </w:pPr>
      <w:r>
        <w:t xml:space="preserve">4. Спецификация методов API</w:t>
      </w:r>
    </w:p>
    <w:p>
      <w:pPr>
        <w:pStyle w:val="Heading2"/>
        <w:spacing w:after="160" w:before="260"/>
      </w:pPr>
      <w:r>
        <w:t xml:space="preserve">4.1. GET /readings — получение показаний</w:t>
      </w:r>
    </w:p>
    <w:tbl>
      <w:tblPr>
        <w:tblW w:type="dxa" w:w="95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Метод / путь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/api/v1/billing/readings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Получение показаний счётчиков за указанный период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Обязательные параметры запроса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date_from, date_to (ISO 8601)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Необязательные параметры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meter_ids (список серийных номеров, через запятую), region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Пагинация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page, page_size (по умолчанию page_size = 500, максимум — 2000)</w:t>
            </w:r>
          </w:p>
        </w:tc>
      </w:tr>
    </w:tbl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Пример запроса: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GET /api/v1/billing/readings?date_from=2026-08-01T00:00:00%2B05:00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&amp;date_to=2026-08-13T00:00:00%2B05:00&amp;page=1&amp;page_size=500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Authorization: Bearer &lt;API-ключ&gt;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Пример ответа (200 OK):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"page": 1, "page_size": 500, "total": 4213,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"items": [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{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"meter_serial": "202006003607",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"obis_code": "1.0.1.8.0",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"value": 15234.7, "unit": "kWh",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"read_at": "2026-08-13T06:00:12+05:00"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}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]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}</w:t>
      </w:r>
    </w:p>
    <w:p>
      <w:pPr>
        <w:pStyle w:val="Heading2"/>
        <w:spacing w:after="160" w:before="260"/>
      </w:pPr>
      <w:r>
        <w:t xml:space="preserve">4.2. GET /tariffs — получение тарифных данных</w:t>
      </w:r>
    </w:p>
    <w:tbl>
      <w:tblPr>
        <w:tblW w:type="dxa" w:w="95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Метод / путь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/api/v1/billing/tariffs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Получение тарифного расписания, действующего на счётчиках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Обязательные параметры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meter_ids (список серийных номеров) либо region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Пагинация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page, page_size (аналогично п. 4.1)</w:t>
            </w:r>
          </w:p>
        </w:tc>
      </w:tr>
    </w:tbl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Пример ответа (200 OK):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"items": [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{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"meter_serial": "202006003607",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"tariff_schedule": [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  { "zone": 1, "rate": "peak", "from": "08:00", "to": "22:00" },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  { "zone": 2, "rate": "off_peak", "from": "22:00", "to": "08:00" }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],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"updated_at": "2026-07-01T09:00:00+05:00"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}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]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}</w:t>
      </w:r>
    </w:p>
    <w:p>
      <w:pPr>
        <w:pStyle w:val="Heading2"/>
        <w:spacing w:after="160" w:before="260"/>
      </w:pPr>
      <w:r>
        <w:t xml:space="preserve">4.3. POST /disconnect-batch — пакетное отключение</w:t>
      </w:r>
    </w:p>
    <w:tbl>
      <w:tblPr>
        <w:tblW w:type="dxa" w:w="95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Метод / путь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POST /api/v1/billing/disconnect-batch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Обязательные заголовки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Authorization, Idempotency-Key, Content-Type: application/json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Ограничение размера пакета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500 счётчиков в одном запросе (см. раздел 6)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Ответ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202 Accepted — запрос принят в обработку, тело содержит batch_id</w:t>
            </w:r>
          </w:p>
        </w:tc>
      </w:tr>
    </w:tbl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Пример запроса: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POST /api/v1/billing/disconnect-batch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Authorization: Bearer &lt;API-ключ&gt;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Idempotency-Key: 6f1e9b2a-3c3d-4a5b-9e21-8a2f9d6b7c10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Content-Type: application/json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{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"reason": "non_payment",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"meters": ["202006003607", "202006003608", "202006003701"]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}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Пример ответа (202 Accepted):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"batch_id": "b-20260813-000451",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"accepted_count": 3,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"status": "queued",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"status_url": "/api/v1/billing/disconnect-batch/b-20260813-000451"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}</w:t>
      </w:r>
    </w:p>
    <w:p>
      <w:pPr>
        <w:pStyle w:val="Heading2"/>
        <w:spacing w:after="160" w:before="260"/>
      </w:pPr>
      <w:r>
        <w:t xml:space="preserve">4.4. POST /reconnect-batch — пакетное подключение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Метод аналогичен по структуре запроса и ответа методу 4.3 (POST /disconnect-batch), с той разницей, что выполняет обратную операцию — восстановление подачи электроэнергии. Путь: POST /api/v1/billing/reconnect-batch. Поле reason допускает значения, отражающие причину подключения (например, payment_received, manual_review).</w:t>
      </w:r>
    </w:p>
    <w:p>
      <w:pPr>
        <w:pStyle w:val="Heading2"/>
        <w:spacing w:after="160" w:before="260"/>
      </w:pPr>
      <w:r>
        <w:t xml:space="preserve">4.5. GET /disconnect-batch/{batch_id} — статус пакетной операции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Метод применяется для опроса статуса как операций отключения, так и подключения (единый механизм статусов по идентификатору batch_id независимо от типа операции).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Пример ответа (200 OK):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"batch_id": "b-20260813-000451",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"operation": "disconnect",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"status": "completed_with_errors",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"created_at": "2026-08-13T11:02:00+05:00",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"finished_at": "2026-08-13T11:04:21+05:00",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"items": [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{ "meter_serial": "202006003607", "status": "done" },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{ "meter_serial": "202006003608", "status": "done" },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{ "meter_serial": "202006003701", "status": "failed",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  "error_code": "METER_UNREACHABLE" }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]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}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Возможные значения status на уровне пакета: queued, in_progress, completed, completed_with_errors, failed. Возможные значения status на уровне отдельного счётчика: queued, done, failed.</w:t>
      </w:r>
    </w:p>
    <w:p>
      <w:pPr>
        <w:pStyle w:val="Heading2"/>
        <w:spacing w:after="160" w:before="260"/>
      </w:pPr>
      <w:r>
        <w:t>4.6. GET /profile — получение профиля нагрузки</w:t>
      </w:r>
    </w:p>
    <w:tbl>
      <w:tblPr>
        <w:tblW w:type="dxa" w:w="95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Метод / путь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GET /api/v1/billing/profile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Назначение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Получение профиля нагрузки счётчиков за указанный период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Обязательные параметры запроса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date_from, date_to (ISO 8601)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Необязательные параметры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meter_ids (список серийных номеров, через запятую), region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Пагинация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page, page_size (по умолчанию page_size = 500, максимум — 2000, аналогично п. 4.1)</w:t>
            </w:r>
          </w:p>
        </w:tc>
      </w:tr>
    </w:tbl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Пример запроса: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>GET /api/v1/billing/profile?date_from=2026-08-01T00:00:00%2B05:00&amp;date_to=2026-08-02T00:00:00%2B05:00&amp;page=1&amp;page_size=500</w:t>
        <w:br/>
        <w:t>Authorization: Bearer &lt;API-ключ&gt;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Пример ответа (200 OK):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>{</w:t>
        <w:br/>
        <w:t xml:space="preserve">  "page": 1, "page_size": 500, "total": 96,</w:t>
        <w:br/>
        <w:t xml:space="preserve">  "items": [</w:t>
        <w:br/>
        <w:t xml:space="preserve">    {</w:t>
        <w:br/>
        <w:t xml:space="preserve">      "meter_serial": "202006003607",</w:t>
        <w:br/>
        <w:t xml:space="preserve">      "obis_code": "1.1.63.1.0.ff",</w:t>
        <w:br/>
        <w:t xml:space="preserve">      "values": [225.76, 211.97, 313.65, 0.1, 0.105, 0.014, 0.8881, 0.9987, 0.226, 4527.1, 4527.1],</w:t>
        <w:br/>
        <w:t xml:space="preserve">      "timestamp": "2026-08-01T00:00:00+05:00"</w:t>
        <w:br/>
        <w:t xml:space="preserve">    }</w:t>
        <w:br/>
        <w:t xml:space="preserve">  ]</w:t>
        <w:br/>
        <w:t>}</w:t>
      </w:r>
    </w:p>
    <w:p>
      <w:pPr>
        <w:pStyle w:val="Heading1"/>
        <w:spacing w:after="200" w:before="360"/>
      </w:pPr>
      <w:r>
        <w:t xml:space="preserve">5. Формат сообщений об ошибках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ошибки возвращаются в едином формате, независимо от метода: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16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"error": {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"code": "INVALID_DATE_RANGE",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"message": "date_from must be earlier than date_to",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  "request_id": "r-8a2f9d6b7c10"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  }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}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Поле request_id включается в каждый ответ (в том числе успешный) и подлежит указанию при обращении в службу технической поддержки MMWS для диагностики конкретного запроса.</w:t>
      </w:r>
    </w:p>
    <w:p>
      <w:pPr>
        <w:pStyle w:val="Heading1"/>
        <w:spacing w:after="200" w:before="360"/>
      </w:pPr>
      <w:r>
        <w:t xml:space="preserve">6. Ограничения и квоты</w:t>
      </w:r>
    </w:p>
    <w:tbl>
      <w:tblPr>
        <w:tblW w:type="dxa" w:w="95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800"/>
        <w:gridCol w:w="4700"/>
      </w:tblGrid>
      <w:tr>
        <w:trPr>
          <w:tblHeader/>
        </w:trPr>
        <w:tc>
          <w:tcPr>
            <w:tcW w:type="dxa" w:w="4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Максимальный размер пакета (disconnect/reconnect-batch)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500 счётчиков за один запрос</w:t>
            </w:r>
          </w:p>
        </w:tc>
      </w:tr>
      <w:tr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Частота запросов (rate limit)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60 запросов в минуту на один API-ключ (конфигурируется индивидуально по согласованию с Заказчиком)</w:t>
            </w:r>
          </w:p>
        </w:tc>
      </w:tr>
      <w:tr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>Максимальный диапазон дат для /readings, /profile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 сутки за один запрос</w:t>
            </w:r>
          </w:p>
        </w:tc>
      </w:tr>
      <w:tr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хранения статуса пакетной операции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30 суток с момента создания batch_id</w:t>
            </w:r>
          </w:p>
        </w:tc>
      </w:tr>
    </w:tbl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превышении частоты запросов MMWS возвращает код состояния 429 (Too Many Requests) с заголовком Retry-After, указывающим рекомендуемое время до повторной попытки.</w:t>
      </w:r>
    </w:p>
    <w:p>
      <w:pPr>
        <w:pStyle w:val="Heading1"/>
        <w:spacing w:after="200" w:before="360"/>
      </w:pPr>
      <w:r>
        <w:t xml:space="preserve">7. Требования к отказоустойчивости на стороне Биллинга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Биллинг обязан реализовать повторные попытки (retry) при получении кодов состояния 429 и 5xx с экспоненциальной задержкой между попытками (рекомендуется начальная задержка 2 секунды, не более 5 попыток).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Повторная отправка запроса POST /disconnect-batch или /reconnect-batch при таймауте на стороне Биллинга обязана выполняться с тем же значением заголовка Idempotency-Key, что и первоначальный запрос (раздел 2.3), во избежание дублирования операции отключения/подключения.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Опрос статуса пакетной операции (GET /disconnect-batch/{batch_id}) должен выполняться с интервалом не чаще одного раза в 10 секунд до получения терминального статуса (completed, completed_with_errors или failed).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Биллинг обязан обрабатывать частичный отказ пакета (статус completed_with_errors) как штатную ситуацию и анализировать поле items каждого счётчика отдельно, не считая пакет полностью успешным или полностью неуспешным по общему статусу.</w:t>
      </w:r>
    </w:p>
    <w:p>
      <w:pPr>
        <w:pStyle w:val="Heading1"/>
        <w:spacing w:after="200" w:before="360"/>
      </w:pPr>
      <w:r>
        <w:t xml:space="preserve">8. Аудит и журналирование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MMWS ведёт полный журнал аудита всех обращений Биллинга к API (раздел 4.2.9, 4.2.10 технического задания на разработку MMWS), включая: временную метку, метод, request_id, результат выполнения, а для операций отключения/подключения — postатейный результат по каждому счётчику пакета.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Биллингу рекомендуется вести на своей стороне сопоставимый журнал исходящих запросов (как минимум: request_id, batch_id, временная метка, состав пакета) для возможности сверки и расследования инцидентов по обеим сторонам интеграции.</w:t>
      </w:r>
    </w:p>
    <w:p>
      <w:pPr>
        <w:pStyle w:val="Heading1"/>
        <w:spacing w:after="200" w:before="360"/>
      </w:pPr>
      <w:r>
        <w:t xml:space="preserve">9. Порядок изменения регламента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Изменения настоящего регламента, влияющие на совместимость (изменение обязательных параметров, удаление полей, изменение семантики кодов ошибок), publикуются не позднее чем за 30 календарных дней до вступления в силу и сопровождаются повышением номера версии API (раздел 2.2). Обратно совместимые изменения (добавление новых необязательных полей, новых кодов ошибок) могут вноситься без предварительного уведомления и не требуют изменения версии.</w:t>
      </w:r>
    </w:p>
    <w:p>
      <w:pPr>
        <w:pStyle w:val="Heading1"/>
        <w:spacing w:after="200" w:before="360"/>
      </w:pPr>
      <w:r>
        <w:t xml:space="preserve">10. Контактная информация и эскалация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Контактные данные ответственных лиц со стороны MMWS (администратор системы, техническая поддержка) для вопросов подключения, выдачи API-ключей и расследования инцидентов интеграции — указываются отдельным приложением при вводе интеграции в эксплуатацию и не являются предметом настоящего регламента.</w:t>
      </w:r>
    </w:p>
    <w:p>
      <w:r>
        <w:br w:type="page"/>
      </w:r>
    </w:p>
    <w:p>
      <w:pPr>
        <w:pStyle w:val="Heading1"/>
        <w:spacing w:after="200" w:before="360"/>
      </w:pPr>
      <w:r>
        <w:t xml:space="preserve">Приложение А. Коды состояния и коды ошибок</w:t>
      </w:r>
    </w:p>
    <w:p>
      <w:pPr>
        <w:pStyle w:val="Heading2"/>
        <w:spacing w:after="160" w:before="260"/>
      </w:pPr>
      <w:r>
        <w:t xml:space="preserve">А.1. Коды состояния HTTP</w:t>
      </w:r>
    </w:p>
    <w:tbl>
      <w:tblPr>
        <w:tblW w:type="dxa" w:w="95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6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 OK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Успешное выполнение запроса на чтение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202 Accepted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Пакетная операция принята в обработку (асинхронное выполнение)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 Bad Request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Некорректные параметры запроса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401 Unauthorized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Отсутствует либо недействителен API-ключ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403 Forbidden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Ключ действителен, но не имеет прав на запрошенную операцию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404 Not Found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Указанный batch_id не найден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429 Too Many Requests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Превышена частота запросов (раздел 6)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500 / 503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Внутренняя ошибка MMWS либо временная недоступность сервиса</w:t>
            </w:r>
          </w:p>
        </w:tc>
      </w:tr>
    </w:tbl>
    <w:p>
      <w:pPr>
        <w:pStyle w:val="Heading2"/>
        <w:spacing w:after="160" w:before="260"/>
      </w:pPr>
      <w:r>
        <w:t xml:space="preserve">А.2. Коды ошибок бизнес-уровня (поле error.code)</w:t>
      </w:r>
    </w:p>
    <w:tbl>
      <w:tblPr>
        <w:tblW w:type="dxa" w:w="95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800"/>
        <w:gridCol w:w="5700"/>
      </w:tblGrid>
      <w:tr>
        <w:trPr>
          <w:tblHeader/>
        </w:trPr>
        <w:tc>
          <w:tcPr>
            <w:tcW w:type="dxa" w:w="3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5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INVALID_DATE_RANGE</w:t>
            </w:r>
          </w:p>
        </w:tc>
        <w:tc>
          <w:tcPr>
            <w:tcW w:type="dxa" w:w="5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Некорректный или превышающий лимит диапазон дат (раздел 6)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BATCH_TOO_LARGE</w:t>
            </w:r>
          </w:p>
        </w:tc>
        <w:tc>
          <w:tcPr>
            <w:tcW w:type="dxa" w:w="5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Размер пакета превышает установленный лимит (раздел 6)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DUPLICATE_IDEMPOTENCY_KEY</w:t>
            </w:r>
          </w:p>
        </w:tc>
        <w:tc>
          <w:tcPr>
            <w:tcW w:type="dxa" w:w="5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Повторное использование Idempotency-Key с иным содержимым запроса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METER_NOT_FOUND</w:t>
            </w:r>
          </w:p>
        </w:tc>
        <w:tc>
          <w:tcPr>
            <w:tcW w:type="dxa" w:w="5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Счётчик с указанным серийным номером отсутствует в справочнике MMWS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METER_UNREACHABLE</w:t>
            </w:r>
          </w:p>
        </w:tc>
        <w:tc>
          <w:tcPr>
            <w:tcW w:type="dxa" w:w="5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Счётчик недоступен на момент выполнения операции (см. п. 4.3.4 ТЗ на разработку MMWS)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METER_AUTH_FAILED</w:t>
            </w:r>
          </w:p>
        </w:tc>
        <w:tc>
          <w:tcPr>
            <w:tcW w:type="dxa" w:w="5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Ошибка аутентификации на уровне протокола счётчика при выполнении операции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DISCONNECT_NOT_SUPPORTED</w:t>
            </w:r>
          </w:p>
        </w:tc>
        <w:tc>
          <w:tcPr>
            <w:tcW w:type="dxa" w:w="5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Модель/протокольный профиль счётчика не поддерживает удалённое отключение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Приложение Б. Пример полного цикла пакетного отключения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Биллинг формирует список счётчиков на отключение (например, по признаку задолженности) и направляет POST /disconnect-batch с уникальным Idempotency-Key.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MMWS возвращает 202 Accepted с идентификатором batch_id и статусом queued.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MMWS регистрирует по каждому счётчику пакета отдельную асинхронную задачу и передаёт её в Protocol Gateway на исполнение (в соответствии с п. 3 и п. 4.3 ТЗ на разработку MMWS).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Биллинг опрашивает GET /disconnect-batch/{batch_id} с интервалом не чаще 10 секунд (раздел 7, п. 3).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завершении обработки всех счётчиков пакета статус переходит в терминальное значение (completed / completed_with_errors / failed); Биллинг анализирует результат по каждому счётчику отдельно.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отдельная операция отключения фиксируется в журнале аудита MMWS с указанием источника инициации — идентификатора пакета (batch_id) и учётной записи API, использованной для его отправки.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Стр.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из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888888"/>
        <w:sz w:val="18"/>
        <w:szCs w:val="18"/>
      </w:rPr>
      <w:t xml:space="preserve">Техрегламент API. MMWS. Версия 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Times New Roman" w:cs="Times New Roman" w:eastAsia="Times New Roman" w:hAnsi="Times New Roman"/>
      <w:b/>
      <w:bCs/>
      <w:color w:val="1F1F1F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Times New Roman" w:cs="Times New Roman" w:eastAsia="Times New Roman" w:hAnsi="Times New Roman"/>
      <w:b/>
      <w:bCs/>
      <w:i/>
      <w:iCs/>
      <w:color w:val="1F1F1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2026-08-17T09:15:13.649Z</dcterms:created>
  <dcterms:modified xsi:type="dcterms:W3CDTF">2026-08-17T09:15:13.649Z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