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Project Idea Outline</w:t>
      </w:r>
    </w:p>
    <w:p>
      <w:pPr>
        <w:spacing w:after="60"/>
      </w:pPr>
      <w:r>
        <w:rPr>
          <w:rFonts w:ascii="Calibri" w:cs="Calibri" w:eastAsia="Calibri" w:hAnsi="Calibri"/>
          <w:color w:val="3B4BA0"/>
          <w:sz w:val="28"/>
          <w:szCs w:val="28"/>
        </w:rPr>
        <w:t xml:space="preserve">Eğitim Köprüsü, Education Bridge</w:t>
      </w:r>
    </w:p>
    <w:p>
      <w:pPr>
        <w:spacing w:after="200"/>
      </w:pPr>
      <w:r>
        <w:rPr>
          <w:rFonts w:ascii="Calibri" w:cs="Calibri" w:eastAsia="Calibri" w:hAnsi="Calibri"/>
          <w:i/>
          <w:iCs/>
          <w:sz w:val="22"/>
          <w:szCs w:val="22"/>
        </w:rPr>
        <w:t xml:space="preserve">Revised version: narrowed target group, minimum viable prototype and tutor model</w:t>
      </w:r>
    </w:p>
    <w:p>
      <w:pPr>
        <w:pStyle w:val="Heading1"/>
        <w:spacing w:after="120" w:before="280"/>
      </w:pPr>
      <w:r>
        <w:rPr>
          <w:rFonts w:ascii="Calibri" w:cs="Calibri" w:eastAsia="Calibri" w:hAnsi="Calibri"/>
          <w:b/>
          <w:bCs/>
          <w:sz w:val="28"/>
          <w:szCs w:val="28"/>
        </w:rPr>
        <w:t xml:space="preserve">1. Team Members and Disciplines</w:t>
      </w:r>
    </w:p>
    <w:p>
      <w:pPr>
        <w:spacing w:after="120" w:line="276"/>
      </w:pPr>
      <w:r>
        <w:rPr>
          <w:rFonts w:ascii="Calibri" w:cs="Calibri" w:eastAsia="Calibri" w:hAnsi="Calibri"/>
          <w:sz w:val="22"/>
          <w:szCs w:val="22"/>
        </w:rPr>
        <w:t xml:space="preserve">Pınar Bal, Psychology</w:t>
      </w:r>
    </w:p>
    <w:p>
      <w:pPr>
        <w:spacing w:after="120" w:line="276"/>
      </w:pPr>
      <w:r>
        <w:rPr>
          <w:rFonts w:ascii="Calibri" w:cs="Calibri" w:eastAsia="Calibri" w:hAnsi="Calibri"/>
          <w:sz w:val="22"/>
          <w:szCs w:val="22"/>
        </w:rPr>
        <w:t xml:space="preserve">Özlem Bayraklı, Psychology</w:t>
      </w:r>
    </w:p>
    <w:p>
      <w:pPr>
        <w:spacing w:after="120" w:line="276"/>
      </w:pPr>
      <w:r>
        <w:rPr>
          <w:rFonts w:ascii="Calibri" w:cs="Calibri" w:eastAsia="Calibri" w:hAnsi="Calibri"/>
          <w:sz w:val="22"/>
          <w:szCs w:val="22"/>
        </w:rPr>
        <w:t xml:space="preserve">Ali Bayraktar, Computer Engineering</w:t>
      </w:r>
    </w:p>
    <w:p>
      <w:pPr>
        <w:spacing w:after="120" w:line="276"/>
      </w:pPr>
      <w:r>
        <w:rPr>
          <w:rFonts w:ascii="Calibri" w:cs="Calibri" w:eastAsia="Calibri" w:hAnsi="Calibri"/>
          <w:sz w:val="22"/>
          <w:szCs w:val="22"/>
        </w:rPr>
        <w:t xml:space="preserve">Alisahib Mammadov, Computer Engineering</w:t>
      </w:r>
    </w:p>
    <w:p>
      <w:pPr>
        <w:pStyle w:val="Heading1"/>
        <w:spacing w:after="120" w:before="280"/>
      </w:pPr>
      <w:r>
        <w:rPr>
          <w:rFonts w:ascii="Calibri" w:cs="Calibri" w:eastAsia="Calibri" w:hAnsi="Calibri"/>
          <w:b/>
          <w:bCs/>
          <w:sz w:val="28"/>
          <w:szCs w:val="28"/>
        </w:rPr>
        <w:t xml:space="preserve">2. Assigned SDG</w:t>
      </w:r>
    </w:p>
    <w:p>
      <w:pPr>
        <w:spacing w:after="120" w:line="276"/>
      </w:pPr>
      <w:r>
        <w:rPr>
          <w:rFonts w:ascii="Calibri" w:cs="Calibri" w:eastAsia="Calibri" w:hAnsi="Calibri"/>
          <w:sz w:val="22"/>
          <w:szCs w:val="22"/>
        </w:rPr>
        <w:t xml:space="preserve">Our project focuses on SDG 4, Quality Education, especially Target 4.5, which aims to ensure equal access to education for vulnerable groups. Official source: https://sdgs.un.org/goals/goal4</w:t>
      </w:r>
    </w:p>
    <w:p>
      <w:pPr>
        <w:pStyle w:val="Heading1"/>
        <w:spacing w:after="120" w:before="280"/>
      </w:pPr>
      <w:r>
        <w:rPr>
          <w:rFonts w:ascii="Calibri" w:cs="Calibri" w:eastAsia="Calibri" w:hAnsi="Calibri"/>
          <w:b/>
          <w:bCs/>
          <w:sz w:val="28"/>
          <w:szCs w:val="28"/>
        </w:rPr>
        <w:t xml:space="preserve">3. Problem We Want to Solve</w:t>
      </w:r>
    </w:p>
    <w:p>
      <w:pPr>
        <w:spacing w:after="120" w:line="276"/>
      </w:pPr>
      <w:r>
        <w:rPr>
          <w:rFonts w:ascii="Calibri" w:cs="Calibri" w:eastAsia="Calibri" w:hAnsi="Calibri"/>
          <w:sz w:val="22"/>
          <w:szCs w:val="22"/>
        </w:rPr>
        <w:t xml:space="preserve">In Türkiye, students who cannot attend school for a long period because of a medical condition may receive hospital-based or home-based education from the Ministry of National Education (MEB). Home education is regulated by Article 14 of the Special Education Services Regulation. It requires a health board report, the parents’ written request and the decision of the provincial or district special education services board (MEB, 2018). MEB guidance plans home education in weekly lesson hours that are shared across all subjects, at least about 10 hours per week at primary and lower-secondary level </w:t>
      </w:r>
      <w:r>
        <w:rPr>
          <w:rFonts w:ascii="Calibri" w:cs="Calibri" w:eastAsia="Calibri" w:hAnsi="Calibri"/>
          <w:sz w:val="22"/>
          <w:szCs w:val="22"/>
          <w:highlight w:val="yellow"/>
        </w:rPr>
        <w:t xml:space="preserve">[verify the exact figure in the regulation text]</w:t>
      </w:r>
      <w:r>
        <w:rPr>
          <w:rFonts w:ascii="Calibri" w:cs="Calibri" w:eastAsia="Calibri" w:hAnsi="Calibri"/>
          <w:sz w:val="22"/>
          <w:szCs w:val="22"/>
        </w:rPr>
        <w:t xml:space="preserve">. In hospitals, the hours depend on the child’s condition and the hospital’s circumstances. According to MEB, more than 11,000 students at all grade levels received home or hospital education in 2024 (MEB, 2024).</w:t>
      </w:r>
    </w:p>
    <w:p>
      <w:pPr>
        <w:spacing w:after="120" w:line="276"/>
      </w:pPr>
      <w:r>
        <w:rPr>
          <w:rFonts w:ascii="Calibri" w:cs="Calibri" w:eastAsia="Calibri" w:hAnsi="Calibri"/>
          <w:sz w:val="22"/>
          <w:szCs w:val="22"/>
        </w:rPr>
        <w:t xml:space="preserve">We do not claim that these students receive no education. Our hypothesis is that, because the hours are shared across all subjects, there is little time left for individual explanation of the specific questions a student cannot solve, especially in a high-stakes year such as the 8th grade (LGS), and that students have no continuous contact with a young tutor. We will test this hypothesis in interviews with parents and teachers during the first two weeks. </w:t>
      </w:r>
      <w:r>
        <w:rPr>
          <w:rFonts w:ascii="Calibri" w:cs="Calibri" w:eastAsia="Calibri" w:hAnsi="Calibri"/>
          <w:sz w:val="22"/>
          <w:szCs w:val="22"/>
          <w:highlight w:val="yellow"/>
        </w:rPr>
        <w:t xml:space="preserve">[confirm or revise after the interviews]</w:t>
      </w:r>
    </w:p>
    <w:p>
      <w:pPr>
        <w:spacing w:after="120" w:line="276"/>
      </w:pPr>
      <w:r>
        <w:rPr>
          <w:rFonts w:ascii="Calibri" w:cs="Calibri" w:eastAsia="Calibri" w:hAnsi="Calibri"/>
          <w:sz w:val="22"/>
          <w:szCs w:val="22"/>
        </w:rPr>
        <w:t xml:space="preserve">International evidence supports the need for extra support rather than only access to lessons. An umbrella review of 27 systematic reviews found that children with chronic health conditions have lower academic attainment, but school absence did not explain the gap in the studies that tested it. The authors conclude that policies that focus only on reducing absence, without additional support, are unlikely to help (Jay et al., 2023). A Turkish study similarly describes long-term illness as a risk for absenteeism and learning difficulties, and discusses the difficulty of returning to school (Yenel et al., 2021) </w:t>
      </w:r>
      <w:r>
        <w:rPr>
          <w:rFonts w:ascii="Calibri" w:cs="Calibri" w:eastAsia="Calibri" w:hAnsi="Calibri"/>
          <w:sz w:val="22"/>
          <w:szCs w:val="22"/>
          <w:highlight w:val="yellow"/>
        </w:rPr>
        <w:t xml:space="preserve">[verify full reference]</w:t>
      </w:r>
      <w:r>
        <w:rPr>
          <w:rFonts w:ascii="Calibri" w:cs="Calibri" w:eastAsia="Calibri" w:hAnsi="Calibri"/>
          <w:sz w:val="22"/>
          <w:szCs w:val="22"/>
        </w:rPr>
        <w:t xml:space="preserve">.</w:t>
      </w:r>
    </w:p>
    <w:p>
      <w:pPr>
        <w:spacing w:after="120" w:line="276"/>
      </w:pPr>
      <w:r>
        <w:rPr>
          <w:rFonts w:ascii="Calibri" w:cs="Calibri" w:eastAsia="Calibri" w:hAnsi="Calibri"/>
          <w:b/>
          <w:bCs/>
          <w:sz w:val="22"/>
          <w:szCs w:val="22"/>
        </w:rPr>
        <w:t xml:space="preserve">Target group. </w:t>
      </w:r>
      <w:r>
        <w:rPr>
          <w:rFonts w:ascii="Calibri" w:cs="Calibri" w:eastAsia="Calibri" w:hAnsi="Calibri"/>
          <w:sz w:val="22"/>
          <w:szCs w:val="22"/>
        </w:rPr>
        <w:t xml:space="preserve">To keep the project realistic, we focus on one group: 8th-grade students who cannot attend school for an extended period because of a medical condition. We chose the 8th grade because the cost of missed lessons is highest and easiest to measure in the year of the national high-school entrance exam (LGS). Because the total number of students receiving home or hospital education is only about 11,000 across all grades, the number of 8th-grade students is small. For this reason, our evaluation relies on interviews and a usability test rather than a large pilot.</w:t>
      </w:r>
    </w:p>
    <w:p>
      <w:pPr>
        <w:pStyle w:val="Heading1"/>
        <w:spacing w:after="120" w:before="280"/>
      </w:pPr>
      <w:r>
        <w:rPr>
          <w:rFonts w:ascii="Calibri" w:cs="Calibri" w:eastAsia="Calibri" w:hAnsi="Calibri"/>
          <w:b/>
          <w:bCs/>
          <w:sz w:val="28"/>
          <w:szCs w:val="28"/>
        </w:rPr>
        <w:t xml:space="preserve">4. Our Idea</w:t>
      </w:r>
    </w:p>
    <w:p>
      <w:pPr>
        <w:spacing w:after="120" w:line="276"/>
      </w:pPr>
      <w:r>
        <w:rPr>
          <w:rFonts w:ascii="Calibri" w:cs="Calibri" w:eastAsia="Calibri" w:hAnsi="Calibri"/>
          <w:sz w:val="22"/>
          <w:szCs w:val="22"/>
        </w:rPr>
        <w:t xml:space="preserve">Eğitim Köprüsü is a web platform for students who miss school for a long time. It does not create new lessons. It reuses existing free resources such as EBA and adds what those resources do not provide:</w:t>
      </w:r>
    </w:p>
    <w:p>
      <w:pPr>
        <w:pStyle w:val="ListParagraph"/>
        <w:numPr>
          <w:ilvl w:val="0"/>
          <w:numId w:val="2"/>
        </w:numPr>
        <w:spacing w:after="80" w:line="276"/>
      </w:pPr>
      <w:r>
        <w:rPr>
          <w:rFonts w:ascii="Calibri" w:cs="Calibri" w:eastAsia="Calibri" w:hAnsi="Calibri"/>
          <w:b/>
          <w:bCs/>
          <w:sz w:val="22"/>
          <w:szCs w:val="22"/>
        </w:rPr>
        <w:t xml:space="preserve">A personal catch-up plan.</w:t>
      </w:r>
      <w:r>
        <w:rPr>
          <w:rFonts w:ascii="Calibri" w:cs="Calibri" w:eastAsia="Calibri" w:hAnsi="Calibri"/>
          <w:sz w:val="22"/>
          <w:szCs w:val="22"/>
        </w:rPr>
        <w:t xml:space="preserve"> The student enters the weeks they missed. The platform lists the topics taught in those weeks, in order, and turns them into small daily goals (a short five-minute review or a full lesson, depending on the student’s energy that day).</w:t>
      </w:r>
    </w:p>
    <w:p>
      <w:pPr>
        <w:pStyle w:val="ListParagraph"/>
        <w:numPr>
          <w:ilvl w:val="0"/>
          <w:numId w:val="2"/>
        </w:numPr>
        <w:spacing w:after="80" w:line="276"/>
      </w:pPr>
      <w:r>
        <w:rPr>
          <w:rFonts w:ascii="Calibri" w:cs="Calibri" w:eastAsia="Calibri" w:hAnsi="Calibri"/>
          <w:b/>
          <w:bCs/>
          <w:sz w:val="22"/>
          <w:szCs w:val="22"/>
        </w:rPr>
        <w:t xml:space="preserve">Question support.</w:t>
      </w:r>
      <w:r>
        <w:rPr>
          <w:rFonts w:ascii="Calibri" w:cs="Calibri" w:eastAsia="Calibri" w:hAnsi="Calibri"/>
          <w:sz w:val="22"/>
          <w:szCs w:val="22"/>
        </w:rPr>
        <w:t xml:space="preserve"> The student sends a photo of a question they could not solve, and a volunteer explains it step by step.</w:t>
      </w:r>
    </w:p>
    <w:p>
      <w:pPr>
        <w:pStyle w:val="ListParagraph"/>
        <w:numPr>
          <w:ilvl w:val="0"/>
          <w:numId w:val="2"/>
        </w:numPr>
        <w:spacing w:after="80" w:line="276"/>
      </w:pPr>
      <w:r>
        <w:rPr>
          <w:rFonts w:ascii="Calibri" w:cs="Calibri" w:eastAsia="Calibri" w:hAnsi="Calibri"/>
          <w:b/>
          <w:bCs/>
          <w:sz w:val="22"/>
          <w:szCs w:val="22"/>
        </w:rPr>
        <w:t xml:space="preserve">One-to-one sessions.</w:t>
      </w:r>
      <w:r>
        <w:rPr>
          <w:rFonts w:ascii="Calibri" w:cs="Calibri" w:eastAsia="Calibri" w:hAnsi="Calibri"/>
          <w:sz w:val="22"/>
          <w:szCs w:val="22"/>
        </w:rPr>
        <w:t xml:space="preserve"> The student meets the same volunteer for scheduled sessions. To keep the prototype simple, sessions use an existing video tool (Google Meet or Zoom) instead of a custom video system.</w:t>
      </w:r>
    </w:p>
    <w:p>
      <w:pPr>
        <w:spacing w:after="120" w:line="276"/>
      </w:pPr>
      <w:r>
        <w:rPr>
          <w:rFonts w:ascii="Calibri" w:cs="Calibri" w:eastAsia="Calibri" w:hAnsi="Calibri"/>
          <w:b/>
          <w:bCs/>
          <w:sz w:val="22"/>
          <w:szCs w:val="22"/>
        </w:rPr>
        <w:t xml:space="preserve">Minimum viable prototype. </w:t>
      </w:r>
      <w:r>
        <w:rPr>
          <w:rFonts w:ascii="Calibri" w:cs="Calibri" w:eastAsia="Calibri" w:hAnsi="Calibri"/>
          <w:sz w:val="22"/>
          <w:szCs w:val="22"/>
        </w:rPr>
        <w:t xml:space="preserve">The prototype covers one grade (8th) and one subject (Mathematics). Other grades and subjects are future work.</w:t>
      </w:r>
    </w:p>
    <w:p>
      <w:pPr>
        <w:pStyle w:val="Heading1"/>
        <w:spacing w:after="120" w:before="280"/>
      </w:pPr>
      <w:r>
        <w:rPr>
          <w:rFonts w:ascii="Calibri" w:cs="Calibri" w:eastAsia="Calibri" w:hAnsi="Calibri"/>
          <w:b/>
          <w:bCs/>
          <w:sz w:val="28"/>
          <w:szCs w:val="28"/>
        </w:rPr>
        <w:t xml:space="preserve">5. Who Will Benefit?</w:t>
      </w:r>
    </w:p>
    <w:p>
      <w:pPr>
        <w:spacing w:after="120" w:line="276"/>
      </w:pPr>
      <w:r>
        <w:rPr>
          <w:rFonts w:ascii="Calibri" w:cs="Calibri" w:eastAsia="Calibri" w:hAnsi="Calibri"/>
          <w:sz w:val="22"/>
          <w:szCs w:val="22"/>
        </w:rPr>
        <w:t xml:space="preserve">The main beneficiaries are 8th-grade students who cannot attend school regularly for a long period because of a medical condition. Secondary beneficiaries are their parents, who create and supervise the student’s account, and volunteer university students, who gain tutoring experience through service learning.</w:t>
      </w:r>
    </w:p>
    <w:p>
      <w:pPr>
        <w:pStyle w:val="Heading1"/>
        <w:spacing w:after="120" w:before="280"/>
      </w:pPr>
      <w:r>
        <w:rPr>
          <w:rFonts w:ascii="Calibri" w:cs="Calibri" w:eastAsia="Calibri" w:hAnsi="Calibri"/>
          <w:b/>
          <w:bCs/>
          <w:sz w:val="28"/>
          <w:szCs w:val="28"/>
        </w:rPr>
        <w:t xml:space="preserve">6. Tutor Model</w:t>
      </w:r>
    </w:p>
    <w:p>
      <w:pPr>
        <w:pStyle w:val="ListParagraph"/>
        <w:numPr>
          <w:ilvl w:val="0"/>
          <w:numId w:val="2"/>
        </w:numPr>
        <w:spacing w:after="80" w:line="276"/>
      </w:pPr>
      <w:r>
        <w:rPr>
          <w:rFonts w:ascii="Calibri" w:cs="Calibri" w:eastAsia="Calibri" w:hAnsi="Calibri"/>
          <w:b/>
          <w:bCs/>
          <w:sz w:val="22"/>
          <w:szCs w:val="22"/>
        </w:rPr>
        <w:t xml:space="preserve">Who the tutors are:</w:t>
      </w:r>
      <w:r>
        <w:rPr>
          <w:rFonts w:ascii="Calibri" w:cs="Calibri" w:eastAsia="Calibri" w:hAnsi="Calibri"/>
          <w:sz w:val="22"/>
          <w:szCs w:val="22"/>
        </w:rPr>
        <w:t xml:space="preserve"> University students from mathematics teaching and other education-related programmes.</w:t>
      </w:r>
    </w:p>
    <w:p>
      <w:pPr>
        <w:pStyle w:val="ListParagraph"/>
        <w:numPr>
          <w:ilvl w:val="0"/>
          <w:numId w:val="2"/>
        </w:numPr>
        <w:spacing w:after="80" w:line="276"/>
      </w:pPr>
      <w:r>
        <w:rPr>
          <w:rFonts w:ascii="Calibri" w:cs="Calibri" w:eastAsia="Calibri" w:hAnsi="Calibri"/>
          <w:b/>
          <w:bCs/>
          <w:sz w:val="22"/>
          <w:szCs w:val="22"/>
        </w:rPr>
        <w:t xml:space="preserve">How they are selected:</w:t>
      </w:r>
      <w:r>
        <w:rPr>
          <w:rFonts w:ascii="Calibri" w:cs="Calibri" w:eastAsia="Calibri" w:hAnsi="Calibri"/>
          <w:sz w:val="22"/>
          <w:szCs w:val="22"/>
        </w:rPr>
        <w:t xml:space="preserve"> Volunteers apply with a university e-mail address and a student certificate, complete a short training on communicating with children and on the platform’s safety rules, and are approved by an administrator.</w:t>
      </w:r>
    </w:p>
    <w:p>
      <w:pPr>
        <w:pStyle w:val="ListParagraph"/>
        <w:numPr>
          <w:ilvl w:val="0"/>
          <w:numId w:val="2"/>
        </w:numPr>
        <w:spacing w:after="80" w:line="276"/>
      </w:pPr>
      <w:r>
        <w:rPr>
          <w:rFonts w:ascii="Calibri" w:cs="Calibri" w:eastAsia="Calibri" w:hAnsi="Calibri"/>
          <w:b/>
          <w:bCs/>
          <w:sz w:val="22"/>
          <w:szCs w:val="22"/>
        </w:rPr>
        <w:t xml:space="preserve">How support is given:</w:t>
      </w:r>
      <w:r>
        <w:rPr>
          <w:rFonts w:ascii="Calibri" w:cs="Calibri" w:eastAsia="Calibri" w:hAnsi="Calibri"/>
          <w:sz w:val="22"/>
          <w:szCs w:val="22"/>
        </w:rPr>
        <w:t xml:space="preserve"> Each volunteer works with the same student, in one or two sessions per week of 30–40 minutes. One-to-one support is the main model. Small groups of two to three students at the same level are a possible extension.</w:t>
      </w:r>
    </w:p>
    <w:p>
      <w:pPr>
        <w:pStyle w:val="ListParagraph"/>
        <w:numPr>
          <w:ilvl w:val="0"/>
          <w:numId w:val="2"/>
        </w:numPr>
        <w:spacing w:after="80" w:line="276"/>
      </w:pPr>
      <w:r>
        <w:rPr>
          <w:rFonts w:ascii="Calibri" w:cs="Calibri" w:eastAsia="Calibri" w:hAnsi="Calibri"/>
          <w:b/>
          <w:bCs/>
          <w:sz w:val="22"/>
          <w:szCs w:val="22"/>
        </w:rPr>
        <w:t xml:space="preserve">Supervision:</w:t>
      </w:r>
      <w:r>
        <w:rPr>
          <w:rFonts w:ascii="Calibri" w:cs="Calibri" w:eastAsia="Calibri" w:hAnsi="Calibri"/>
          <w:sz w:val="22"/>
          <w:szCs w:val="22"/>
        </w:rPr>
        <w:t xml:space="preserve"> Parents create the student’s account, can read every message and can join any session. All communication stays inside the platform. </w:t>
      </w:r>
      <w:r>
        <w:rPr>
          <w:rFonts w:ascii="Calibri" w:cs="Calibri" w:eastAsia="Calibri" w:hAnsi="Calibri"/>
          <w:sz w:val="22"/>
          <w:szCs w:val="22"/>
          <w:highlight w:val="yellow"/>
        </w:rPr>
        <w:t xml:space="preserve">[decision needed: name of the supervising academic or institution]</w:t>
      </w:r>
    </w:p>
    <w:p>
      <w:pPr>
        <w:pStyle w:val="ListParagraph"/>
        <w:numPr>
          <w:ilvl w:val="0"/>
          <w:numId w:val="2"/>
        </w:numPr>
        <w:spacing w:after="80" w:line="276"/>
      </w:pPr>
      <w:r>
        <w:rPr>
          <w:rFonts w:ascii="Calibri" w:cs="Calibri" w:eastAsia="Calibri" w:hAnsi="Calibri"/>
          <w:b/>
          <w:bCs/>
          <w:sz w:val="22"/>
          <w:szCs w:val="22"/>
        </w:rPr>
        <w:t xml:space="preserve">Role of psychology:</w:t>
      </w:r>
      <w:r>
        <w:rPr>
          <w:rFonts w:ascii="Calibri" w:cs="Calibri" w:eastAsia="Calibri" w:hAnsi="Calibri"/>
          <w:sz w:val="22"/>
          <w:szCs w:val="22"/>
        </w:rPr>
        <w:t xml:space="preserve"> Our psychology students prepare the tutor training and the communication guidelines, and evaluate user feedback.</w:t>
      </w:r>
    </w:p>
    <w:p>
      <w:pPr>
        <w:pStyle w:val="Heading1"/>
        <w:spacing w:after="120" w:before="280"/>
      </w:pPr>
      <w:r>
        <w:rPr>
          <w:rFonts w:ascii="Calibri" w:cs="Calibri" w:eastAsia="Calibri" w:hAnsi="Calibri"/>
          <w:b/>
          <w:bCs/>
          <w:sz w:val="28"/>
          <w:szCs w:val="28"/>
        </w:rPr>
        <w:t xml:space="preserve">7. How We Differ from Existing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2350"/>
        <w:gridCol w:w="3026"/>
      </w:tblGrid>
      <w:tr>
        <w:trPr>
          <w:cantSplit/>
          <w:tblHeader/>
        </w:trPr>
        <w:tc>
          <w:tcPr>
            <w:tcW w:type="dxa" w:w="1500"/>
            <w:tcBorders>
              <w:top w:val="single" w:color="A6A6A6" w:sz="4"/>
              <w:left w:val="single" w:color="A6A6A6" w:sz="4"/>
              <w:bottom w:val="single" w:color="A6A6A6" w:sz="4"/>
              <w:right w:val="single" w:color="A6A6A6" w:sz="4"/>
            </w:tcBorders>
            <w:shd w:fill="E7ECF6" w:color="auto" w:val="clear"/>
            <w:tcMar>
              <w:top w:type="dxa" w:w="80"/>
              <w:left w:type="dxa" w:w="100"/>
              <w:bottom w:type="dxa" w:w="80"/>
              <w:right w:type="dxa" w:w="100"/>
            </w:tcMar>
          </w:tcPr>
          <w:p>
            <w:pPr>
              <w:spacing w:after="0" w:line="259"/>
            </w:pPr>
          </w:p>
        </w:tc>
        <w:tc>
          <w:tcPr>
            <w:tcW w:type="dxa" w:w="2150"/>
            <w:tcBorders>
              <w:top w:val="single" w:color="A6A6A6" w:sz="4"/>
              <w:left w:val="single" w:color="A6A6A6" w:sz="4"/>
              <w:bottom w:val="single" w:color="A6A6A6" w:sz="4"/>
              <w:right w:val="single" w:color="A6A6A6" w:sz="4"/>
            </w:tcBorders>
            <w:shd w:fill="E7ECF6" w:color="auto" w:val="clear"/>
            <w:tcMar>
              <w:top w:type="dxa" w:w="80"/>
              <w:left w:type="dxa" w:w="100"/>
              <w:bottom w:type="dxa" w:w="80"/>
              <w:right w:type="dxa" w:w="100"/>
            </w:tcMar>
          </w:tcPr>
          <w:p>
            <w:pPr>
              <w:spacing w:after="0" w:line="259"/>
            </w:pPr>
            <w:r>
              <w:rPr>
                <w:rFonts w:ascii="Calibri" w:cs="Calibri" w:eastAsia="Calibri" w:hAnsi="Calibri"/>
                <w:b/>
                <w:bCs/>
                <w:sz w:val="22"/>
                <w:szCs w:val="22"/>
              </w:rPr>
              <w:t xml:space="preserve">EBA</w:t>
            </w:r>
          </w:p>
        </w:tc>
        <w:tc>
          <w:tcPr>
            <w:tcW w:type="dxa" w:w="2350"/>
            <w:tcBorders>
              <w:top w:val="single" w:color="A6A6A6" w:sz="4"/>
              <w:left w:val="single" w:color="A6A6A6" w:sz="4"/>
              <w:bottom w:val="single" w:color="A6A6A6" w:sz="4"/>
              <w:right w:val="single" w:color="A6A6A6" w:sz="4"/>
            </w:tcBorders>
            <w:shd w:fill="E7ECF6" w:color="auto" w:val="clear"/>
            <w:tcMar>
              <w:top w:type="dxa" w:w="80"/>
              <w:left w:type="dxa" w:w="100"/>
              <w:bottom w:type="dxa" w:w="80"/>
              <w:right w:type="dxa" w:w="100"/>
            </w:tcMar>
          </w:tcPr>
          <w:p>
            <w:pPr>
              <w:spacing w:after="0" w:line="259"/>
            </w:pPr>
            <w:r>
              <w:rPr>
                <w:rFonts w:ascii="Calibri" w:cs="Calibri" w:eastAsia="Calibri" w:hAnsi="Calibri"/>
                <w:b/>
                <w:bCs/>
                <w:sz w:val="22"/>
                <w:szCs w:val="22"/>
              </w:rPr>
              <w:t xml:space="preserve">MEB hospital and home education</w:t>
            </w:r>
          </w:p>
        </w:tc>
        <w:tc>
          <w:tcPr>
            <w:tcW w:type="dxa" w:w="3026"/>
            <w:tcBorders>
              <w:top w:val="single" w:color="A6A6A6" w:sz="4"/>
              <w:left w:val="single" w:color="A6A6A6" w:sz="4"/>
              <w:bottom w:val="single" w:color="A6A6A6" w:sz="4"/>
              <w:right w:val="single" w:color="A6A6A6" w:sz="4"/>
            </w:tcBorders>
            <w:shd w:fill="E7ECF6" w:color="auto" w:val="clear"/>
            <w:tcMar>
              <w:top w:type="dxa" w:w="80"/>
              <w:left w:type="dxa" w:w="100"/>
              <w:bottom w:type="dxa" w:w="80"/>
              <w:right w:type="dxa" w:w="100"/>
            </w:tcMar>
          </w:tcPr>
          <w:p>
            <w:pPr>
              <w:spacing w:after="0" w:line="259"/>
            </w:pPr>
            <w:r>
              <w:rPr>
                <w:rFonts w:ascii="Calibri" w:cs="Calibri" w:eastAsia="Calibri" w:hAnsi="Calibri"/>
                <w:b/>
                <w:bCs/>
                <w:sz w:val="22"/>
                <w:szCs w:val="22"/>
              </w:rPr>
              <w:t xml:space="preserve">Eğitim Köprüsü</w:t>
            </w:r>
          </w:p>
        </w:tc>
      </w:tr>
      <w:tr>
        <w:trPr>
          <w:cantSplit/>
          <w:tblHeader w:val="off"/>
        </w:trPr>
        <w:tc>
          <w:tcPr>
            <w:tcW w:type="dxa" w:w="15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Content</w:t>
            </w:r>
          </w:p>
        </w:tc>
        <w:tc>
          <w:tcPr>
            <w:tcW w:type="dxa" w:w="215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Ready lessons for all students</w:t>
            </w:r>
          </w:p>
        </w:tc>
        <w:tc>
          <w:tcPr>
            <w:tcW w:type="dxa" w:w="235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A teacher at home or in hospital; lesson hours are planned across all subjects</w:t>
            </w:r>
          </w:p>
        </w:tc>
        <w:tc>
          <w:tcPr>
            <w:tcW w:type="dxa" w:w="3026"/>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Reuses existing resources; orders them by the weeks the student missed</w:t>
            </w:r>
          </w:p>
        </w:tc>
      </w:tr>
      <w:tr>
        <w:trPr>
          <w:cantSplit/>
          <w:tblHeader w:val="off"/>
        </w:trPr>
        <w:tc>
          <w:tcPr>
            <w:tcW w:type="dxa" w:w="15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Personal support</w:t>
            </w:r>
          </w:p>
        </w:tc>
        <w:tc>
          <w:tcPr>
            <w:tcW w:type="dxa" w:w="215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No direct interaction</w:t>
            </w:r>
          </w:p>
        </w:tc>
        <w:tc>
          <w:tcPr>
            <w:tcW w:type="dxa" w:w="235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Limited by the hours available for each subject (to be confirmed in interviews)</w:t>
            </w:r>
          </w:p>
        </w:tc>
        <w:tc>
          <w:tcPr>
            <w:tcW w:type="dxa" w:w="3026"/>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The same volunteer, one-to-one and continuous</w:t>
            </w:r>
          </w:p>
        </w:tc>
      </w:tr>
      <w:tr>
        <w:trPr>
          <w:cantSplit/>
          <w:tblHeader w:val="off"/>
        </w:trPr>
        <w:tc>
          <w:tcPr>
            <w:tcW w:type="dxa" w:w="15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Flexibility</w:t>
            </w:r>
          </w:p>
        </w:tc>
        <w:tc>
          <w:tcPr>
            <w:tcW w:type="dxa" w:w="215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Follows the school calendar</w:t>
            </w:r>
          </w:p>
        </w:tc>
        <w:tc>
          <w:tcPr>
            <w:tcW w:type="dxa" w:w="235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Fixed schedule</w:t>
            </w:r>
          </w:p>
        </w:tc>
        <w:tc>
          <w:tcPr>
            <w:tcW w:type="dxa" w:w="3026"/>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Short sessions and a five-minute option for low-energy days</w:t>
            </w:r>
          </w:p>
        </w:tc>
      </w:tr>
      <w:tr>
        <w:trPr>
          <w:cantSplit/>
          <w:tblHeader w:val="off"/>
        </w:trPr>
        <w:tc>
          <w:tcPr>
            <w:tcW w:type="dxa" w:w="15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Return to school</w:t>
            </w:r>
          </w:p>
        </w:tc>
        <w:tc>
          <w:tcPr>
            <w:tcW w:type="dxa" w:w="215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No special process</w:t>
            </w:r>
          </w:p>
        </w:tc>
        <w:tc>
          <w:tcPr>
            <w:tcW w:type="dxa" w:w="235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No special process</w:t>
            </w:r>
          </w:p>
        </w:tc>
        <w:tc>
          <w:tcPr>
            <w:tcW w:type="dxa" w:w="3026"/>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A summary of completed and missing topics for the school teacher (future work, with parental consent)</w:t>
            </w:r>
          </w:p>
        </w:tc>
      </w:tr>
    </w:tbl>
    <w:p>
      <w:pPr>
        <w:spacing w:after="120"/>
      </w:pPr>
    </w:p>
    <w:p>
      <w:pPr>
        <w:spacing w:after="120" w:line="276"/>
      </w:pPr>
      <w:r>
        <w:rPr>
          <w:rFonts w:ascii="Calibri" w:cs="Calibri" w:eastAsia="Calibri" w:hAnsi="Calibri"/>
          <w:sz w:val="22"/>
          <w:szCs w:val="22"/>
        </w:rPr>
        <w:t xml:space="preserve">In short, EBA gives content; we organise that content for one student’s missed weeks and add a human who follows the student over time.</w:t>
      </w:r>
    </w:p>
    <w:p>
      <w:pPr>
        <w:pStyle w:val="Heading1"/>
        <w:spacing w:after="120" w:before="280"/>
      </w:pPr>
      <w:r>
        <w:rPr>
          <w:rFonts w:ascii="Calibri" w:cs="Calibri" w:eastAsia="Calibri" w:hAnsi="Calibri"/>
          <w:b/>
          <w:bCs/>
          <w:sz w:val="28"/>
          <w:szCs w:val="28"/>
        </w:rPr>
        <w:t xml:space="preserve">8. Contributions of Each Discipline</w:t>
      </w:r>
    </w:p>
    <w:p>
      <w:pPr>
        <w:spacing w:after="120" w:line="276"/>
      </w:pPr>
      <w:r>
        <w:rPr>
          <w:rFonts w:ascii="Calibri" w:cs="Calibri" w:eastAsia="Calibri" w:hAnsi="Calibri"/>
          <w:sz w:val="22"/>
          <w:szCs w:val="22"/>
        </w:rPr>
        <w:t xml:space="preserve">The psychology students, Pınar Bal and Özlem Bayraklı, will review the literature on the target group, conduct two or three interviews with parents or teachers, prepare the tutor training and communication guidelines, consider accessibility and child-friendly language, and evaluate user feedback. The computer engineering students, Ali Bayraktar and Alisahib Mammadov, will focus on the technical design and development of the platform. All team members will contribute to planning, testing and improving the prototype.</w:t>
      </w:r>
    </w:p>
    <w:p>
      <w:pPr>
        <w:pStyle w:val="Heading1"/>
        <w:spacing w:after="120" w:before="280"/>
      </w:pPr>
      <w:r>
        <w:rPr>
          <w:rFonts w:ascii="Calibri" w:cs="Calibri" w:eastAsia="Calibri" w:hAnsi="Calibri"/>
          <w:b/>
          <w:bCs/>
          <w:sz w:val="28"/>
          <w:szCs w:val="28"/>
        </w:rPr>
        <w:t xml:space="preserve">9. Scope and Eight-Week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A6A6A6" w:sz="4"/>
              <w:left w:val="single" w:color="A6A6A6" w:sz="4"/>
              <w:bottom w:val="single" w:color="A6A6A6" w:sz="4"/>
              <w:right w:val="single" w:color="A6A6A6" w:sz="4"/>
            </w:tcBorders>
            <w:shd w:fill="E7ECF6" w:color="auto" w:val="clear"/>
            <w:tcMar>
              <w:top w:type="dxa" w:w="80"/>
              <w:left w:type="dxa" w:w="100"/>
              <w:bottom w:type="dxa" w:w="80"/>
              <w:right w:type="dxa" w:w="100"/>
            </w:tcMar>
          </w:tcPr>
          <w:p>
            <w:pPr>
              <w:spacing w:after="0" w:line="259"/>
            </w:pPr>
            <w:r>
              <w:rPr>
                <w:rFonts w:ascii="Calibri" w:cs="Calibri" w:eastAsia="Calibri" w:hAnsi="Calibri"/>
                <w:b/>
                <w:bCs/>
                <w:sz w:val="22"/>
                <w:szCs w:val="22"/>
              </w:rPr>
              <w:t xml:space="preserve">Weeks</w:t>
            </w:r>
          </w:p>
        </w:tc>
        <w:tc>
          <w:tcPr>
            <w:tcW w:type="dxa" w:w="7526"/>
            <w:tcBorders>
              <w:top w:val="single" w:color="A6A6A6" w:sz="4"/>
              <w:left w:val="single" w:color="A6A6A6" w:sz="4"/>
              <w:bottom w:val="single" w:color="A6A6A6" w:sz="4"/>
              <w:right w:val="single" w:color="A6A6A6" w:sz="4"/>
            </w:tcBorders>
            <w:shd w:fill="E7ECF6" w:color="auto" w:val="clear"/>
            <w:tcMar>
              <w:top w:type="dxa" w:w="80"/>
              <w:left w:type="dxa" w:w="100"/>
              <w:bottom w:type="dxa" w:w="80"/>
              <w:right w:type="dxa" w:w="100"/>
            </w:tcMar>
          </w:tcPr>
          <w:p>
            <w:pPr>
              <w:spacing w:after="0" w:line="259"/>
            </w:pPr>
            <w:r>
              <w:rPr>
                <w:rFonts w:ascii="Calibri" w:cs="Calibri" w:eastAsia="Calibri" w:hAnsi="Calibri"/>
                <w:b/>
                <w:bCs/>
                <w:sz w:val="22"/>
                <w:szCs w:val="22"/>
              </w:rPr>
              <w:t xml:space="preserve">Activities</w:t>
            </w:r>
          </w:p>
        </w:tc>
      </w:tr>
      <w:tr>
        <w:trPr>
          <w:cantSplit/>
          <w:tblHeader w:val="off"/>
        </w:trPr>
        <w:tc>
          <w:tcPr>
            <w:tcW w:type="dxa" w:w="15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1–2</w:t>
            </w:r>
          </w:p>
        </w:tc>
        <w:tc>
          <w:tcPr>
            <w:tcW w:type="dxa" w:w="7526"/>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Literature review and two or three interviews; requirements for the 8th-grade Mathematics prototype</w:t>
            </w:r>
          </w:p>
        </w:tc>
      </w:tr>
      <w:tr>
        <w:trPr>
          <w:cantSplit/>
          <w:tblHeader w:val="off"/>
        </w:trPr>
        <w:tc>
          <w:tcPr>
            <w:tcW w:type="dxa" w:w="15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3–5</w:t>
            </w:r>
          </w:p>
        </w:tc>
        <w:tc>
          <w:tcPr>
            <w:tcW w:type="dxa" w:w="7526"/>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Core prototype: accounts, catch-up plan, photo questions, session scheduling</w:t>
            </w:r>
          </w:p>
        </w:tc>
      </w:tr>
      <w:tr>
        <w:trPr>
          <w:cantSplit/>
          <w:tblHeader w:val="off"/>
        </w:trPr>
        <w:tc>
          <w:tcPr>
            <w:tcW w:type="dxa" w:w="15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6</w:t>
            </w:r>
          </w:p>
        </w:tc>
        <w:tc>
          <w:tcPr>
            <w:tcW w:type="dxa" w:w="7526"/>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Safety and accessibility checks (screen reader, text size, high contrast)</w:t>
            </w:r>
          </w:p>
        </w:tc>
      </w:tr>
      <w:tr>
        <w:trPr>
          <w:cantSplit/>
          <w:tblHeader w:val="off"/>
        </w:trPr>
        <w:tc>
          <w:tcPr>
            <w:tcW w:type="dxa" w:w="15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7</w:t>
            </w:r>
          </w:p>
        </w:tc>
        <w:tc>
          <w:tcPr>
            <w:tcW w:type="dxa" w:w="7526"/>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Usability test with five to eight participants, such as parents, teachers and university students acting as tutors</w:t>
            </w:r>
          </w:p>
        </w:tc>
      </w:tr>
      <w:tr>
        <w:trPr>
          <w:cantSplit/>
          <w:tblHeader w:val="off"/>
        </w:trPr>
        <w:tc>
          <w:tcPr>
            <w:tcW w:type="dxa" w:w="1500"/>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8</w:t>
            </w:r>
          </w:p>
        </w:tc>
        <w:tc>
          <w:tcPr>
            <w:tcW w:type="dxa" w:w="7526"/>
            <w:tcBorders>
              <w:top w:val="single" w:color="A6A6A6" w:sz="4"/>
              <w:left w:val="single" w:color="A6A6A6" w:sz="4"/>
              <w:bottom w:val="single" w:color="A6A6A6" w:sz="4"/>
              <w:right w:val="single" w:color="A6A6A6" w:sz="4"/>
            </w:tcBorders>
            <w:tcMar>
              <w:top w:type="dxa" w:w="80"/>
              <w:left w:type="dxa" w:w="100"/>
              <w:bottom w:type="dxa" w:w="80"/>
              <w:right w:type="dxa" w:w="100"/>
            </w:tcMar>
          </w:tcPr>
          <w:p>
            <w:pPr>
              <w:spacing w:after="0" w:line="259"/>
            </w:pPr>
            <w:r>
              <w:rPr>
                <w:rFonts w:ascii="Calibri" w:cs="Calibri" w:eastAsia="Calibri" w:hAnsi="Calibri"/>
                <w:sz w:val="22"/>
                <w:szCs w:val="22"/>
              </w:rPr>
              <w:t xml:space="preserve">Improvements, final report and presentation</w:t>
            </w:r>
          </w:p>
        </w:tc>
      </w:tr>
    </w:tbl>
    <w:p>
      <w:pPr>
        <w:spacing w:after="120"/>
      </w:pPr>
    </w:p>
    <w:p>
      <w:pPr>
        <w:spacing w:after="120" w:line="276"/>
      </w:pPr>
      <w:r>
        <w:rPr>
          <w:rFonts w:ascii="Calibri" w:cs="Calibri" w:eastAsia="Calibri" w:hAnsi="Calibri"/>
          <w:b/>
          <w:bCs/>
          <w:sz w:val="22"/>
          <w:szCs w:val="22"/>
        </w:rPr>
        <w:t xml:space="preserve">Out of scope for this project: </w:t>
      </w:r>
      <w:r>
        <w:rPr>
          <w:rFonts w:ascii="Calibri" w:cs="Calibri" w:eastAsia="Calibri" w:hAnsi="Calibri"/>
          <w:sz w:val="22"/>
          <w:szCs w:val="22"/>
        </w:rPr>
        <w:t xml:space="preserve">other grades and subjects, automatic matching of students and volunteers, voice answers, notifications, offline use and a resource library (we link to EBA).</w:t>
      </w:r>
    </w:p>
    <w:p>
      <w:pPr>
        <w:pStyle w:val="Heading1"/>
        <w:spacing w:after="120" w:before="280"/>
      </w:pPr>
      <w:r>
        <w:rPr>
          <w:rFonts w:ascii="Calibri" w:cs="Calibri" w:eastAsia="Calibri" w:hAnsi="Calibri"/>
          <w:b/>
          <w:bCs/>
          <w:sz w:val="28"/>
          <w:szCs w:val="28"/>
        </w:rPr>
        <w:t xml:space="preserve">10. Safety, Ethics and Accessibility</w:t>
      </w:r>
    </w:p>
    <w:p>
      <w:pPr>
        <w:pStyle w:val="ListParagraph"/>
        <w:numPr>
          <w:ilvl w:val="0"/>
          <w:numId w:val="2"/>
        </w:numPr>
        <w:spacing w:after="80" w:line="276"/>
      </w:pPr>
      <w:r>
        <w:rPr>
          <w:rFonts w:ascii="Calibri" w:cs="Calibri" w:eastAsia="Calibri" w:hAnsi="Calibri"/>
          <w:b/>
          <w:bCs/>
          <w:sz w:val="22"/>
          <w:szCs w:val="22"/>
        </w:rPr>
        <w:t xml:space="preserve">Data minimisation:</w:t>
      </w:r>
      <w:r>
        <w:rPr>
          <w:rFonts w:ascii="Calibri" w:cs="Calibri" w:eastAsia="Calibri" w:hAnsi="Calibri"/>
          <w:sz w:val="22"/>
          <w:szCs w:val="22"/>
        </w:rPr>
        <w:t xml:space="preserve"> The platform does not ask for or store any diagnosis or health information. It only asks which weeks of school were missed, not why.</w:t>
      </w:r>
    </w:p>
    <w:p>
      <w:pPr>
        <w:pStyle w:val="ListParagraph"/>
        <w:numPr>
          <w:ilvl w:val="0"/>
          <w:numId w:val="2"/>
        </w:numPr>
        <w:spacing w:after="80" w:line="276"/>
      </w:pPr>
      <w:r>
        <w:rPr>
          <w:rFonts w:ascii="Calibri" w:cs="Calibri" w:eastAsia="Calibri" w:hAnsi="Calibri"/>
          <w:b/>
          <w:bCs/>
          <w:sz w:val="22"/>
          <w:szCs w:val="22"/>
        </w:rPr>
        <w:t xml:space="preserve">Child safety:</w:t>
      </w:r>
      <w:r>
        <w:rPr>
          <w:rFonts w:ascii="Calibri" w:cs="Calibri" w:eastAsia="Calibri" w:hAnsi="Calibri"/>
          <w:sz w:val="22"/>
          <w:szCs w:val="22"/>
        </w:rPr>
        <w:t xml:space="preserve"> Parents create the child’s account and give consent (implemented). Volunteers will be verified by an administrator before they can contact a student, and messages will be filtered so that phone numbers and social media addresses cannot be shared (planned).</w:t>
      </w:r>
    </w:p>
    <w:p>
      <w:pPr>
        <w:pStyle w:val="ListParagraph"/>
        <w:numPr>
          <w:ilvl w:val="0"/>
          <w:numId w:val="2"/>
        </w:numPr>
        <w:spacing w:after="80" w:line="276"/>
      </w:pPr>
      <w:r>
        <w:rPr>
          <w:rFonts w:ascii="Calibri" w:cs="Calibri" w:eastAsia="Calibri" w:hAnsi="Calibri"/>
          <w:b/>
          <w:bCs/>
          <w:sz w:val="22"/>
          <w:szCs w:val="22"/>
        </w:rPr>
        <w:t xml:space="preserve">Privacy:</w:t>
      </w:r>
      <w:r>
        <w:rPr>
          <w:rFonts w:ascii="Calibri" w:cs="Calibri" w:eastAsia="Calibri" w:hAnsi="Calibri"/>
          <w:sz w:val="22"/>
          <w:szCs w:val="22"/>
        </w:rPr>
        <w:t xml:space="preserve"> Personal data is processed in line with the Turkish Personal Data Protection Law (KVKK). Before any real use with children, the legal texts will be reviewed by a lawyer and ethics approval will be sought if required.</w:t>
      </w:r>
    </w:p>
    <w:p>
      <w:pPr>
        <w:pStyle w:val="ListParagraph"/>
        <w:numPr>
          <w:ilvl w:val="0"/>
          <w:numId w:val="2"/>
        </w:numPr>
        <w:spacing w:after="80" w:line="276"/>
      </w:pPr>
      <w:r>
        <w:rPr>
          <w:rFonts w:ascii="Calibri" w:cs="Calibri" w:eastAsia="Calibri" w:hAnsi="Calibri"/>
          <w:b/>
          <w:bCs/>
          <w:sz w:val="22"/>
          <w:szCs w:val="22"/>
        </w:rPr>
        <w:t xml:space="preserve">Accessibility:</w:t>
      </w:r>
      <w:r>
        <w:rPr>
          <w:rFonts w:ascii="Calibri" w:cs="Calibri" w:eastAsia="Calibri" w:hAnsi="Calibri"/>
          <w:sz w:val="22"/>
          <w:szCs w:val="22"/>
        </w:rPr>
        <w:t xml:space="preserve"> Screen reader support, adjustable text size, high-contrast themes and a low-bandwidth friendly design.</w:t>
      </w:r>
    </w:p>
    <w:p>
      <w:pPr>
        <w:pStyle w:val="Heading1"/>
        <w:spacing w:after="120" w:before="280"/>
      </w:pPr>
      <w:r>
        <w:rPr>
          <w:rFonts w:ascii="Calibri" w:cs="Calibri" w:eastAsia="Calibri" w:hAnsi="Calibri"/>
          <w:b/>
          <w:bCs/>
          <w:sz w:val="28"/>
          <w:szCs w:val="28"/>
        </w:rPr>
        <w:t xml:space="preserve">11. Current Status and Tools</w:t>
      </w:r>
    </w:p>
    <w:p>
      <w:pPr>
        <w:spacing w:after="120" w:line="276"/>
      </w:pPr>
      <w:r>
        <w:rPr>
          <w:rFonts w:ascii="Calibri" w:cs="Calibri" w:eastAsia="Calibri" w:hAnsi="Calibri"/>
          <w:b/>
          <w:bCs/>
          <w:sz w:val="22"/>
          <w:szCs w:val="22"/>
        </w:rPr>
        <w:t xml:space="preserve">Implemented so far: </w:t>
      </w:r>
      <w:r>
        <w:rPr>
          <w:rFonts w:ascii="Calibri" w:cs="Calibri" w:eastAsia="Calibri" w:hAnsi="Calibri"/>
          <w:sz w:val="22"/>
          <w:szCs w:val="22"/>
        </w:rPr>
        <w:t xml:space="preserve">parent registration with e-mail verification, creation of student accounts by parents with a separate consent step, volunteer application with a university e-mail, the personal catch-up plan (database logic and screens), the “Today” screen and a data model with automated security tests.</w:t>
      </w:r>
    </w:p>
    <w:p>
      <w:pPr>
        <w:spacing w:after="120" w:line="276"/>
      </w:pPr>
      <w:r>
        <w:rPr>
          <w:rFonts w:ascii="Calibri" w:cs="Calibri" w:eastAsia="Calibri" w:hAnsi="Calibri"/>
          <w:b/>
          <w:bCs/>
          <w:sz w:val="22"/>
          <w:szCs w:val="22"/>
        </w:rPr>
        <w:t xml:space="preserve">Planned, not yet built: </w:t>
      </w:r>
      <w:r>
        <w:rPr>
          <w:rFonts w:ascii="Calibri" w:cs="Calibri" w:eastAsia="Calibri" w:hAnsi="Calibri"/>
          <w:sz w:val="22"/>
          <w:szCs w:val="22"/>
        </w:rPr>
        <w:t xml:space="preserve">photo questions and answers, session scheduling with a video link, the administrator screen for approving volunteers.</w:t>
      </w:r>
    </w:p>
    <w:p>
      <w:pPr>
        <w:spacing w:after="120" w:line="276"/>
      </w:pPr>
      <w:r>
        <w:rPr>
          <w:rFonts w:ascii="Calibri" w:cs="Calibri" w:eastAsia="Calibri" w:hAnsi="Calibri"/>
          <w:b/>
          <w:bCs/>
          <w:sz w:val="22"/>
          <w:szCs w:val="22"/>
        </w:rPr>
        <w:t xml:space="preserve">Tools: </w:t>
      </w:r>
      <w:r>
        <w:rPr>
          <w:rFonts w:ascii="Calibri" w:cs="Calibri" w:eastAsia="Calibri" w:hAnsi="Calibri"/>
          <w:sz w:val="22"/>
          <w:szCs w:val="22"/>
        </w:rPr>
        <w:t xml:space="preserve">the web application is built with Next.js and TypeScript, the database and authentication with Supabase (PostgreSQL), version control with GitHub. We used an AI coding assistant (Claude Code) while writing the code; the team reviews, tests and decides what is built.</w:t>
      </w:r>
    </w:p>
    <w:p>
      <w:pPr>
        <w:pStyle w:val="Heading1"/>
        <w:spacing w:after="120" w:before="280"/>
      </w:pPr>
      <w:r>
        <w:rPr>
          <w:rFonts w:ascii="Calibri" w:cs="Calibri" w:eastAsia="Calibri" w:hAnsi="Calibri"/>
          <w:b/>
          <w:bCs/>
          <w:sz w:val="28"/>
          <w:szCs w:val="28"/>
        </w:rPr>
        <w:t xml:space="preserve">12. References</w:t>
      </w:r>
    </w:p>
    <w:p>
      <w:pPr>
        <w:spacing w:after="120" w:line="276"/>
      </w:pPr>
      <w:r>
        <w:rPr>
          <w:rFonts w:ascii="Calibri" w:cs="Calibri" w:eastAsia="Calibri" w:hAnsi="Calibri"/>
          <w:sz w:val="22"/>
          <w:szCs w:val="22"/>
        </w:rPr>
        <w:t xml:space="preserve">Jay, M. A., et al. (2023). Academic attainment of children with chronic health conditions: umbrella review of systematic reviews. Frontiers in Public Health, 11, 1122769. https://doi.org/10.3389/fpubh.2023.1122769 </w:t>
      </w:r>
      <w:r>
        <w:rPr>
          <w:rFonts w:ascii="Calibri" w:cs="Calibri" w:eastAsia="Calibri" w:hAnsi="Calibri"/>
          <w:sz w:val="22"/>
          <w:szCs w:val="22"/>
          <w:highlight w:val="yellow"/>
        </w:rPr>
        <w:t xml:space="preserve">[verify authors and exact title]</w:t>
      </w:r>
    </w:p>
    <w:p>
      <w:pPr>
        <w:spacing w:after="120" w:line="276"/>
      </w:pPr>
      <w:r>
        <w:rPr>
          <w:rFonts w:ascii="Calibri" w:cs="Calibri" w:eastAsia="Calibri" w:hAnsi="Calibri"/>
          <w:sz w:val="22"/>
          <w:szCs w:val="22"/>
        </w:rPr>
        <w:t xml:space="preserve">Ministry of National Education (MEB) (2018). Özel Eğitim Hizmetleri Yönetmeliği, Article 14 (Home education). Resmî Gazete, 07.07.2018, no. 30471.</w:t>
      </w:r>
    </w:p>
    <w:p>
      <w:pPr>
        <w:spacing w:after="120" w:line="276"/>
      </w:pPr>
      <w:r>
        <w:rPr>
          <w:rFonts w:ascii="Calibri" w:cs="Calibri" w:eastAsia="Calibri" w:hAnsi="Calibri"/>
          <w:sz w:val="22"/>
          <w:szCs w:val="22"/>
        </w:rPr>
        <w:t xml:space="preserve">Ministry of National Education (MEB) (2024, 7 November). Evde ve hastanede sunulan imkânlarla 11 bin öğrencinin eğitimi kesintisiz sürüyor. https://www.meb.gov.tr/evde-ve-hastanede-sunulan-imknlarla-11-bin-ogrencinin-egitimi-kesintisiz-suruyor/haber/35343/tr</w:t>
      </w:r>
    </w:p>
    <w:p>
      <w:pPr>
        <w:spacing w:after="120" w:line="276"/>
      </w:pPr>
      <w:r>
        <w:rPr>
          <w:rFonts w:ascii="Calibri" w:cs="Calibri" w:eastAsia="Calibri" w:hAnsi="Calibri"/>
          <w:sz w:val="22"/>
          <w:szCs w:val="22"/>
        </w:rPr>
        <w:t xml:space="preserve">Yenel, K., et al. (2021). Hastanede eğitim. Eğitim ve Bilim. https://educationandscience.ted.org.tr/article/download/1985/2669/2669 </w:t>
      </w:r>
      <w:r>
        <w:rPr>
          <w:rFonts w:ascii="Calibri" w:cs="Calibri" w:eastAsia="Calibri" w:hAnsi="Calibri"/>
          <w:sz w:val="22"/>
          <w:szCs w:val="22"/>
          <w:highlight w:val="yellow"/>
        </w:rPr>
        <w:t xml:space="preserve">[verify authors, title and issue]</w:t>
      </w:r>
    </w:p>
    <w:p>
      <w:pPr>
        <w:pStyle w:val="Heading1"/>
        <w:spacing w:after="120" w:before="280"/>
      </w:pPr>
      <w:r>
        <w:rPr>
          <w:rFonts w:ascii="Calibri" w:cs="Calibri" w:eastAsia="Calibri" w:hAnsi="Calibri"/>
          <w:b/>
          <w:bCs/>
          <w:sz w:val="28"/>
          <w:szCs w:val="28"/>
        </w:rPr>
        <w:t xml:space="preserve">13. Question for Feedback</w:t>
      </w:r>
    </w:p>
    <w:p>
      <w:pPr>
        <w:spacing w:after="120" w:line="276"/>
      </w:pPr>
      <w:r>
        <w:rPr>
          <w:rFonts w:ascii="Calibri" w:cs="Calibri" w:eastAsia="Calibri" w:hAnsi="Calibri"/>
          <w:sz w:val="22"/>
          <w:szCs w:val="22"/>
        </w:rPr>
        <w:t xml:space="preserve">Is our narrowed scope (one grade, one subject, volunteer tutors, an existing video tool) realistic for eight weeks? What kind of evidence would best show that the platform adds value beyond EBA and MEB hospital and home education?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80"/>
      <w:outlineLvl w:val="0"/>
    </w:pPr>
    <w:rPr>
      <w:rFonts w:ascii="Calibri" w:cs="Calibri" w:eastAsia="Calibri" w:hAnsi="Calibri"/>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Idea Outline (Revised): Eğitim Köprüsü</dc:title>
  <dc:creator>Eğitim Köprüsü Ekibi</dc:creator>
  <cp:lastModifiedBy>Un-named</cp:lastModifiedBy>
  <cp:revision>1</cp:revision>
  <dcterms:created xsi:type="dcterms:W3CDTF">2026-10-30T06:44:42.367Z</dcterms:created>
  <dcterms:modified xsi:type="dcterms:W3CDTF">2026-10-30T06:44:42.368Z</dcterms:modified>
</cp:coreProperties>
</file>

<file path=docProps/custom.xml><?xml version="1.0" encoding="utf-8"?>
<Properties xmlns="http://schemas.openxmlformats.org/officeDocument/2006/custom-properties" xmlns:vt="http://schemas.openxmlformats.org/officeDocument/2006/docPropsVTypes"/>
</file>