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000000"/>
        </w:rPr>
        <w:t>История болезни пациента с туберкулёзом лёгких</w:t>
      </w:r>
    </w:p>
    <w:p>
      <w:pPr>
        <w:spacing w:after="140"/>
      </w:pPr>
      <w:r>
        <w:rPr>
          <w:rFonts w:ascii="Arial" w:hAnsi="Arial"/>
          <w:color w:val="000000"/>
          <w:sz w:val="28"/>
        </w:rPr>
        <w:t>Исчанов Абдулазаиз</w:t>
      </w:r>
    </w:p>
    <w:p>
      <w:pPr>
        <w:spacing w:after="180"/>
      </w:pPr>
      <w:r>
        <w:rPr>
          <w:rFonts w:ascii="Arial" w:hAnsi="Arial"/>
          <w:color w:val="000000"/>
          <w:sz w:val="18"/>
        </w:rPr>
        <w:t>Вымышленный стационарный случай для AniqTashxis AI в контексте здравоохранения Узбекистана. Все сведения, обследования и даты придуманы. Документ содержит клинические разделы истории болезни; он не является утверждённым бланком Минздрава или назначением реальному пациенту.</w:t>
      </w:r>
    </w:p>
    <w:p>
      <w:pPr>
        <w:pStyle w:val="Heading1"/>
      </w:pPr>
      <w:r>
        <w:rPr>
          <w:rFonts w:ascii="Arial" w:hAnsi="Arial"/>
          <w:b/>
          <w:color w:val="000000"/>
        </w:rPr>
        <w:t>Паспортная часть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vAlign w:val="center"/>
            <w:shd w:fill="E7EDF2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Параметр</w:t>
            </w:r>
          </w:p>
        </w:tc>
        <w:tc>
          <w:tcPr>
            <w:tcW w:type="dxa" w:w="6746"/>
            <w:vAlign w:val="center"/>
            <w:shd w:fill="E7EDF2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Сведения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Код учебного пациента</w:t>
            </w:r>
          </w:p>
        </w:tc>
        <w:tc>
          <w:tcPr>
            <w:tcW w:type="dxa" w:w="6746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AT-DEMO-TB-001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Фамилия и имя</w:t>
            </w:r>
          </w:p>
        </w:tc>
        <w:tc>
          <w:tcPr>
            <w:tcW w:type="dxa" w:w="6746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Исчанов Абдулазаиз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Дата рождения и возраст</w:t>
            </w:r>
          </w:p>
        </w:tc>
        <w:tc>
          <w:tcPr>
            <w:tcW w:type="dxa" w:w="6746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08.03.1989; 37 лет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Пол</w:t>
            </w:r>
          </w:p>
        </w:tc>
        <w:tc>
          <w:tcPr>
            <w:tcW w:type="dxa" w:w="6746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Мужской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Место проживания</w:t>
            </w:r>
          </w:p>
        </w:tc>
        <w:tc>
          <w:tcPr>
            <w:tcW w:type="dxa" w:w="6746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Узбекистан, Хорезмская область, г. Ургенч; адрес условный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Семья и занятость</w:t>
            </w:r>
          </w:p>
        </w:tc>
        <w:tc>
          <w:tcPr>
            <w:tcW w:type="dxa" w:w="6746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Женат, двое детей; мастер по ремонту мебели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Поступление</w:t>
            </w:r>
          </w:p>
        </w:tc>
        <w:tc>
          <w:tcPr>
            <w:tcW w:type="dxa" w:w="6746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18.09.2026, 09:00; по направлению семейного врача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Подразделение</w:t>
            </w:r>
          </w:p>
        </w:tc>
        <w:tc>
          <w:tcPr>
            <w:tcW w:type="dxa" w:w="6746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Учебный стационар AniqTashxis AI; фтизиатрическое отделение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Состояние истории</w:t>
            </w:r>
          </w:p>
        </w:tc>
        <w:tc>
          <w:tcPr>
            <w:tcW w:type="dxa" w:w="6746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Госпитализация продолжается; данные на 19.09.2026, 12:00</w:t>
            </w:r>
          </w:p>
        </w:tc>
      </w:tr>
    </w:tbl>
    <w:p>
      <w:pPr>
        <w:spacing w:after="60" w:line="96" w:lineRule="auto"/>
      </w:pPr>
    </w:p>
    <w:p>
      <w:pPr>
        <w:pStyle w:val="Heading1"/>
      </w:pPr>
      <w:r>
        <w:rPr>
          <w:rFonts w:ascii="Arial" w:hAnsi="Arial"/>
          <w:b/>
          <w:color w:val="000000"/>
        </w:rPr>
        <w:t>Субъективные данные пациента</w:t>
      </w:r>
    </w:p>
    <w:p>
      <w:r>
        <w:rPr>
          <w:rFonts w:ascii="Arial" w:hAnsi="Arial"/>
          <w:b/>
          <w:color w:val="000000"/>
        </w:rPr>
        <w:t xml:space="preserve">Жалобы. </w:t>
      </w:r>
      <w:r>
        <w:rPr>
          <w:rFonts w:ascii="Arial" w:hAnsi="Arial"/>
          <w:color w:val="000000"/>
        </w:rPr>
        <w:t>Кашель около шести недель, мокрота слизисто-гнойная, примерно 10–15 мл в сутки. Вечером температура до 37,8 °C, ночная потливость с необходимостью менять бельё, слабость, снижение аппетита. За шесть недель масса снизилась с 72 до 66 кг. Одышка при подъёме на третий этаж. Кровохарканье и боль в груди отрицает.</w:t>
      </w:r>
    </w:p>
    <w:p>
      <w:r>
        <w:rPr>
          <w:rFonts w:ascii="Arial" w:hAnsi="Arial"/>
          <w:b/>
          <w:color w:val="000000"/>
        </w:rPr>
        <w:t xml:space="preserve">Развитие болезни. </w:t>
      </w:r>
      <w:r>
        <w:rPr>
          <w:rFonts w:ascii="Arial" w:hAnsi="Arial"/>
          <w:color w:val="000000"/>
        </w:rPr>
        <w:t>Считает себя больным с 07.08.2026, когда появились сухой кашель и утомляемость. Постепенно кашель стал влажным, присоединились потливость и снижение массы. Принимал жаропонижающее эпизодически. Антибиотики и противотуберкулёзные препараты не принимал. 17.09 обратился к семейному врачу; направлен на обследование из-за длительности симптомов.</w:t>
      </w:r>
    </w:p>
    <w:p>
      <w:r>
        <w:rPr>
          <w:rFonts w:ascii="Arial" w:hAnsi="Arial"/>
          <w:b/>
          <w:color w:val="000000"/>
        </w:rPr>
        <w:t xml:space="preserve">Анамнез жизни и контактов. </w:t>
      </w:r>
      <w:r>
        <w:rPr>
          <w:rFonts w:ascii="Arial" w:hAnsi="Arial"/>
          <w:color w:val="000000"/>
        </w:rPr>
        <w:t>Туберкулёз ранее не диагностировали. Около трёх месяцев назад имел повторные тесные контакты с коллегой, у которого, со слов пациента, позднее выявили туберкулёз; документального подтверждения контакта пока нет. Курение: 10 сигарет в сутки с 20 лет. Сахарный диабет, ВИЧ-инфекцию, операции и постоянную терапию отрицает. Лекарственная аллергия со слов пациента не отмечалась.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</w:rPr>
        <w:t>Объективные данные и общеклинические анализы</w:t>
      </w:r>
    </w:p>
    <w:p>
      <w:r>
        <w:rPr>
          <w:rFonts w:ascii="Arial" w:hAnsi="Arial"/>
          <w:color w:val="000000"/>
        </w:rPr>
        <w:t>Осмотр 18.09.2026, 09:30. Состояние средней тяжести за счёт интоксикации. Сознание ясное, ориентирован, положение активное. Кожа обычной окраски, несколько влажная. Периферические лимфоузлы не увеличены, отёков нет.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92"/>
        <w:gridCol w:w="5046"/>
      </w:tblGrid>
      <w:tr>
        <w:trPr>
          <w:cantSplit/>
          <w:tblHeader/>
        </w:trPr>
        <w:tc>
          <w:tcPr>
            <w:tcW w:type="dxa" w:w="4592"/>
            <w:vAlign w:val="center"/>
            <w:shd w:fill="E7EDF2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Показатель</w:t>
            </w:r>
          </w:p>
        </w:tc>
        <w:tc>
          <w:tcPr>
            <w:tcW w:type="dxa" w:w="5046"/>
            <w:vAlign w:val="center"/>
            <w:shd w:fill="E7EDF2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592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Температура тела</w:t>
            </w:r>
          </w:p>
        </w:tc>
        <w:tc>
          <w:tcPr>
            <w:tcW w:type="dxa" w:w="5046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37,6 °C</w:t>
            </w:r>
          </w:p>
        </w:tc>
      </w:tr>
      <w:tr>
        <w:trPr>
          <w:cantSplit/>
        </w:trPr>
        <w:tc>
          <w:tcPr>
            <w:tcW w:type="dxa" w:w="4592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Артериальное давление</w:t>
            </w:r>
          </w:p>
        </w:tc>
        <w:tc>
          <w:tcPr>
            <w:tcW w:type="dxa" w:w="5046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118/76 мм рт. ст.</w:t>
            </w:r>
          </w:p>
        </w:tc>
      </w:tr>
      <w:tr>
        <w:trPr>
          <w:cantSplit/>
        </w:trPr>
        <w:tc>
          <w:tcPr>
            <w:tcW w:type="dxa" w:w="4592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Частота пульса</w:t>
            </w:r>
          </w:p>
        </w:tc>
        <w:tc>
          <w:tcPr>
            <w:tcW w:type="dxa" w:w="5046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94 в минуту, ритмичный</w:t>
            </w:r>
          </w:p>
        </w:tc>
      </w:tr>
      <w:tr>
        <w:trPr>
          <w:cantSplit/>
        </w:trPr>
        <w:tc>
          <w:tcPr>
            <w:tcW w:type="dxa" w:w="4592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Частота дыхания</w:t>
            </w:r>
          </w:p>
        </w:tc>
        <w:tc>
          <w:tcPr>
            <w:tcW w:type="dxa" w:w="5046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20 в минуту</w:t>
            </w:r>
          </w:p>
        </w:tc>
      </w:tr>
      <w:tr>
        <w:trPr>
          <w:cantSplit/>
        </w:trPr>
        <w:tc>
          <w:tcPr>
            <w:tcW w:type="dxa" w:w="4592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SpO₂</w:t>
            </w:r>
          </w:p>
        </w:tc>
        <w:tc>
          <w:tcPr>
            <w:tcW w:type="dxa" w:w="5046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96 % на комнатном воздухе</w:t>
            </w:r>
          </w:p>
        </w:tc>
      </w:tr>
      <w:tr>
        <w:trPr>
          <w:cantSplit/>
        </w:trPr>
        <w:tc>
          <w:tcPr>
            <w:tcW w:type="dxa" w:w="4592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Рост / масса / ИМТ</w:t>
            </w:r>
          </w:p>
        </w:tc>
        <w:tc>
          <w:tcPr>
            <w:tcW w:type="dxa" w:w="5046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176 см / 66 кг / 21,3 кг/м²</w:t>
            </w:r>
          </w:p>
        </w:tc>
      </w:tr>
    </w:tbl>
    <w:p>
      <w:pPr>
        <w:spacing w:after="60" w:line="96" w:lineRule="auto"/>
      </w:pPr>
    </w:p>
    <w:p>
      <w:r>
        <w:rPr>
          <w:rFonts w:ascii="Arial" w:hAnsi="Arial"/>
          <w:b/>
          <w:color w:val="000000"/>
        </w:rPr>
        <w:t xml:space="preserve">Органы дыхания. </w:t>
      </w:r>
      <w:r>
        <w:rPr>
          <w:rFonts w:ascii="Arial" w:hAnsi="Arial"/>
          <w:color w:val="000000"/>
        </w:rPr>
        <w:t>Грудная клетка без деформации. Справа в надключичной области небольшое укорочение перкуторного звука; в верхних отделах справа дыхание ослаблено, единичные мелкопузырчатые хрипы после покашливания. В остальных отделах везикулярное дыхание. Признаков выраженной дыхательной недостаточности при осмотре нет.</w:t>
      </w:r>
    </w:p>
    <w:p>
      <w:r>
        <w:rPr>
          <w:rFonts w:ascii="Arial" w:hAnsi="Arial"/>
          <w:b/>
          <w:color w:val="000000"/>
        </w:rPr>
        <w:t xml:space="preserve">Остальные системы. </w:t>
      </w:r>
      <w:r>
        <w:rPr>
          <w:rFonts w:ascii="Arial" w:hAnsi="Arial"/>
          <w:color w:val="000000"/>
        </w:rPr>
        <w:t>Тоны сердца ясные, ритмичные. Живот мягкий и безболезненный, печень не увеличена. Симптом поколачивания отрицательный с обеих сторон, диурез сохранён. Очаговых неврологических симптомов не выявлено.</w:t>
      </w:r>
    </w:p>
    <w:p>
      <w:pPr>
        <w:pStyle w:val="Heading1"/>
      </w:pPr>
      <w:r>
        <w:rPr>
          <w:rFonts w:ascii="Arial" w:hAnsi="Arial"/>
          <w:b/>
          <w:color w:val="000000"/>
        </w:rPr>
        <w:t>Лабораторные результаты</w:t>
      </w:r>
    </w:p>
    <w:p>
      <w:r>
        <w:rPr>
          <w:rFonts w:ascii="Arial" w:hAnsi="Arial"/>
          <w:color w:val="000000"/>
          <w:sz w:val="18"/>
        </w:rPr>
        <w:t>Материал взят 18.09.2026 в 10:00; результаты доступны в тот же день к 15:00. Референсные интервалы ниже условные, для лаборатории учебного сценария.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3005"/>
        <w:gridCol w:w="2665"/>
      </w:tblGrid>
      <w:tr>
        <w:trPr>
          <w:cantSplit/>
          <w:tblHeader/>
        </w:trPr>
        <w:tc>
          <w:tcPr>
            <w:tcW w:type="dxa" w:w="3969"/>
            <w:vAlign w:val="center"/>
            <w:shd w:fill="E7EDF2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Исследование</w:t>
            </w:r>
          </w:p>
        </w:tc>
        <w:tc>
          <w:tcPr>
            <w:tcW w:type="dxa" w:w="3005"/>
            <w:vAlign w:val="center"/>
            <w:shd w:fill="E7EDF2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Результат</w:t>
            </w:r>
          </w:p>
        </w:tc>
        <w:tc>
          <w:tcPr>
            <w:tcW w:type="dxa" w:w="2665"/>
            <w:vAlign w:val="center"/>
            <w:shd w:fill="E7EDF2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Референс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Гемоглобин</w:t>
            </w:r>
          </w:p>
        </w:tc>
        <w:tc>
          <w:tcPr>
            <w:tcW w:type="dxa" w:w="3005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124 г/л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130–170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Лейкоциты</w:t>
            </w:r>
          </w:p>
        </w:tc>
        <w:tc>
          <w:tcPr>
            <w:tcW w:type="dxa" w:w="3005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9,8 × 10⁹/л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4,0–10,0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Нейтрофилы</w:t>
            </w:r>
          </w:p>
        </w:tc>
        <w:tc>
          <w:tcPr>
            <w:tcW w:type="dxa" w:w="3005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72 %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40–75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Лимфоциты</w:t>
            </w:r>
          </w:p>
        </w:tc>
        <w:tc>
          <w:tcPr>
            <w:tcW w:type="dxa" w:w="3005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18 %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20–45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Тромбоциты</w:t>
            </w:r>
          </w:p>
        </w:tc>
        <w:tc>
          <w:tcPr>
            <w:tcW w:type="dxa" w:w="3005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385 × 10⁹/л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150–400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СОЭ</w:t>
            </w:r>
          </w:p>
        </w:tc>
        <w:tc>
          <w:tcPr>
            <w:tcW w:type="dxa" w:w="3005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42 мм/ч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2–15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С реактивный белок</w:t>
            </w:r>
          </w:p>
        </w:tc>
        <w:tc>
          <w:tcPr>
            <w:tcW w:type="dxa" w:w="3005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48 мг/л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менее 5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АЛТ / АСТ</w:t>
            </w:r>
          </w:p>
        </w:tc>
        <w:tc>
          <w:tcPr>
            <w:tcW w:type="dxa" w:w="3005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22 / 24 Ед/л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менее 41 / 40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Билирубин общий</w:t>
            </w:r>
          </w:p>
        </w:tc>
        <w:tc>
          <w:tcPr>
            <w:tcW w:type="dxa" w:w="3005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12 мкмоль/л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5–21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Креатинин</w:t>
            </w:r>
          </w:p>
        </w:tc>
        <w:tc>
          <w:tcPr>
            <w:tcW w:type="dxa" w:w="3005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82 мкмоль/л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62–115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Глюкоза натощак</w:t>
            </w:r>
          </w:p>
        </w:tc>
        <w:tc>
          <w:tcPr>
            <w:tcW w:type="dxa" w:w="3005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5,3 ммоль/л</w:t>
            </w:r>
          </w:p>
        </w:tc>
        <w:tc>
          <w:tcPr>
            <w:tcW w:type="dxa" w:w="2665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3,9–5,5</w:t>
            </w:r>
          </w:p>
        </w:tc>
      </w:tr>
    </w:tbl>
    <w:p>
      <w:pPr>
        <w:spacing w:after="60" w:line="96" w:lineRule="auto"/>
      </w:pPr>
    </w:p>
    <w:p>
      <w:r>
        <w:rPr>
          <w:rFonts w:ascii="Arial" w:hAnsi="Arial"/>
          <w:color w:val="000000"/>
          <w:sz w:val="19"/>
        </w:rPr>
        <w:t>Общий анализ мочи: белок не выявлен, лейкоциты 0–2 в поле зрения. Комбинированный тест на ВИЧ Ag/Ab отрицательный (19.09.2026, 09:00); сведения о согласии предусмотрены учебным сценарием. Воспалительные изменения крови неспецифичны и сами по себе причину заболевания не устанавливают.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</w:rPr>
        <w:t>Подтверждение инфекции и инструментальные данные</w:t>
      </w:r>
    </w:p>
    <w:p>
      <w:pPr>
        <w:pStyle w:val="Heading1"/>
      </w:pPr>
      <w:r>
        <w:rPr>
          <w:rFonts w:ascii="Arial" w:hAnsi="Arial"/>
          <w:b/>
          <w:color w:val="000000"/>
        </w:rPr>
        <w:t>Исследования мокроты</w:t>
      </w:r>
    </w:p>
    <w:p>
      <w:r>
        <w:rPr>
          <w:rFonts w:ascii="Arial" w:hAnsi="Arial"/>
          <w:color w:val="000000"/>
        </w:rPr>
        <w:t>Мокрота получена 19.09.2026 в 07:30 до начала противотуберкулёзной терапии. Учебный номер образца TB-001-S1. Приведены отдельные методы исследования одного диагностического материала.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4932"/>
        <w:gridCol w:w="1587"/>
      </w:tblGrid>
      <w:tr>
        <w:trPr>
          <w:cantSplit/>
          <w:tblHeader/>
        </w:trPr>
        <w:tc>
          <w:tcPr>
            <w:tcW w:type="dxa" w:w="3118"/>
            <w:vAlign w:val="center"/>
            <w:shd w:fill="E7EDF2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Метод</w:t>
            </w:r>
          </w:p>
        </w:tc>
        <w:tc>
          <w:tcPr>
            <w:tcW w:type="dxa" w:w="4932"/>
            <w:vAlign w:val="center"/>
            <w:shd w:fill="E7EDF2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Результат</w:t>
            </w:r>
          </w:p>
        </w:tc>
        <w:tc>
          <w:tcPr>
            <w:tcW w:type="dxa" w:w="1587"/>
            <w:vAlign w:val="center"/>
            <w:shd w:fill="E7EDF2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Выдан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Xpert MTB/RIF Ultra</w:t>
            </w:r>
          </w:p>
        </w:tc>
        <w:tc>
          <w:tcPr>
            <w:tcW w:type="dxa" w:w="4932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MTB обнаружены, уровень medium; устойчивость к рифампицину не обнаружена</w:t>
            </w:r>
          </w:p>
        </w:tc>
        <w:tc>
          <w:tcPr>
            <w:tcW w:type="dxa" w:w="1587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19.09</w:t>
              <w:br/>
              <w:t>10:00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Микроскопия мазка мокроты на КУМ</w:t>
            </w:r>
          </w:p>
        </w:tc>
        <w:tc>
          <w:tcPr>
            <w:tcW w:type="dxa" w:w="4932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Кислотоустойчивые микобактерии: 2+</w:t>
            </w:r>
          </w:p>
        </w:tc>
        <w:tc>
          <w:tcPr>
            <w:tcW w:type="dxa" w:w="1587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19.09</w:t>
              <w:br/>
              <w:t>11:00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Посев на микобактерии и исследование лекарственной чувствительности</w:t>
            </w:r>
          </w:p>
        </w:tc>
        <w:tc>
          <w:tcPr>
            <w:tcW w:type="dxa" w:w="4932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Материал направлен; результат ожидается. Полный профиль чувствительности неизвестен</w:t>
            </w:r>
          </w:p>
        </w:tc>
        <w:tc>
          <w:tcPr>
            <w:tcW w:type="dxa" w:w="1587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Ожидается</w:t>
            </w:r>
          </w:p>
        </w:tc>
      </w:tr>
    </w:tbl>
    <w:p>
      <w:pPr>
        <w:spacing w:after="60" w:line="96" w:lineRule="auto"/>
      </w:pPr>
    </w:p>
    <w:p>
      <w:r>
        <w:rPr>
          <w:rFonts w:ascii="Arial" w:hAnsi="Arial"/>
          <w:b/>
          <w:color w:val="000000"/>
        </w:rPr>
        <w:t xml:space="preserve">Доступность данных. </w:t>
      </w:r>
      <w:r>
        <w:rPr>
          <w:rFonts w:ascii="Arial" w:hAnsi="Arial"/>
          <w:color w:val="000000"/>
        </w:rPr>
        <w:t>Положительные результаты Xpert и микроскопии проверены и доступны врачу 19.09.2026 с 11:15. Для обоих документов контрольная дата одна: 19.09.2026, 12:00.</w:t>
      </w:r>
    </w:p>
    <w:p>
      <w:r>
        <w:rPr>
          <w:rFonts w:ascii="Arial" w:hAnsi="Arial"/>
          <w:b/>
          <w:color w:val="000000"/>
        </w:rPr>
        <w:t xml:space="preserve">Интерпретация. </w:t>
      </w:r>
      <w:r>
        <w:rPr>
          <w:rFonts w:ascii="Arial" w:hAnsi="Arial"/>
          <w:color w:val="000000"/>
        </w:rPr>
        <w:t>Выявление MTB молекулярным методом подтверждает туберкулёз бактериологически. КУМ 2+ дополнительно указывает на наличие кислотоустойчивых микобактерий в мокроте; видовая принадлежность обоснована результатом Xpert. Отсутствие выявленной устойчивости к рифампицину не доказывает чувствительность ко всем препаратам [2].</w:t>
      </w:r>
    </w:p>
    <w:p>
      <w:pPr>
        <w:pStyle w:val="Heading1"/>
      </w:pPr>
      <w:r>
        <w:rPr>
          <w:rFonts w:ascii="Arial" w:hAnsi="Arial"/>
          <w:b/>
          <w:color w:val="000000"/>
        </w:rPr>
        <w:t>КТ органов грудной клетки</w:t>
      </w:r>
    </w:p>
    <w:p>
      <w:r>
        <w:rPr>
          <w:rFonts w:ascii="Arial" w:hAnsi="Arial"/>
          <w:color w:val="000000"/>
          <w:sz w:val="18"/>
        </w:rPr>
        <w:t>Дата исследования и доступности описания: 18.09.2026, 12:00. Без внутривенного контрастирования. Это вымышленное текстовое описание; реальные снимки и DICOM к документу не приложены.</w:t>
      </w:r>
    </w:p>
    <w:p>
      <w:r>
        <w:rPr>
          <w:rFonts w:ascii="Arial" w:hAnsi="Arial"/>
          <w:b/>
          <w:color w:val="000000"/>
        </w:rPr>
        <w:t xml:space="preserve">Описание. </w:t>
      </w:r>
      <w:r>
        <w:rPr>
          <w:rFonts w:ascii="Arial" w:hAnsi="Arial"/>
          <w:color w:val="000000"/>
        </w:rPr>
        <w:t>В верхней доле правого лёгкого, преимущественно в сегментах S1 и S2, участок неоднородной инфильтрации размером около 42 × 31 мм. В его структуре полость до 14 мм с неровными стенками, без уровня жидкости. Рядом определяются мелкие центролобулярные очаги и участки по типу «дерево в почках». Левое лёгкое без очаговой инфильтрации. Плеврального выпота нет. Значимого увеличения внутригрудных лимфоузлов не выявлено.</w:t>
      </w:r>
    </w:p>
    <w:p>
      <w:r>
        <w:rPr>
          <w:rFonts w:ascii="Arial" w:hAnsi="Arial"/>
          <w:b/>
          <w:color w:val="000000"/>
        </w:rPr>
        <w:t xml:space="preserve">Заключение рентгенолога. </w:t>
      </w:r>
      <w:r>
        <w:rPr>
          <w:rFonts w:ascii="Arial" w:hAnsi="Arial"/>
          <w:color w:val="000000"/>
        </w:rPr>
        <w:t>Верхнедолевой инфильтративно-деструктивный процесс справа с признаками бронхогенного распространения. Картина подозрительна на активный туберкулёз; необходима клинико-микробиологическая верификация. По одной КТ этиологический диагноз не устанавливается.</w:t>
      </w:r>
    </w:p>
    <w:p>
      <w:pPr>
        <w:pStyle w:val="Heading1"/>
      </w:pPr>
      <w:r>
        <w:rPr>
          <w:rFonts w:ascii="Arial" w:hAnsi="Arial"/>
          <w:b/>
          <w:color w:val="000000"/>
        </w:rPr>
        <w:t>Клинический диагноз на контрольную дату</w:t>
      </w:r>
    </w:p>
    <w:p>
      <w:r>
        <w:rPr>
          <w:rFonts w:ascii="Arial" w:hAnsi="Arial"/>
          <w:b/>
          <w:color w:val="000000"/>
        </w:rPr>
        <w:t xml:space="preserve">Основной диагноз. </w:t>
      </w:r>
      <w:r>
        <w:rPr>
          <w:rFonts w:ascii="Arial" w:hAnsi="Arial"/>
          <w:color w:val="000000"/>
        </w:rPr>
        <w:t>Впервые выявленный туберкулёз верхней доли правого лёгкого, инфильтративная форма, фаза распада, бактериологически подтверждённый. Мокрота: КУМ 2+; MTB обнаружены методом Xpert MTB/RIF Ultra. Устойчивость к рифампицину не обнаружена; результаты посева и расширенного исследования лекарственной чувствительности ожидаются.</w:t>
      </w:r>
    </w:p>
    <w:p>
      <w:r>
        <w:rPr>
          <w:rFonts w:ascii="Arial" w:hAnsi="Arial"/>
          <w:color w:val="000000"/>
          <w:sz w:val="20"/>
        </w:rPr>
        <w:t>МКБ 10: A15.0 — туберкулёз лёгких, подтверждённый бактериоскопически с наличием или отсутствием роста культуры [3]. Осложнения на контрольную дату не установлены. Сопутствующие заболевания не подтверждены; умеренное снижение гемоглобина требует оценки причины.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</w:rPr>
        <w:t>Клиническое обоснование и этапное заключение</w:t>
      </w:r>
    </w:p>
    <w:p>
      <w:r>
        <w:rPr>
          <w:rFonts w:ascii="Arial" w:hAnsi="Arial"/>
          <w:b/>
          <w:color w:val="000000"/>
        </w:rPr>
        <w:t xml:space="preserve">Обоснование диагноза. </w:t>
      </w:r>
      <w:r>
        <w:rPr>
          <w:rFonts w:ascii="Arial" w:hAnsi="Arial"/>
          <w:color w:val="000000"/>
        </w:rPr>
        <w:t>Сочетание длительного кашля, ночной потливости и снижения массы обосновало обследование на туберкулёз. Верхнедолевая полость и окружающие очаги усилили подозрение. Определяющим стало обнаружение MTB в мокроте при положительной микроскопии. Исходное предположение о пневмонии до получения анализов допустимо как дифференциальное; после результатов от 19.09 пневмония не объясняет весь набор данных и не заменяет установленный туберкулёз.</w:t>
      </w:r>
    </w:p>
    <w:p>
      <w:pPr>
        <w:pStyle w:val="Heading1"/>
      </w:pPr>
      <w:r>
        <w:rPr>
          <w:rFonts w:ascii="Arial" w:hAnsi="Arial"/>
          <w:b/>
          <w:color w:val="000000"/>
        </w:rPr>
        <w:t>План ведения в учебном сценарии</w:t>
      </w:r>
    </w:p>
    <w:p>
      <w:r>
        <w:rPr>
          <w:rFonts w:ascii="Arial" w:hAnsi="Arial"/>
          <w:b/>
          <w:color w:val="000000"/>
        </w:rPr>
        <w:t xml:space="preserve">Организация помощи. </w:t>
      </w:r>
      <w:r>
        <w:rPr>
          <w:rFonts w:ascii="Arial" w:hAnsi="Arial"/>
          <w:color w:val="000000"/>
        </w:rPr>
        <w:t>Продолжить ведение фтизиатром с мерами профилактики воздушной передачи инфекции. Уточнить контакты дома и на работе и организовать их обследование через профильную службу. Вопрос места дальнейшего лечения решить с учётом состояния и возможности соблюдения инфекционного контроля.</w:t>
      </w:r>
    </w:p>
    <w:p>
      <w:r>
        <w:rPr>
          <w:rFonts w:ascii="Arial" w:hAnsi="Arial"/>
          <w:b/>
          <w:color w:val="000000"/>
        </w:rPr>
        <w:t xml:space="preserve">Этиотропная терапия и дообследование. </w:t>
      </w:r>
      <w:r>
        <w:rPr>
          <w:rFonts w:ascii="Arial" w:hAnsi="Arial"/>
          <w:color w:val="000000"/>
        </w:rPr>
        <w:t>Получить посев и профиль лекарственной чувствительности, включая чувствительность к изониазиду. Режим и начало специфической терапии определяет фтизиатр по действующему национальному протоколу с учётом доступных тестов и противопоказаний. На 12:00 решение о режиме и его начале ещё не документировано. Ожидание посева не означает необходимости откладывать решение о лечении до получения всех результатов [2, 4]. Индивидуальные дозировки здесь не назначаются.</w:t>
      </w:r>
    </w:p>
    <w:p>
      <w:r>
        <w:rPr>
          <w:rFonts w:ascii="Arial" w:hAnsi="Arial"/>
          <w:b/>
          <w:color w:val="000000"/>
        </w:rPr>
        <w:t xml:space="preserve">Наблюдение. </w:t>
      </w:r>
      <w:r>
        <w:rPr>
          <w:rFonts w:ascii="Arial" w:hAnsi="Arial"/>
          <w:color w:val="000000"/>
        </w:rPr>
        <w:t>Исходно зафиксировать массу, функцию печени и почек, сопутствующие препараты и факторы риска нежелательных реакций. Далее контролировать симптомы, массу тела, переносимость лечения и бактериологическую динамику по выбранной схеме [4]. Уточнить причину снижения гемоглобина, оценить питание и поддержать отказ от курения.</w:t>
      </w:r>
    </w:p>
    <w:p>
      <w:pPr>
        <w:pStyle w:val="Heading1"/>
      </w:pPr>
      <w:r>
        <w:rPr>
          <w:rFonts w:ascii="Arial" w:hAnsi="Arial"/>
          <w:b/>
          <w:color w:val="000000"/>
        </w:rPr>
        <w:t>Дневник наблюдения</w:t>
      </w:r>
    </w:p>
    <w:p>
      <w:r>
        <w:rPr>
          <w:rFonts w:ascii="Arial" w:hAnsi="Arial"/>
          <w:b/>
          <w:color w:val="000000"/>
        </w:rPr>
        <w:t xml:space="preserve">18.09.2026 09:30. </w:t>
      </w:r>
      <w:r>
        <w:rPr>
          <w:rFonts w:ascii="Arial" w:hAnsi="Arial"/>
          <w:color w:val="000000"/>
        </w:rPr>
        <w:t>Длительный кашель, интоксикация; SpO₂ 96 % на воздухе. Назначены исследования мокроты и КТ, организованы меры инфекционного контроля. Предварительный диагноз: подозрение на туберкулёз лёгких. Данные о локализации и полости распада получены позднее, по КТ в 12:00.</w:t>
      </w:r>
    </w:p>
    <w:p>
      <w:r>
        <w:rPr>
          <w:rFonts w:ascii="Arial" w:hAnsi="Arial"/>
          <w:b/>
          <w:color w:val="000000"/>
        </w:rPr>
        <w:t xml:space="preserve">19.09.2026 12:00. </w:t>
      </w:r>
      <w:r>
        <w:rPr>
          <w:rFonts w:ascii="Arial" w:hAnsi="Arial"/>
          <w:color w:val="000000"/>
        </w:rPr>
        <w:t>Сохраняются кашель и слабость. Температура 37,4 °C, пульс 90/мин, ЧДД 19/мин, SpO₂ 97 % на воздухе. Гемодинамика стабильна. Получены положительные Xpert и КУМ; результаты учтены в клиническом диагнозе. Госпитализация продолжается.</w:t>
      </w:r>
    </w:p>
    <w:p>
      <w:pPr>
        <w:pStyle w:val="Heading1"/>
      </w:pPr>
      <w:r>
        <w:rPr>
          <w:rFonts w:ascii="Arial" w:hAnsi="Arial"/>
          <w:b/>
          <w:color w:val="000000"/>
        </w:rPr>
        <w:t>Этапный эпикриз</w:t>
      </w:r>
    </w:p>
    <w:p>
      <w:r>
        <w:rPr>
          <w:rFonts w:ascii="Arial" w:hAnsi="Arial"/>
          <w:color w:val="000000"/>
        </w:rPr>
        <w:t>За период 18–19.09.2026 установлен бактериологически подтверждённый туберкулёз лёгких с полостью распада справа. Состояние стабильное, признаков острой дыхательной недостаточности нет. Пациент остаётся в стационаре; начало специфической терапии на контрольную дату ещё не документировано. Выписка, завершение курса, излечение и отдалённый исход не оценивались.</w:t>
      </w:r>
    </w:p>
    <w:p>
      <w:pPr>
        <w:pStyle w:val="Heading1"/>
      </w:pPr>
      <w:r>
        <w:rPr>
          <w:rFonts w:ascii="Arial" w:hAnsi="Arial"/>
          <w:b/>
          <w:color w:val="000000"/>
        </w:rPr>
        <w:t>Источники и статус документа</w:t>
      </w:r>
    </w:p>
    <w:p>
      <w:pPr>
        <w:spacing w:after="120"/>
      </w:pPr>
      <w:r>
        <w:rPr>
          <w:rFonts w:ascii="Arial" w:hAnsi="Arial"/>
          <w:color w:val="000000"/>
          <w:sz w:val="18"/>
        </w:rPr>
        <w:t xml:space="preserve">[1] </w:t>
      </w:r>
      <w:hyperlink r:id="rId11">
        <w:r>
          <w:rPr>
            <w:rFonts w:ascii="Arial" w:hAnsi="Arial"/>
            <w:sz w:val="18"/>
            <w:color w:val="24556F"/>
            <w:u w:val="single"/>
          </w:rPr>
          <w:t>ССВ Узбекистана — ресурс StatisticalForm066 с упоминанием стационарной карты 003</w:t>
        </w:r>
      </w:hyperlink>
    </w:p>
    <w:p>
      <w:pPr>
        <w:spacing w:after="120"/>
      </w:pPr>
      <w:r>
        <w:rPr>
          <w:rFonts w:ascii="Arial" w:hAnsi="Arial"/>
          <w:color w:val="000000"/>
          <w:sz w:val="18"/>
        </w:rPr>
        <w:t xml:space="preserve">[2] </w:t>
      </w:r>
      <w:hyperlink r:id="rId12">
        <w:r>
          <w:rPr>
            <w:rFonts w:ascii="Arial" w:hAnsi="Arial"/>
            <w:sz w:val="18"/>
            <w:color w:val="24556F"/>
            <w:u w:val="single"/>
          </w:rPr>
          <w:t>ВОЗ — алгоритм применения быстрых тестов для диагностики туберкулёза</w:t>
        </w:r>
      </w:hyperlink>
    </w:p>
    <w:p>
      <w:pPr>
        <w:spacing w:after="120"/>
      </w:pPr>
      <w:r>
        <w:rPr>
          <w:rFonts w:ascii="Arial" w:hAnsi="Arial"/>
          <w:color w:val="000000"/>
          <w:sz w:val="18"/>
        </w:rPr>
        <w:t xml:space="preserve">[3] </w:t>
      </w:r>
      <w:hyperlink r:id="rId13">
        <w:r>
          <w:rPr>
            <w:rFonts w:ascii="Arial" w:hAnsi="Arial"/>
            <w:sz w:val="18"/>
            <w:color w:val="24556F"/>
            <w:u w:val="single"/>
          </w:rPr>
          <w:t>ВОЗ — международная классификация болезней МКБ 10</w:t>
        </w:r>
      </w:hyperlink>
    </w:p>
    <w:p>
      <w:pPr>
        <w:spacing w:after="120"/>
      </w:pPr>
      <w:r>
        <w:rPr>
          <w:rFonts w:ascii="Arial" w:hAnsi="Arial"/>
          <w:color w:val="000000"/>
          <w:sz w:val="18"/>
        </w:rPr>
        <w:t xml:space="preserve">[4] </w:t>
      </w:r>
      <w:hyperlink r:id="rId14">
        <w:r>
          <w:rPr>
            <w:rFonts w:ascii="Arial" w:hAnsi="Arial"/>
            <w:sz w:val="18"/>
            <w:color w:val="24556F"/>
            <w:u w:val="single"/>
          </w:rPr>
          <w:t>ВОЗ — принципы терапии и мониторинга при туберкулёзе</w:t>
        </w:r>
      </w:hyperlink>
    </w:p>
    <w:p>
      <w:pPr>
        <w:spacing w:after="0"/>
      </w:pPr>
      <w:r>
        <w:rPr>
          <w:rFonts w:ascii="Arial" w:hAnsi="Arial"/>
          <w:color w:val="000000"/>
          <w:sz w:val="17"/>
        </w:rPr>
        <w:t>Источники проверены 19.09.2026. Источник [1] подтверждает использование карты 003, но не описывает её полный утверждённый бланк. Этот учебный образец не удостоверяет соответствие всем реквизитам действующей формы Минздрава. Составитель: AniqTashxis AI — AVI Lab. Подписи и печати не предусмотрены.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000000"/>
        <w:sz w:val="16"/>
      </w:rPr>
      <w:t xml:space="preserve">AT-DEMO-TB-001     •     История болезни     •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color w:val="000000"/>
        <w:sz w:val="16"/>
      </w:rPr>
      <w:t>УЧЕБНЫЙ КЛИНИЧЕСКИЙ СЛУЧАЙ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20"/>
    </w:pPr>
    <w:rPr>
      <w:rFonts w:ascii="Arial" w:hAnsi="Arial"/>
      <w:color w:val="000000"/>
      <w:sz w:val="21"/>
      <w:u w:val="none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pi-docs.ssv.uz/StatisticalForm066.html" TargetMode="External"/><Relationship Id="rId12" Type="http://schemas.openxmlformats.org/officeDocument/2006/relationships/hyperlink" Target="https://tbksp.who.int/en/node/3147" TargetMode="External"/><Relationship Id="rId13" Type="http://schemas.openxmlformats.org/officeDocument/2006/relationships/hyperlink" Target="https://icd.who.int/browse10/2019/en#/A15.0" TargetMode="External"/><Relationship Id="rId14" Type="http://schemas.openxmlformats.org/officeDocument/2006/relationships/hyperlink" Target="https://tbksp.who.int/en/node/30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История болезни пациента с туберкулёзом лёгких</dc:title>
  <dc:subject>Синтетический учебный случай для оценки клинических решений</dc:subject>
  <dc:creator>AniqTashxis AI — AVI Lab</dc:creator>
  <cp:keywords/>
  <dc:description>Все данные пациента и обследования вымышлены. Не является медицинским документом реального пациента.</dc:description>
  <cp:lastModifiedBy/>
  <cp:revision>1</cp:revision>
  <dcterms:created xsi:type="dcterms:W3CDTF">2026-09-19T07:00:00Z</dcterms:created>
  <dcterms:modified xsi:type="dcterms:W3CDTF">2026-09-19T07:00:00Z</dcterms:modified>
  <cp:category/>
</cp:coreProperties>
</file>