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20"/>
          <w:szCs w:val="20"/>
        </w:rPr>
        <w:t xml:space="preserve">АО «УСТЬ-КАМЕНОГОРСКАЯ ПТИЦЕФАБРИКА»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6B54"/>
          <w:sz w:val="32"/>
          <w:szCs w:val="32"/>
        </w:rPr>
        <w:t xml:space="preserve">ОРГАНИЗАЦИЯ ДЕРАТИЗАЦИИ НА 2026 ГОД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2"/>
          <w:szCs w:val="22"/>
        </w:rPr>
        <w:t xml:space="preserve">Сравнение двух вариантов распределения объектов между подрядчиками и собственным штатом</w:t>
      </w:r>
    </w:p>
    <w:p>
      <w:pPr>
        <w:pBdr>
          <w:bottom w:val="single" w:color="1F6B54" w:sz="6"/>
        </w:pBdr>
        <w:spacing w:after="200" w:before="6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1. Предмет рассмотрения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Рассматривается распределение объектов АО «УКПФ» между внешними подрядчиками и собственной службой дератизации. Все суммы приведены в тенге, в расчёт включена только дератизация: дезинсекция у подрядчиков тарифицируется отдельно и в сравнении не участвует.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Рассмотрены два варианта:</w:t>
      </w:r>
    </w:p>
    <w:p>
      <w:pPr>
        <w:spacing w:after="120" w:before="0" w:line="276"/>
        <w:ind w:left="3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Вариант 1. Подрядчикам передаются ККЗ (кормоцех), Инкубаторий, ЗПП и Склад ТМЦ. Собственный штат обслуживает бройлерные площадки и АБК.</w:t>
      </w:r>
    </w:p>
    <w:p>
      <w:pPr>
        <w:spacing w:after="120" w:before="0" w:line="276"/>
        <w:ind w:left="3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Вариант 2. Подрядчикам передаются ККЗ, ЗПП и Склад ТМЦ. Собственный штат обслуживает бройлерные площадки, АБК и дополнительно Инкубаторий.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2. Исходные данные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Цены подрядчиков взяты из коммерческих предложений и действующих договоров: Indigo Solutions — КП от 19.08.2026 (цены включают НДС); Pest Hunters — КП № 26/12 на 2026–2027 гг. (цены без НДС), договор № 88 от 01.01.2026 по ЗПП и договор № 921 от 01.04.2026 по складу ТМЦ.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Стоимость собственного штата рассчитана исходя из численности 5 дератизаторов с окладом 350 000 ₸/мес (фонд оплаты труда 21 000 000 ₸/год) и норм расхода материалов по точкам трёх контуров. Приманочные станции 1-го и 2-го контура учтены как разовая закупка оборудования, поэтому затраты первого года выше последующих; яды, клеевые станции и бутылки расходуются ежегодно и начисляются только в тёплый сезон (апрель — октябрь).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3. Объекты и доступные предложения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280"/>
        <w:gridCol w:w="1780"/>
        <w:gridCol w:w="1780"/>
        <w:gridCol w:w="1899"/>
        <w:gridCol w:w="1899"/>
      </w:tblGrid>
      <w:tr>
        <w:trPr>
          <w:tblHeader/>
        </w:trPr>
        <w:tc>
          <w:tcPr>
            <w:tcW w:type="dxa" w:w="228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178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Indigo, ₸/год</w:t>
            </w:r>
          </w:p>
        </w:tc>
        <w:tc>
          <w:tcPr>
            <w:tcW w:type="dxa" w:w="178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Pest Hunters, ₸/год</w:t>
            </w:r>
          </w:p>
        </w:tc>
        <w:tc>
          <w:tcPr>
            <w:tcW w:type="dxa" w:w="1899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Свой штат, 1-й год</w:t>
            </w:r>
          </w:p>
        </w:tc>
        <w:tc>
          <w:tcPr>
            <w:tcW w:type="dxa" w:w="1899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Свой штат, ежегодно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ККЗ · кормоцех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1 159 200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900 000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88 138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25 498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Бройлерные площадки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45 447 600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34 770 000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4 031 874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1 316 754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Инкубаторий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1 514 400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нет в КП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184 206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71 886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ЗПП · завод переработки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1 514 400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2 160 000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нормы не заданы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Склад ТМЦ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нет в КП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720 000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нормы не заданы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color w:val="88888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АБК · 11 корпусов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нет в КП</w:t>
            </w:r>
          </w:p>
        </w:tc>
        <w:tc>
          <w:tcPr>
            <w:tcW w:type="dxa" w:w="17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20"/>
                <w:szCs w:val="20"/>
              </w:rPr>
              <w:t xml:space="preserve">нет в КП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288 747</w:t>
            </w:r>
          </w:p>
        </w:tc>
        <w:tc>
          <w:tcPr>
            <w:tcW w:type="dxa" w:w="189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204 507</w:t>
            </w:r>
          </w:p>
        </w:tc>
      </w:tr>
    </w:tbl>
    <w:p>
      <w:pPr>
        <w:spacing w:after="120" w:before="100" w:line="276"/>
        <w:jc w:val="lef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Полужирным выделена лучшая цена подрядчика по каждому объекту. По АБК предложений нет ни у одного подрядчика, по ЗПП и складу ТМЦ отсутствуют внутренние нормы расхода — эти объекты обслуживаются только подрядчиком.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4. Вариант 1 — подрядчикам ККЗ, Инкубаторий, ЗПП, Склад ТМЦ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5238"/>
        <w:gridCol w:w="2200"/>
        <w:gridCol w:w="2200"/>
      </w:tblGrid>
      <w:tr>
        <w:trPr>
          <w:tblHeader/>
        </w:trPr>
        <w:tc>
          <w:tcPr>
            <w:tcW w:type="dxa" w:w="5238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Статья затрат</w:t>
            </w:r>
          </w:p>
        </w:tc>
        <w:tc>
          <w:tcPr>
            <w:tcW w:type="dxa" w:w="22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1-й год, ₸</w:t>
            </w:r>
          </w:p>
        </w:tc>
        <w:tc>
          <w:tcPr>
            <w:tcW w:type="dxa" w:w="22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2-й год и далее, ₸</w:t>
            </w:r>
          </w:p>
        </w:tc>
      </w:tr>
      <w:t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Подрядчики — ККЗ, Инкубаторий, ЗПП, Склад ТМЦ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4 648 800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4 648 800</w:t>
            </w:r>
          </w:p>
        </w:tc>
      </w:tr>
      <w:t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Материалы своего штата — БП и АБК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4 320 620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1 521 260</w:t>
            </w:r>
          </w:p>
        </w:tc>
      </w:tr>
      <w:t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Фонд оплаты труда — 5 дератизаторов × 350 000 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21 000 000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21 000 000</w:t>
            </w:r>
          </w:p>
        </w:tc>
      </w:tr>
      <w:tr>
        <w:tc>
          <w:tcPr>
            <w:tcW w:type="dxa" w:w="5238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29 969 420</w:t>
            </w:r>
          </w:p>
        </w:tc>
        <w:tc>
          <w:tcPr>
            <w:tcW w:type="dxa" w:w="22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27 170 060</w:t>
            </w:r>
          </w:p>
        </w:tc>
      </w:tr>
    </w:tbl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5. Вариант 2 — подрядчикам ККЗ, ЗПП, Склад ТМЦ (Инкубаторий остаётся у нас)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5238"/>
        <w:gridCol w:w="2200"/>
        <w:gridCol w:w="2200"/>
      </w:tblGrid>
      <w:tr>
        <w:trPr>
          <w:tblHeader/>
        </w:trPr>
        <w:tc>
          <w:tcPr>
            <w:tcW w:type="dxa" w:w="5238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Статья затрат</w:t>
            </w:r>
          </w:p>
        </w:tc>
        <w:tc>
          <w:tcPr>
            <w:tcW w:type="dxa" w:w="22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1-й год, ₸</w:t>
            </w:r>
          </w:p>
        </w:tc>
        <w:tc>
          <w:tcPr>
            <w:tcW w:type="dxa" w:w="22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2-й год и далее, ₸</w:t>
            </w:r>
          </w:p>
        </w:tc>
      </w:tr>
      <w:t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Подрядчики — ККЗ, ЗПП, Склад ТМЦ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3 134 400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3 134 400</w:t>
            </w:r>
          </w:p>
        </w:tc>
      </w:tr>
      <w:t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Материалы своего штата — БП, АБК и Инкубаторий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4 504 826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1 593 146</w:t>
            </w:r>
          </w:p>
        </w:tc>
      </w:tr>
      <w:tr>
        <w:tc>
          <w:tcPr>
            <w:tcW w:type="dxa" w:w="5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Фонд оплаты труда — 5 дератизаторов × 350 000 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21 000 000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21 000 000</w:t>
            </w:r>
          </w:p>
        </w:tc>
      </w:tr>
      <w:tr>
        <w:tc>
          <w:tcPr>
            <w:tcW w:type="dxa" w:w="5238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28 639 226</w:t>
            </w:r>
          </w:p>
        </w:tc>
        <w:tc>
          <w:tcPr>
            <w:tcW w:type="dxa" w:w="22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25 727 546</w:t>
            </w:r>
          </w:p>
        </w:tc>
      </w:tr>
    </w:tbl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6. Сравнение вариантов</w:t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3638"/>
        <w:gridCol w:w="2000"/>
        <w:gridCol w:w="2000"/>
        <w:gridCol w:w="2000"/>
      </w:tblGrid>
      <w:tr>
        <w:trPr>
          <w:tblHeader/>
        </w:trPr>
        <w:tc>
          <w:tcPr>
            <w:tcW w:type="dxa" w:w="3638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0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Вариант 1</w:t>
            </w:r>
          </w:p>
        </w:tc>
        <w:tc>
          <w:tcPr>
            <w:tcW w:type="dxa" w:w="20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Вариант 2</w:t>
            </w:r>
          </w:p>
        </w:tc>
        <w:tc>
          <w:tcPr>
            <w:tcW w:type="dxa" w:w="2000"/>
            <w:shd w:fill="1F6B5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Разница</w:t>
            </w:r>
          </w:p>
        </w:tc>
      </w:tr>
      <w:t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Оплата подрядчикам, ₸/год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4 648 800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3 134 400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−1 514 400</w:t>
            </w:r>
          </w:p>
        </w:tc>
      </w:tr>
      <w:t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Материалы своего штата, 1-й год, 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4 320 620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4 504 826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+184 206</w:t>
            </w:r>
          </w:p>
        </w:tc>
      </w:tr>
      <w:tr>
        <w:tc>
          <w:tcPr>
            <w:tcW w:type="dxa" w:w="3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Фонд оплаты труда, ₸/год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21 000 000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21 000 000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888888"/>
                <w:sz w:val="18"/>
                <w:szCs w:val="18"/>
              </w:rPr>
              <w:t xml:space="preserve">без изменений</w:t>
            </w:r>
          </w:p>
        </w:tc>
      </w:tr>
      <w:tr>
        <w:tc>
          <w:tcPr>
            <w:tcW w:type="dxa" w:w="3638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ИТОГО, 1-й год, ₸</w:t>
            </w:r>
          </w:p>
        </w:tc>
        <w:tc>
          <w:tcPr>
            <w:tcW w:type="dxa" w:w="20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29 969 420</w:t>
            </w:r>
          </w:p>
        </w:tc>
        <w:tc>
          <w:tcPr>
            <w:tcW w:type="dxa" w:w="20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28 639 226</w:t>
            </w:r>
          </w:p>
        </w:tc>
        <w:tc>
          <w:tcPr>
            <w:tcW w:type="dxa" w:w="20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6B54"/>
                <w:sz w:val="22"/>
                <w:szCs w:val="22"/>
              </w:rPr>
              <w:t xml:space="preserve">−1 330 194</w:t>
            </w:r>
          </w:p>
        </w:tc>
      </w:tr>
      <w:tr>
        <w:tc>
          <w:tcPr>
            <w:tcW w:type="dxa" w:w="3638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ИТОГО, 2-й год и далее, ₸</w:t>
            </w:r>
          </w:p>
        </w:tc>
        <w:tc>
          <w:tcPr>
            <w:tcW w:type="dxa" w:w="20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27 170 060</w:t>
            </w:r>
          </w:p>
        </w:tc>
        <w:tc>
          <w:tcPr>
            <w:tcW w:type="dxa" w:w="20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25 727 546</w:t>
            </w:r>
          </w:p>
        </w:tc>
        <w:tc>
          <w:tcPr>
            <w:tcW w:type="dxa" w:w="2000"/>
            <w:shd w:fill="E8F1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6B54"/>
                <w:sz w:val="22"/>
                <w:szCs w:val="22"/>
              </w:rPr>
              <w:t xml:space="preserve">−1 442 514</w:t>
            </w:r>
          </w:p>
        </w:tc>
      </w:tr>
      <w:tr>
        <w:tc>
          <w:tcPr>
            <w:tcW w:type="dxa" w:w="36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Суммарно за 3 года, ₸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84 309 541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80 094 317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6B54"/>
                <w:sz w:val="20"/>
                <w:szCs w:val="20"/>
              </w:rPr>
              <w:t xml:space="preserve">−4 215 224</w:t>
            </w:r>
          </w:p>
        </w:tc>
      </w:tr>
    </w:tbl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7. Выводы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Бройлерные площадки следует оставить за собственным штатом при любом варианте. Их обслуживание подрядчиком стоит 34 770 000 ₸/год (лучшее предложение — Pest Hunters), тогда как материалы собственного обслуживания составляют 4 031 874 ₸ в первый год и 1 316 754 ₸ ежегодно далее. Это самая крупная позиция во всём перечне и основной источник экономии.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Фонд оплаты труда является постоянной величиной для обоих вариантов. По АБК коммерческих предложений нет ни у Indigo, ни у Pest Hunters, поэтому собственная служба дератизации необходима вне зависимости от выбранной схемы. Следовательно, каждый дополнительный объект, переданный собственному штату, увеличивает затраты только на стоимость материалов.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7.3. По Инкубаторию разница между вариантами определяется исключительно этим соотношением: оплата подрядчику 1 514 400 ₸/год против материалов 184 206 ₸ в первый год и 71 886 ₸ ежегодно далее. Экономия Варианта 2 составляет 1 330 194 ₸ в первый год и 1 442 514 ₸ ежегодно в дальнейшем — 4 215 224 ₸ за три года.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7.4. Закупку у подрядчиков целесообразно распределить между двумя поставщиками по лучшей цене на каждом объекте: ККЗ и Склад ТМЦ — Pest Hunters, ЗПП (и Инкубаторий в Варианте 1) — Indigo Solutions. Передача тех же объектов одному Indigo обошлась бы дороже.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8. Рекомендация</w:t>
      </w:r>
    </w:p>
    <w:tbl>
      <w:tblPr>
        <w:tblW w:type="dxa" w:w="9638"/>
        <w:tblBorders>
          <w:top w:val="single" w:color="1F6B54" w:sz="12"/>
          <w:left w:val="single" w:color="1F6B54" w:sz="12"/>
          <w:bottom w:val="single" w:color="1F6B54" w:sz="12"/>
          <w:right w:val="single" w:color="1F6B54" w:sz="1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8F1EE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10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Рекомендуется Вариант 2 — при условии подтверждения того, что действующая численность (5 дератизаторов) справится с дополнительной нагрузкой по Инкубаторию.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Вариант 2 дешевле Варианта 1 на 1 442 514 ₸ в год при равном фонде оплаты труда. Если по итогам оценки трудозатрат выяснится, что для Инкубатория требуется дополнительный дератизатор, экономия Варианта 2 будет полностью перекрыта затратами на оплату труда (4 200 000 ₸/год), и предпочтительным станет Вариант 1.</w:t>
            </w:r>
          </w:p>
        </w:tc>
      </w:tr>
    </w:tbl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6B54"/>
          <w:sz w:val="26"/>
          <w:szCs w:val="26"/>
        </w:rPr>
        <w:t xml:space="preserve">9. Что требует подтверждения до принятия решения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Трудоёмкость Инкубатория. Расчёт учитывает только стоимость материалов и не оценивает, достаточно ли пяти дератизаторов для обслуживания бройлерных площадок, АБК и Инкубатория одновременно. Требуется оценка технолога.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Нормы расхода по ЗПП и складу ТМЦ отсутствуют, поэтому вариант их обслуживания собственными силами не рассчитывался. При наличии норм оба объекта следует пересчитать по той же методике.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Норма расхода Pest Killer по АБК (1,3 кг) является ориентировочной оценкой и требует подтверждения.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9.4. Скидки Indigo Solutions (15 % за всю территорию фабрики, 15 % за стопроцентную предоплату, 16 % для неплательщика НДС) в расчёте не применялись: по условиям КП базовая скидка предоставляется при передаче подрядчику всей территории фабрики, что ни одним из вариантов не предполагается. Возможность применения остальных скидок к частичному объёму подлежит уточнению у подрядчика.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9.5. Цены Indigo Solutions включают НДС, цены Pest Hunters указаны без НДС. При окончательном сравнении коммерческих условий суммы следует привести к сопоставимому виду.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9.6. Стоимость дезинсекции в расчёт не входит и тарифицируется подрядчиками отдельно.</w:t>
      </w:r>
    </w:p>
    <w:p>
      <w:pPr>
        <w:spacing w:after="0" w:before="60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dxa" w:w="9638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Подготовил: ______________________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«____» ______________ 2026 г.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 w:line="276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Согласовано: ______________________</w:t>
            </w:r>
          </w:p>
          <w:p>
            <w:pPr>
              <w:spacing w:after="0" w:before="0" w:line="276"/>
              <w:jc w:val="left"/>
            </w:pPr>
            <w:r>
              <w:rPr>
                <w:rFonts w:ascii="Times New Roman" w:cs="Times New Roman" w:eastAsia="Times New Roman" w:hAnsi="Times New Roman"/>
                <w:color w:val="666666"/>
                <w:sz w:val="20"/>
                <w:szCs w:val="20"/>
              </w:rPr>
              <w:t xml:space="preserve">«____» ______________ 2026 г.</w:t>
            </w:r>
          </w:p>
        </w:tc>
      </w:tr>
    </w:tbl>
    <w:p>
      <w:pPr>
        <w:spacing w:after="120" w:before="400" w:line="276"/>
        <w:jc w:val="left"/>
      </w:pPr>
      <w:r>
        <w:rPr>
          <w:rFonts w:ascii="Times New Roman" w:cs="Times New Roman" w:eastAsia="Times New Roman" w:hAnsi="Times New Roman"/>
          <w:i/>
          <w:iCs/>
          <w:color w:val="777777"/>
          <w:sz w:val="18"/>
          <w:szCs w:val="18"/>
        </w:rPr>
        <w:t xml:space="preserve">Расчёт выполнен на основании рабочей книги «УКПФ_дератизация_сравнение_КП.xlsx». Суммы округлены до тенге.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дератизации на 2026 год — сравнение вариантов</dc:title>
  <dc:creator>АО «Усть-Каменогорская птицефабрика»</dc:creator>
  <cp:lastModifiedBy>Un-named</cp:lastModifiedBy>
  <cp:revision>1</cp:revision>
  <dcterms:created xsi:type="dcterms:W3CDTF">2026-08-26T10:59:23.895Z</dcterms:created>
  <dcterms:modified xsi:type="dcterms:W3CDTF">2026-08-26T10:59:23.895Z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