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FE4C2" w14:textId="7F0AF216" w:rsidR="00C242CC" w:rsidRPr="006C5212" w:rsidRDefault="00C242CC" w:rsidP="00C242CC">
      <w:pPr>
        <w:pStyle w:val="Balk2"/>
        <w:rPr>
          <w:rFonts w:cs="Arial"/>
          <w:lang w:val="en-US"/>
        </w:rPr>
      </w:pPr>
      <w:bookmarkStart w:id="0" w:name="_Toc70526597"/>
      <w:r w:rsidRPr="006C5212">
        <w:rPr>
          <w:rFonts w:cs="Arial"/>
          <w:lang w:val="en-US"/>
        </w:rPr>
        <w:t>4.2. Winding Selection</w:t>
      </w:r>
      <w:bookmarkEnd w:id="0"/>
    </w:p>
    <w:p w14:paraId="61F631B2" w14:textId="214DECF5" w:rsidR="00C242CC" w:rsidRPr="006C5212" w:rsidRDefault="00EC2EFE" w:rsidP="003D0701">
      <w:pPr>
        <w:ind w:firstLine="708"/>
        <w:jc w:val="both"/>
        <w:rPr>
          <w:lang w:val="en-US" w:eastAsia="en-US"/>
        </w:rPr>
      </w:pPr>
      <w:r w:rsidRPr="006C5212">
        <w:rPr>
          <w:lang w:val="en-US" w:eastAsia="en-US"/>
        </w:rPr>
        <w:t>Winding selection is another important topi</w:t>
      </w:r>
      <w:r w:rsidR="00E93F14" w:rsidRPr="006C5212">
        <w:rPr>
          <w:lang w:val="en-US" w:eastAsia="en-US"/>
        </w:rPr>
        <w:t xml:space="preserve">c while designing a transformer. Both </w:t>
      </w:r>
      <w:r w:rsidR="00341DD4" w:rsidRPr="006C5212">
        <w:rPr>
          <w:lang w:val="en-US" w:eastAsia="en-US"/>
        </w:rPr>
        <w:t xml:space="preserve">the </w:t>
      </w:r>
      <w:r w:rsidR="00E93F14" w:rsidRPr="006C5212">
        <w:rPr>
          <w:lang w:val="en-US" w:eastAsia="en-US"/>
        </w:rPr>
        <w:t>wire</w:t>
      </w:r>
      <w:r w:rsidR="00341DD4" w:rsidRPr="006C5212">
        <w:rPr>
          <w:lang w:val="en-US" w:eastAsia="en-US"/>
        </w:rPr>
        <w:t xml:space="preserve"> itself</w:t>
      </w:r>
      <w:r w:rsidR="00E93F14" w:rsidRPr="006C5212">
        <w:rPr>
          <w:lang w:val="en-US" w:eastAsia="en-US"/>
        </w:rPr>
        <w:t xml:space="preserve"> and</w:t>
      </w:r>
      <w:r w:rsidR="00062D79" w:rsidRPr="006C5212">
        <w:rPr>
          <w:lang w:val="en-US" w:eastAsia="en-US"/>
        </w:rPr>
        <w:t xml:space="preserve"> the wiring type effects the performance of the </w:t>
      </w:r>
      <w:r w:rsidR="005A2A8D" w:rsidRPr="006C5212">
        <w:rPr>
          <w:lang w:val="en-US" w:eastAsia="en-US"/>
        </w:rPr>
        <w:t xml:space="preserve">transformer. </w:t>
      </w:r>
      <w:r w:rsidR="00B64AD1" w:rsidRPr="006C5212">
        <w:rPr>
          <w:lang w:val="en-US" w:eastAsia="en-US"/>
        </w:rPr>
        <w:t>Choosing thicker wire may seem to reduce the resistance and losses however due to skin and proximity effects</w:t>
      </w:r>
      <w:r w:rsidR="00504373" w:rsidRPr="006C5212">
        <w:rPr>
          <w:lang w:val="en-US" w:eastAsia="en-US"/>
        </w:rPr>
        <w:t>, diameter of the wire does not</w:t>
      </w:r>
      <w:r w:rsidR="007E3734" w:rsidRPr="006C5212">
        <w:rPr>
          <w:lang w:val="en-US" w:eastAsia="en-US"/>
        </w:rPr>
        <w:t xml:space="preserve"> affect</w:t>
      </w:r>
      <w:r w:rsidR="00504373" w:rsidRPr="006C5212">
        <w:rPr>
          <w:lang w:val="en-US" w:eastAsia="en-US"/>
        </w:rPr>
        <w:t xml:space="preserve"> losses after a point.</w:t>
      </w:r>
      <w:r w:rsidR="007A65B6" w:rsidRPr="006C5212">
        <w:rPr>
          <w:lang w:val="en-US" w:eastAsia="en-US"/>
        </w:rPr>
        <w:t xml:space="preserve"> </w:t>
      </w:r>
      <w:r w:rsidR="0045270E" w:rsidRPr="006C5212">
        <w:rPr>
          <w:lang w:val="en-US" w:eastAsia="en-US"/>
        </w:rPr>
        <w:t>Moreover,</w:t>
      </w:r>
      <w:r w:rsidR="007A65B6" w:rsidRPr="006C5212">
        <w:rPr>
          <w:lang w:val="en-US" w:eastAsia="en-US"/>
        </w:rPr>
        <w:t xml:space="preserve"> thicker wires results in bulkier windings which </w:t>
      </w:r>
      <w:r w:rsidR="0045270E" w:rsidRPr="006C5212">
        <w:rPr>
          <w:lang w:val="en-US" w:eastAsia="en-US"/>
        </w:rPr>
        <w:t>increases</w:t>
      </w:r>
      <w:r w:rsidR="007A65B6" w:rsidRPr="006C5212">
        <w:rPr>
          <w:lang w:val="en-US" w:eastAsia="en-US"/>
        </w:rPr>
        <w:t xml:space="preserve"> leakage </w:t>
      </w:r>
      <w:r w:rsidR="00E909B1" w:rsidRPr="006C5212">
        <w:rPr>
          <w:lang w:val="en-US" w:eastAsia="en-US"/>
        </w:rPr>
        <w:t>inductances.</w:t>
      </w:r>
      <w:r w:rsidR="00184F7C" w:rsidRPr="006C5212">
        <w:rPr>
          <w:lang w:val="en-US" w:eastAsia="en-US"/>
        </w:rPr>
        <w:t xml:space="preserve"> </w:t>
      </w:r>
      <w:r w:rsidR="003542FD" w:rsidRPr="006C5212">
        <w:rPr>
          <w:lang w:val="en-US" w:eastAsia="en-US"/>
        </w:rPr>
        <w:t>However,</w:t>
      </w:r>
      <w:r w:rsidR="00561F19" w:rsidRPr="006C5212">
        <w:rPr>
          <w:lang w:val="en-US" w:eastAsia="en-US"/>
        </w:rPr>
        <w:t xml:space="preserve"> choosing wires t</w:t>
      </w:r>
      <w:r w:rsidR="008716A1" w:rsidRPr="006C5212">
        <w:rPr>
          <w:lang w:val="en-US" w:eastAsia="en-US"/>
        </w:rPr>
        <w:t>o</w:t>
      </w:r>
      <w:r w:rsidR="00561F19" w:rsidRPr="006C5212">
        <w:rPr>
          <w:lang w:val="en-US" w:eastAsia="en-US"/>
        </w:rPr>
        <w:t>o thin may result in e</w:t>
      </w:r>
      <w:r w:rsidR="00D0276B" w:rsidRPr="006C5212">
        <w:rPr>
          <w:lang w:val="en-US" w:eastAsia="en-US"/>
        </w:rPr>
        <w:t xml:space="preserve">xcessive heat generation and meltdown in critical </w:t>
      </w:r>
      <w:r w:rsidR="008716A1" w:rsidRPr="006C5212">
        <w:rPr>
          <w:lang w:val="en-US" w:eastAsia="en-US"/>
        </w:rPr>
        <w:t xml:space="preserve">points </w:t>
      </w:r>
      <w:r w:rsidR="001B67A1" w:rsidRPr="006C5212">
        <w:rPr>
          <w:lang w:val="en-US" w:eastAsia="en-US"/>
        </w:rPr>
        <w:t>of</w:t>
      </w:r>
      <w:r w:rsidR="008716A1" w:rsidRPr="006C5212">
        <w:rPr>
          <w:lang w:val="en-US" w:eastAsia="en-US"/>
        </w:rPr>
        <w:t xml:space="preserve"> the winding.</w:t>
      </w:r>
      <w:r w:rsidR="001B67A1" w:rsidRPr="006C5212">
        <w:rPr>
          <w:lang w:val="en-US" w:eastAsia="en-US"/>
        </w:rPr>
        <w:t xml:space="preserve"> Therefore, </w:t>
      </w:r>
      <w:r w:rsidR="000153EB" w:rsidRPr="006C5212">
        <w:rPr>
          <w:lang w:val="en-US" w:eastAsia="en-US"/>
        </w:rPr>
        <w:t>we tried to make a balanced selection.</w:t>
      </w:r>
    </w:p>
    <w:p w14:paraId="66B7BDDB" w14:textId="77439753" w:rsidR="00C71DE9" w:rsidRPr="006C5212" w:rsidRDefault="00AB6AAA" w:rsidP="003D0701">
      <w:pPr>
        <w:jc w:val="both"/>
        <w:rPr>
          <w:lang w:val="en-US" w:eastAsia="en-US"/>
        </w:rPr>
      </w:pPr>
      <w:r w:rsidRPr="006C5212">
        <w:rPr>
          <w:lang w:val="en-US" w:eastAsia="en-US"/>
        </w:rPr>
        <w:tab/>
        <w:t>First, we assumed that output current flows</w:t>
      </w:r>
      <w:r w:rsidR="005734EA" w:rsidRPr="006C5212">
        <w:rPr>
          <w:lang w:val="en-US" w:eastAsia="en-US"/>
        </w:rPr>
        <w:t xml:space="preserve"> through the windings</w:t>
      </w:r>
      <w:r w:rsidRPr="006C5212">
        <w:rPr>
          <w:lang w:val="en-US" w:eastAsia="en-US"/>
        </w:rPr>
        <w:t xml:space="preserve"> </w:t>
      </w:r>
      <w:r w:rsidR="005734EA" w:rsidRPr="006C5212">
        <w:rPr>
          <w:lang w:val="en-US" w:eastAsia="en-US"/>
        </w:rPr>
        <w:t>without alternating and find a</w:t>
      </w:r>
      <w:r w:rsidR="00245B07" w:rsidRPr="006C5212">
        <w:rPr>
          <w:lang w:val="en-US" w:eastAsia="en-US"/>
        </w:rPr>
        <w:t xml:space="preserve"> wire so that </w:t>
      </w:r>
      <w:r w:rsidR="00C43701" w:rsidRPr="006C5212">
        <w:rPr>
          <w:lang w:val="en-US" w:eastAsia="en-US"/>
        </w:rPr>
        <w:t>current density of the wire is around 5</w:t>
      </w:r>
      <w:r w:rsidR="003C4DAF" w:rsidRPr="006C5212">
        <w:rPr>
          <w:lang w:val="en-US" w:eastAsia="en-US"/>
        </w:rPr>
        <w:t xml:space="preserve"> </w:t>
      </w:r>
      <w:r w:rsidR="00C43701" w:rsidRPr="006C5212">
        <w:rPr>
          <w:lang w:val="en-US" w:eastAsia="en-US"/>
        </w:rPr>
        <w:t>A/mm</w:t>
      </w:r>
      <w:r w:rsidR="00C43701" w:rsidRPr="006C5212">
        <w:rPr>
          <w:vertAlign w:val="superscript"/>
          <w:lang w:val="en-US" w:eastAsia="en-US"/>
        </w:rPr>
        <w:t>2</w:t>
      </w:r>
    </w:p>
    <w:p w14:paraId="61BDACF8" w14:textId="390ED6BA" w:rsidR="00981BDF" w:rsidRPr="006C5212" w:rsidRDefault="00BD762C" w:rsidP="00981BDF">
      <w:pPr>
        <w:pStyle w:val="AralkYok"/>
        <w:ind w:firstLine="567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out</m:t>
              </m:r>
            </m:sub>
          </m:sSub>
          <m:r>
            <w:rPr>
              <w:rFonts w:ascii="Cambria Math" w:hAnsi="Cambria Math"/>
              <w:lang w:val="en-US"/>
            </w:rPr>
            <m:t>=8.34 A</m:t>
          </m:r>
        </m:oMath>
      </m:oMathPara>
    </w:p>
    <w:p w14:paraId="41442EC7" w14:textId="1ECD2AE5" w:rsidR="00C43701" w:rsidRPr="006C5212" w:rsidRDefault="00BD762C" w:rsidP="00C242C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wire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r>
                <w:rPr>
                  <w:rFonts w:ascii="Cambria Math" w:hAnsi="Cambria Math"/>
                  <w:lang w:val="en-US"/>
                </w:rPr>
                <m:t>J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8.34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 xml:space="preserve">=1.668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mm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3FF34445" w14:textId="77777777" w:rsidR="002E322C" w:rsidRPr="006C5212" w:rsidRDefault="002E322C" w:rsidP="00C242CC">
      <w:pPr>
        <w:rPr>
          <w:lang w:val="en-US"/>
        </w:rPr>
      </w:pPr>
    </w:p>
    <w:p w14:paraId="48ED8F3F" w14:textId="0F6B57B4" w:rsidR="00364DA0" w:rsidRPr="006C5212" w:rsidRDefault="00BD762C" w:rsidP="00C242C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wire</m:t>
              </m:r>
            </m:sub>
          </m:sSub>
          <m:r>
            <w:rPr>
              <w:rFonts w:ascii="Cambria Math" w:hAnsi="Cambria Math"/>
              <w:lang w:val="en-US"/>
            </w:rPr>
            <m:t>=1.458 mm</m:t>
          </m:r>
        </m:oMath>
      </m:oMathPara>
    </w:p>
    <w:p w14:paraId="24104253" w14:textId="77777777" w:rsidR="002E322C" w:rsidRPr="006C5212" w:rsidRDefault="002E322C" w:rsidP="00C242CC">
      <w:pPr>
        <w:rPr>
          <w:lang w:val="en-US"/>
        </w:rPr>
      </w:pPr>
    </w:p>
    <w:p w14:paraId="27A4E368" w14:textId="47799515" w:rsidR="001F4FFC" w:rsidRPr="006C5212" w:rsidRDefault="001C71B8" w:rsidP="003D0701">
      <w:pPr>
        <w:ind w:firstLine="708"/>
        <w:jc w:val="both"/>
        <w:rPr>
          <w:lang w:val="en-US"/>
        </w:rPr>
      </w:pPr>
      <w:r w:rsidRPr="006C5212">
        <w:rPr>
          <w:lang w:val="en-US"/>
        </w:rPr>
        <w:t xml:space="preserve">Even </w:t>
      </w:r>
      <w:r w:rsidR="00C65CF2" w:rsidRPr="006C5212">
        <w:rPr>
          <w:lang w:val="en-US"/>
        </w:rPr>
        <w:t xml:space="preserve">though, due to skin and proximity effects, current will </w:t>
      </w:r>
      <w:r w:rsidR="001759B2" w:rsidRPr="006C5212">
        <w:rPr>
          <w:lang w:val="en-US"/>
        </w:rPr>
        <w:t>flow nonhomogen</w:t>
      </w:r>
      <w:r w:rsidR="00662760" w:rsidRPr="006C5212">
        <w:rPr>
          <w:lang w:val="en-US"/>
        </w:rPr>
        <w:t>e</w:t>
      </w:r>
      <w:r w:rsidR="001759B2" w:rsidRPr="006C5212">
        <w:rPr>
          <w:lang w:val="en-US"/>
        </w:rPr>
        <w:t>ous and</w:t>
      </w:r>
      <w:r w:rsidR="00662760" w:rsidRPr="006C5212">
        <w:rPr>
          <w:lang w:val="en-US"/>
        </w:rPr>
        <w:t xml:space="preserve"> most of the copper will</w:t>
      </w:r>
      <w:r w:rsidR="00B53059" w:rsidRPr="006C5212">
        <w:rPr>
          <w:lang w:val="en-US"/>
        </w:rPr>
        <w:t xml:space="preserve"> not carry any current, high heat capacitance of thicker wire will</w:t>
      </w:r>
      <w:r w:rsidR="003D0701" w:rsidRPr="006C5212">
        <w:rPr>
          <w:lang w:val="en-US"/>
        </w:rPr>
        <w:t xml:space="preserve"> prevent burnouts in the winding.</w:t>
      </w:r>
    </w:p>
    <w:p w14:paraId="1074FDF3" w14:textId="148E8A78" w:rsidR="00364DA0" w:rsidRPr="006C5212" w:rsidRDefault="00364DA0" w:rsidP="00C242CC">
      <w:pPr>
        <w:rPr>
          <w:lang w:val="en-US" w:eastAsia="en-US"/>
        </w:rPr>
      </w:pPr>
    </w:p>
    <w:p w14:paraId="3B62E081" w14:textId="7EE8DE93" w:rsidR="00D11308" w:rsidRPr="006C5212" w:rsidRDefault="00D11308" w:rsidP="00C242CC">
      <w:pPr>
        <w:rPr>
          <w:lang w:val="en-US" w:eastAsia="en-US"/>
        </w:rPr>
      </w:pPr>
      <w:r w:rsidRPr="006C5212">
        <w:rPr>
          <w:lang w:val="en-US" w:eastAsia="en-US"/>
        </w:rPr>
        <w:tab/>
        <w:t xml:space="preserve">We have </w:t>
      </w:r>
      <w:r w:rsidR="009776CC" w:rsidRPr="006C5212">
        <w:rPr>
          <w:lang w:val="en-US" w:eastAsia="en-US"/>
        </w:rPr>
        <w:t xml:space="preserve">total of 31 turns of winding which consists of 25 primary, </w:t>
      </w:r>
      <w:r w:rsidR="00F448FB" w:rsidRPr="006C5212">
        <w:rPr>
          <w:lang w:val="en-US" w:eastAsia="en-US"/>
        </w:rPr>
        <w:t>3 secondary and 3 feedback turns. The selected core can</w:t>
      </w:r>
      <w:r w:rsidR="00E01637" w:rsidRPr="006C5212">
        <w:rPr>
          <w:lang w:val="en-US" w:eastAsia="en-US"/>
        </w:rPr>
        <w:t xml:space="preserve"> accommodate around 12-13 turns per layer</w:t>
      </w:r>
      <w:r w:rsidR="00841A4C" w:rsidRPr="006C5212">
        <w:rPr>
          <w:lang w:val="en-US" w:eastAsia="en-US"/>
        </w:rPr>
        <w:t xml:space="preserve">. Since we only needed </w:t>
      </w:r>
      <w:r w:rsidR="005D4652" w:rsidRPr="006C5212">
        <w:rPr>
          <w:lang w:val="en-US" w:eastAsia="en-US"/>
        </w:rPr>
        <w:t>three</w:t>
      </w:r>
      <w:r w:rsidR="00841A4C" w:rsidRPr="006C5212">
        <w:rPr>
          <w:lang w:val="en-US" w:eastAsia="en-US"/>
        </w:rPr>
        <w:t xml:space="preserve"> layers of </w:t>
      </w:r>
      <w:r w:rsidR="007B35DB" w:rsidRPr="006C5212">
        <w:rPr>
          <w:lang w:val="en-US" w:eastAsia="en-US"/>
        </w:rPr>
        <w:t>windings,</w:t>
      </w:r>
      <w:r w:rsidR="00841A4C" w:rsidRPr="006C5212">
        <w:rPr>
          <w:lang w:val="en-US" w:eastAsia="en-US"/>
        </w:rPr>
        <w:t xml:space="preserve"> we </w:t>
      </w:r>
      <w:r w:rsidR="007B35DB" w:rsidRPr="006C5212">
        <w:rPr>
          <w:lang w:val="en-US" w:eastAsia="en-US"/>
        </w:rPr>
        <w:t xml:space="preserve">did not </w:t>
      </w:r>
      <w:r w:rsidR="007D4DE8" w:rsidRPr="006C5212">
        <w:rPr>
          <w:lang w:val="en-US" w:eastAsia="en-US"/>
        </w:rPr>
        <w:t xml:space="preserve">see necessary </w:t>
      </w:r>
      <w:r w:rsidR="002F4DFD" w:rsidRPr="006C5212">
        <w:rPr>
          <w:lang w:val="en-US" w:eastAsia="en-US"/>
        </w:rPr>
        <w:t xml:space="preserve">to make interleaved winding and </w:t>
      </w:r>
      <w:r w:rsidR="009959E7" w:rsidRPr="006C5212">
        <w:rPr>
          <w:lang w:val="en-US" w:eastAsia="en-US"/>
        </w:rPr>
        <w:t xml:space="preserve">make </w:t>
      </w:r>
      <w:r w:rsidR="005D4652" w:rsidRPr="006C5212">
        <w:rPr>
          <w:lang w:val="en-US" w:eastAsia="en-US"/>
        </w:rPr>
        <w:t>two</w:t>
      </w:r>
      <w:r w:rsidR="009959E7" w:rsidRPr="006C5212">
        <w:rPr>
          <w:lang w:val="en-US" w:eastAsia="en-US"/>
        </w:rPr>
        <w:t xml:space="preserve"> layers of primary winding and one layer of combined secondary and feedback winding</w:t>
      </w:r>
      <w:r w:rsidR="00B35192" w:rsidRPr="006C5212">
        <w:rPr>
          <w:lang w:val="en-US" w:eastAsia="en-US"/>
        </w:rPr>
        <w:t>.</w:t>
      </w:r>
    </w:p>
    <w:p w14:paraId="4207AD82" w14:textId="77777777" w:rsidR="00C242CC" w:rsidRPr="006C5212" w:rsidRDefault="00C242CC" w:rsidP="00C242CC">
      <w:pPr>
        <w:rPr>
          <w:lang w:val="en-US"/>
        </w:rPr>
      </w:pPr>
    </w:p>
    <w:p w14:paraId="3B98358F" w14:textId="77777777" w:rsidR="00C242CC" w:rsidRPr="006C5212" w:rsidRDefault="00C242CC" w:rsidP="00C242CC">
      <w:pPr>
        <w:pStyle w:val="Balk2"/>
        <w:rPr>
          <w:rFonts w:cs="Arial"/>
          <w:lang w:val="en-US"/>
        </w:rPr>
      </w:pPr>
      <w:bookmarkStart w:id="1" w:name="_Toc70526598"/>
      <w:r w:rsidRPr="006C5212">
        <w:rPr>
          <w:rFonts w:cs="Arial"/>
          <w:lang w:val="en-US"/>
        </w:rPr>
        <w:t>4.3. Finite Element Analysis</w:t>
      </w:r>
      <w:bookmarkEnd w:id="1"/>
      <w:r w:rsidRPr="006C5212">
        <w:rPr>
          <w:rFonts w:cs="Arial"/>
          <w:lang w:val="en-US"/>
        </w:rPr>
        <w:t xml:space="preserve"> </w:t>
      </w:r>
    </w:p>
    <w:p w14:paraId="19CC9A11" w14:textId="596C47BA" w:rsidR="00442B24" w:rsidRDefault="006C5212" w:rsidP="00905760">
      <w:pPr>
        <w:ind w:firstLine="708"/>
        <w:jc w:val="both"/>
        <w:rPr>
          <w:lang w:val="en-US"/>
        </w:rPr>
      </w:pPr>
      <w:r w:rsidRPr="006C5212">
        <w:rPr>
          <w:lang w:val="en-US"/>
        </w:rPr>
        <w:t>Aft</w:t>
      </w:r>
      <w:r>
        <w:rPr>
          <w:lang w:val="en-US"/>
        </w:rPr>
        <w:t>er deciding the core</w:t>
      </w:r>
      <w:r w:rsidR="00837154">
        <w:rPr>
          <w:lang w:val="en-US"/>
        </w:rPr>
        <w:t xml:space="preserve"> material, shape, airgap and the windings</w:t>
      </w:r>
      <w:r w:rsidR="00DB2730">
        <w:rPr>
          <w:lang w:val="en-US"/>
        </w:rPr>
        <w:t>, we started to draw the transformer in Maxwell 3D.</w:t>
      </w:r>
      <w:r w:rsidR="00B15C91">
        <w:rPr>
          <w:lang w:val="en-US"/>
        </w:rPr>
        <w:t xml:space="preserve"> For faster analysis</w:t>
      </w:r>
      <w:r w:rsidR="00085800">
        <w:rPr>
          <w:lang w:val="en-US"/>
        </w:rPr>
        <w:t>, continuous surfaces were drawn with edges</w:t>
      </w:r>
      <w:r w:rsidR="00905760">
        <w:rPr>
          <w:lang w:val="en-US"/>
        </w:rPr>
        <w:t xml:space="preserve"> as shown in </w:t>
      </w:r>
      <w:r w:rsidR="00905760" w:rsidRPr="00905760">
        <w:rPr>
          <w:b/>
          <w:bCs/>
          <w:color w:val="FF0000"/>
          <w:lang w:val="en-US"/>
        </w:rPr>
        <w:t>FİG XX</w:t>
      </w:r>
      <w:r w:rsidR="00905760">
        <w:rPr>
          <w:b/>
          <w:bCs/>
          <w:color w:val="FF0000"/>
          <w:lang w:val="en-US"/>
        </w:rPr>
        <w:t xml:space="preserve">. </w:t>
      </w:r>
      <w:r w:rsidR="00E30B3A">
        <w:rPr>
          <w:lang w:val="en-US"/>
        </w:rPr>
        <w:t xml:space="preserve">Main reason of </w:t>
      </w:r>
      <w:r w:rsidR="00393D6A">
        <w:rPr>
          <w:lang w:val="en-US"/>
        </w:rPr>
        <w:t xml:space="preserve">Finite Element Analysis is to check our design parameters and </w:t>
      </w:r>
      <w:r w:rsidR="00C75B14">
        <w:rPr>
          <w:lang w:val="en-US"/>
        </w:rPr>
        <w:t>calculate transformer parameters which can not be calculated analyt</w:t>
      </w:r>
      <w:r w:rsidR="00DE04B0">
        <w:rPr>
          <w:lang w:val="en-US"/>
        </w:rPr>
        <w:t xml:space="preserve">ically. </w:t>
      </w:r>
      <w:r w:rsidR="00F254D3">
        <w:rPr>
          <w:lang w:val="en-US"/>
        </w:rPr>
        <w:t>First,</w:t>
      </w:r>
      <w:r w:rsidR="00D300D7">
        <w:rPr>
          <w:lang w:val="en-US"/>
        </w:rPr>
        <w:t xml:space="preserve"> we </w:t>
      </w:r>
      <w:r w:rsidR="00B33571">
        <w:rPr>
          <w:lang w:val="en-US"/>
        </w:rPr>
        <w:t xml:space="preserve">draw only the primary winding to check our </w:t>
      </w:r>
      <w:r w:rsidR="00F254D3">
        <w:rPr>
          <w:lang w:val="en-US"/>
        </w:rPr>
        <w:t>model’s</w:t>
      </w:r>
      <w:r w:rsidR="00B33571">
        <w:rPr>
          <w:lang w:val="en-US"/>
        </w:rPr>
        <w:t xml:space="preserve"> validity. </w:t>
      </w:r>
      <w:r w:rsidR="00F254D3">
        <w:rPr>
          <w:lang w:val="en-US"/>
        </w:rPr>
        <w:t xml:space="preserve">After finding that analysis results were almost same with datasheet values of the core we continued </w:t>
      </w:r>
      <w:r w:rsidR="00C50FAB">
        <w:rPr>
          <w:lang w:val="en-US"/>
        </w:rPr>
        <w:t xml:space="preserve">with secondary and feedback windings. However, </w:t>
      </w:r>
      <w:r w:rsidR="00877B81">
        <w:rPr>
          <w:lang w:val="en-US"/>
        </w:rPr>
        <w:t>if we make 25 turn primary and 3 turn secondary, secondary inductance becomes lar</w:t>
      </w:r>
      <w:r w:rsidR="00EB1BCA">
        <w:rPr>
          <w:lang w:val="en-US"/>
        </w:rPr>
        <w:t>ger than the calculations.</w:t>
      </w:r>
      <w:r w:rsidR="005D67BF">
        <w:rPr>
          <w:lang w:val="en-US"/>
        </w:rPr>
        <w:t xml:space="preserve"> This is most probably due to reduction </w:t>
      </w:r>
      <w:r w:rsidR="006F2EC4">
        <w:rPr>
          <w:lang w:val="en-US"/>
        </w:rPr>
        <w:t>of</w:t>
      </w:r>
      <w:r w:rsidR="005D67BF">
        <w:rPr>
          <w:lang w:val="en-US"/>
        </w:rPr>
        <w:t xml:space="preserve"> </w:t>
      </w:r>
      <w:r w:rsidR="005A2FB0">
        <w:rPr>
          <w:lang w:val="en-US"/>
        </w:rPr>
        <w:t>magnetic path</w:t>
      </w:r>
      <w:r w:rsidR="00D821F1">
        <w:rPr>
          <w:lang w:val="en-US"/>
        </w:rPr>
        <w:t xml:space="preserve"> (therefore reduction in reluctance)</w:t>
      </w:r>
      <w:r w:rsidR="005A2FB0">
        <w:rPr>
          <w:lang w:val="en-US"/>
        </w:rPr>
        <w:t xml:space="preserve"> while increasing layer number</w:t>
      </w:r>
      <w:r w:rsidR="00D821F1">
        <w:rPr>
          <w:lang w:val="en-US"/>
        </w:rPr>
        <w:t xml:space="preserve"> (winding radius)</w:t>
      </w:r>
      <w:r w:rsidR="00C22313">
        <w:rPr>
          <w:lang w:val="en-US"/>
        </w:rPr>
        <w:t>.</w:t>
      </w:r>
      <w:r w:rsidR="00666737">
        <w:rPr>
          <w:lang w:val="en-US"/>
        </w:rPr>
        <w:t xml:space="preserve"> This kind of secondary effects was the first reason why we did </w:t>
      </w:r>
      <w:r w:rsidR="00525749">
        <w:rPr>
          <w:lang w:val="en-US"/>
        </w:rPr>
        <w:t xml:space="preserve">finite element analysis. To overcome this </w:t>
      </w:r>
      <w:r w:rsidR="00665A7E">
        <w:rPr>
          <w:lang w:val="en-US"/>
        </w:rPr>
        <w:t>effect,</w:t>
      </w:r>
      <w:r w:rsidR="00525749">
        <w:rPr>
          <w:lang w:val="en-US"/>
        </w:rPr>
        <w:t xml:space="preserve"> we reduced the secondary turn number to 2.5</w:t>
      </w:r>
      <w:r w:rsidR="00A22CA7">
        <w:rPr>
          <w:lang w:val="en-US"/>
        </w:rPr>
        <w:t xml:space="preserve"> and the results were satisfactory.</w:t>
      </w:r>
    </w:p>
    <w:p w14:paraId="5B06461F" w14:textId="77777777" w:rsidR="005329EB" w:rsidRDefault="005329EB" w:rsidP="005329EB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8D9737" wp14:editId="23E26E35">
            <wp:extent cx="1798320" cy="65695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4235" cy="67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118D" w14:textId="3EEE29CB" w:rsidR="005329EB" w:rsidRPr="00E30B3A" w:rsidRDefault="005329EB" w:rsidP="005329EB">
      <w:pPr>
        <w:ind w:firstLine="708"/>
        <w:jc w:val="center"/>
        <w:rPr>
          <w:lang w:val="en-US"/>
        </w:rPr>
      </w:pPr>
      <w:r>
        <w:rPr>
          <w:lang w:val="en-US"/>
        </w:rPr>
        <w:t>Self and mutual inductances of the windings. (uH)</w:t>
      </w:r>
    </w:p>
    <w:p w14:paraId="47AE02B1" w14:textId="17C48D85" w:rsidR="00F75590" w:rsidRDefault="00F75590" w:rsidP="001D7F64">
      <w:pPr>
        <w:ind w:firstLine="708"/>
        <w:rPr>
          <w:noProof/>
        </w:rPr>
      </w:pPr>
      <w:r>
        <w:rPr>
          <w:noProof/>
        </w:rPr>
        <w:lastRenderedPageBreak/>
        <w:drawing>
          <wp:inline distT="0" distB="0" distL="0" distR="0" wp14:anchorId="13E11B8F" wp14:editId="2ED37075">
            <wp:extent cx="2819400" cy="3797064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084"/>
                    <a:stretch/>
                  </pic:blipFill>
                  <pic:spPr bwMode="auto">
                    <a:xfrm>
                      <a:off x="0" y="0"/>
                      <a:ext cx="2838108" cy="3822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D7F64" w:rsidRPr="001D7F64">
        <w:rPr>
          <w:noProof/>
        </w:rPr>
        <w:t xml:space="preserve"> </w:t>
      </w:r>
      <w:r w:rsidR="001D7F64">
        <w:rPr>
          <w:noProof/>
        </w:rPr>
        <w:drawing>
          <wp:inline distT="0" distB="0" distL="0" distR="0" wp14:anchorId="12977885" wp14:editId="4FDA9F32">
            <wp:extent cx="2293620" cy="2391918"/>
            <wp:effectExtent l="0" t="0" r="0" b="889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7216" cy="24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D7A5" w14:textId="19096BD3" w:rsidR="00A027F2" w:rsidRDefault="00A027F2" w:rsidP="00A027F2">
      <w:pPr>
        <w:ind w:firstLine="708"/>
        <w:jc w:val="center"/>
        <w:rPr>
          <w:noProof/>
        </w:rPr>
      </w:pPr>
      <w:r>
        <w:rPr>
          <w:noProof/>
        </w:rPr>
        <w:t>Maxwell 3D model.</w:t>
      </w:r>
    </w:p>
    <w:p w14:paraId="4695C3DE" w14:textId="5D14ACE9" w:rsidR="006E2159" w:rsidRDefault="006E2159" w:rsidP="001D7F64">
      <w:pPr>
        <w:ind w:firstLine="708"/>
        <w:rPr>
          <w:noProof/>
        </w:rPr>
      </w:pPr>
    </w:p>
    <w:p w14:paraId="7D3A45CD" w14:textId="7A8605DE" w:rsidR="002E0502" w:rsidRDefault="002E0502" w:rsidP="002E0502">
      <w:pPr>
        <w:jc w:val="both"/>
        <w:rPr>
          <w:lang w:val="en-US"/>
        </w:rPr>
      </w:pPr>
      <w:r>
        <w:rPr>
          <w:lang w:val="en-US"/>
        </w:rPr>
        <w:tab/>
      </w:r>
    </w:p>
    <w:p w14:paraId="029C1076" w14:textId="63DF4902" w:rsidR="002E0502" w:rsidRDefault="002E0502" w:rsidP="002E0502">
      <w:pPr>
        <w:jc w:val="both"/>
        <w:rPr>
          <w:lang w:val="en-US"/>
        </w:rPr>
      </w:pPr>
      <w:r>
        <w:rPr>
          <w:lang w:val="en-US"/>
        </w:rPr>
        <w:tab/>
        <w:t xml:space="preserve">After satisfying inductance </w:t>
      </w:r>
      <w:r w:rsidR="00CB5950">
        <w:rPr>
          <w:lang w:val="en-US"/>
        </w:rPr>
        <w:t>and turn ratio</w:t>
      </w:r>
      <w:r w:rsidR="005155A6">
        <w:rPr>
          <w:lang w:val="en-US"/>
        </w:rPr>
        <w:t xml:space="preserve"> parameters we moved on to saturation </w:t>
      </w:r>
      <w:r w:rsidR="009F3C8D">
        <w:rPr>
          <w:lang w:val="en-US"/>
        </w:rPr>
        <w:t>control. To observe the magnetic flux density in</w:t>
      </w:r>
      <w:r w:rsidR="00396B8D">
        <w:rPr>
          <w:lang w:val="en-US"/>
        </w:rPr>
        <w:t xml:space="preserve"> most extreme case</w:t>
      </w:r>
      <w:r w:rsidR="00E31771">
        <w:rPr>
          <w:lang w:val="en-US"/>
        </w:rPr>
        <w:t>,</w:t>
      </w:r>
      <w:r w:rsidR="00620DFE">
        <w:rPr>
          <w:lang w:val="en-US"/>
        </w:rPr>
        <w:t xml:space="preserve"> we supplied primary winding with 3</w:t>
      </w:r>
      <w:r w:rsidR="00E31771">
        <w:rPr>
          <w:lang w:val="en-US"/>
        </w:rPr>
        <w:t xml:space="preserve">A current. </w:t>
      </w:r>
      <w:r w:rsidR="008371CE">
        <w:rPr>
          <w:lang w:val="en-US"/>
        </w:rPr>
        <w:t xml:space="preserve">This 3A comes from the calculations </w:t>
      </w:r>
      <w:r w:rsidR="0094291C">
        <w:rPr>
          <w:lang w:val="en-US"/>
        </w:rPr>
        <w:t xml:space="preserve">of the controller and it is also observed in LTspice. </w:t>
      </w:r>
      <w:r w:rsidR="00614454">
        <w:rPr>
          <w:lang w:val="en-US"/>
        </w:rPr>
        <w:t>To eas</w:t>
      </w:r>
      <w:r w:rsidR="004F2E15">
        <w:rPr>
          <w:lang w:val="en-US"/>
        </w:rPr>
        <w:t xml:space="preserve">e </w:t>
      </w:r>
      <w:r w:rsidR="009526BB">
        <w:rPr>
          <w:lang w:val="en-US"/>
        </w:rPr>
        <w:t>the work of the computer</w:t>
      </w:r>
      <w:r w:rsidR="00BD6663">
        <w:rPr>
          <w:lang w:val="en-US"/>
        </w:rPr>
        <w:t xml:space="preserve">, meshing </w:t>
      </w:r>
      <w:r w:rsidR="00C302CD">
        <w:rPr>
          <w:lang w:val="en-US"/>
        </w:rPr>
        <w:t>was</w:t>
      </w:r>
      <w:r w:rsidR="008E361B">
        <w:rPr>
          <w:lang w:val="en-US"/>
        </w:rPr>
        <w:t xml:space="preserve"> concentrated in the inner corner and near the airgap.</w:t>
      </w:r>
      <w:r w:rsidR="00C302CD">
        <w:rPr>
          <w:lang w:val="en-US"/>
        </w:rPr>
        <w:t xml:space="preserve"> Both magnetic flux density and vectors can be seen in </w:t>
      </w:r>
      <w:r w:rsidR="00C302CD" w:rsidRPr="00905760">
        <w:rPr>
          <w:b/>
          <w:bCs/>
          <w:color w:val="FF0000"/>
          <w:lang w:val="en-US"/>
        </w:rPr>
        <w:t>FİG XX</w:t>
      </w:r>
      <w:r w:rsidR="00C302CD">
        <w:rPr>
          <w:b/>
          <w:bCs/>
          <w:color w:val="FF0000"/>
          <w:lang w:val="en-US"/>
        </w:rPr>
        <w:t xml:space="preserve">. </w:t>
      </w:r>
    </w:p>
    <w:p w14:paraId="20F4E8D9" w14:textId="592A8FF5" w:rsidR="008C3536" w:rsidRDefault="00587125" w:rsidP="001D799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555DC0D" wp14:editId="72342F5B">
            <wp:extent cx="3704677" cy="334327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9098" cy="335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536" w:rsidRPr="008C3536">
        <w:rPr>
          <w:noProof/>
        </w:rPr>
        <w:t xml:space="preserve"> </w:t>
      </w:r>
    </w:p>
    <w:p w14:paraId="50E18E55" w14:textId="207478C0" w:rsidR="00F573A5" w:rsidRDefault="00F573A5" w:rsidP="001D799C">
      <w:pPr>
        <w:jc w:val="center"/>
        <w:rPr>
          <w:noProof/>
        </w:rPr>
      </w:pPr>
      <w:r>
        <w:rPr>
          <w:noProof/>
        </w:rPr>
        <w:t>Magnetic flux vectors</w:t>
      </w:r>
    </w:p>
    <w:p w14:paraId="0800CB57" w14:textId="01F0EC02" w:rsidR="00587125" w:rsidRDefault="008C3536" w:rsidP="001D799C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B83573" wp14:editId="0C1819AC">
            <wp:extent cx="3922996" cy="3562350"/>
            <wp:effectExtent l="0" t="0" r="190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2371" cy="357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AF9E" w14:textId="1416C728" w:rsidR="00675632" w:rsidRDefault="00F573A5" w:rsidP="001D799C">
      <w:pPr>
        <w:jc w:val="center"/>
        <w:rPr>
          <w:lang w:val="en-US"/>
        </w:rPr>
      </w:pPr>
      <w:r>
        <w:rPr>
          <w:lang w:val="en-US"/>
        </w:rPr>
        <w:t>Magnetic flux density</w:t>
      </w:r>
    </w:p>
    <w:p w14:paraId="3EDB4F13" w14:textId="6998744C" w:rsidR="00675632" w:rsidRDefault="004F3822" w:rsidP="001D799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11A4D0E" wp14:editId="59DF4204">
            <wp:extent cx="3977640" cy="3104243"/>
            <wp:effectExtent l="0" t="0" r="3810" b="127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2321" cy="311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550D" w14:textId="384DAF5E" w:rsidR="00AC5DC7" w:rsidRDefault="00AC5DC7" w:rsidP="00AC5DC7">
      <w:pPr>
        <w:jc w:val="center"/>
        <w:rPr>
          <w:lang w:val="en-US"/>
        </w:rPr>
      </w:pPr>
      <w:r>
        <w:rPr>
          <w:lang w:val="en-US"/>
        </w:rPr>
        <w:t>Magnetic flux density of the core center.</w:t>
      </w:r>
    </w:p>
    <w:p w14:paraId="174D6ADD" w14:textId="77777777" w:rsidR="00A20995" w:rsidRDefault="00A20995" w:rsidP="00AC5DC7">
      <w:pPr>
        <w:jc w:val="center"/>
        <w:rPr>
          <w:lang w:val="en-US"/>
        </w:rPr>
      </w:pPr>
    </w:p>
    <w:p w14:paraId="269B376E" w14:textId="1927877F" w:rsidR="00690BF1" w:rsidRDefault="00540422" w:rsidP="003E1512">
      <w:pPr>
        <w:ind w:firstLine="708"/>
        <w:jc w:val="both"/>
        <w:rPr>
          <w:lang w:val="en-US"/>
        </w:rPr>
      </w:pPr>
      <w:r>
        <w:rPr>
          <w:lang w:val="en-US"/>
        </w:rPr>
        <w:t>At maximum magnetic flux density that the core can see, most of the core remans un</w:t>
      </w:r>
      <w:r w:rsidR="00A20995">
        <w:rPr>
          <w:lang w:val="en-US"/>
        </w:rPr>
        <w:t>saturated.</w:t>
      </w:r>
      <w:r w:rsidR="00A54629">
        <w:rPr>
          <w:lang w:val="en-US"/>
        </w:rPr>
        <w:t xml:space="preserve"> However, some corners of the core are saturated. This may be acceptable since </w:t>
      </w:r>
      <w:r w:rsidR="007E15A6">
        <w:rPr>
          <w:lang w:val="en-US"/>
        </w:rPr>
        <w:t>transformer will work in this condition on extreme cases and for transient times</w:t>
      </w:r>
      <w:r w:rsidR="004D02D0">
        <w:rPr>
          <w:lang w:val="en-US"/>
        </w:rPr>
        <w:t xml:space="preserve">. Transformer current will reduce after reaching steady state. </w:t>
      </w:r>
    </w:p>
    <w:p w14:paraId="1C85E124" w14:textId="4C919C2F" w:rsidR="003E1512" w:rsidRDefault="003E1512" w:rsidP="003E1512">
      <w:pPr>
        <w:ind w:firstLine="708"/>
        <w:jc w:val="both"/>
        <w:rPr>
          <w:lang w:val="en-US"/>
        </w:rPr>
      </w:pPr>
      <w:r>
        <w:rPr>
          <w:lang w:val="en-US"/>
        </w:rPr>
        <w:t>Final analysis that we made is eddy current analysis.</w:t>
      </w:r>
      <w:r w:rsidR="00750F0D">
        <w:rPr>
          <w:lang w:val="en-US"/>
        </w:rPr>
        <w:t xml:space="preserve"> We made this analysis to estimate the AC resistance of the windings </w:t>
      </w:r>
      <w:r w:rsidR="00BF7E83">
        <w:rPr>
          <w:lang w:val="en-US"/>
        </w:rPr>
        <w:t>and</w:t>
      </w:r>
      <w:r w:rsidR="00AB2D8F">
        <w:rPr>
          <w:lang w:val="en-US"/>
        </w:rPr>
        <w:t xml:space="preserve"> to</w:t>
      </w:r>
      <w:r w:rsidR="00750F0D">
        <w:rPr>
          <w:lang w:val="en-US"/>
        </w:rPr>
        <w:t xml:space="preserve"> observe the current density</w:t>
      </w:r>
      <w:r w:rsidR="00AB2D8F">
        <w:rPr>
          <w:lang w:val="en-US"/>
        </w:rPr>
        <w:t xml:space="preserve"> in those windings.</w:t>
      </w:r>
    </w:p>
    <w:p w14:paraId="14EF76A5" w14:textId="2E0EDF3B" w:rsidR="00BF7E83" w:rsidRDefault="00BF7E83" w:rsidP="003E1512">
      <w:pPr>
        <w:ind w:firstLine="708"/>
        <w:jc w:val="both"/>
        <w:rPr>
          <w:lang w:val="en-US"/>
        </w:rPr>
      </w:pPr>
    </w:p>
    <w:p w14:paraId="0B96AE95" w14:textId="5F4CFABB" w:rsidR="007320E2" w:rsidRDefault="007320E2" w:rsidP="003E1512">
      <w:pPr>
        <w:ind w:firstLine="708"/>
        <w:jc w:val="both"/>
        <w:rPr>
          <w:lang w:val="en-US"/>
        </w:rPr>
      </w:pPr>
    </w:p>
    <w:p w14:paraId="273BCF99" w14:textId="7BBCB216" w:rsidR="007C2638" w:rsidRDefault="007C2638" w:rsidP="00D10C52">
      <w:pPr>
        <w:ind w:firstLine="708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915750" wp14:editId="1B160915">
            <wp:extent cx="3665220" cy="2704877"/>
            <wp:effectExtent l="0" t="0" r="0" b="63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7358" cy="272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E184" w14:textId="0C0ABE4A" w:rsidR="00C86F88" w:rsidRDefault="00C86F88" w:rsidP="00D10C52">
      <w:pPr>
        <w:ind w:firstLine="708"/>
        <w:jc w:val="center"/>
        <w:rPr>
          <w:lang w:val="en-US"/>
        </w:rPr>
      </w:pPr>
      <w:r>
        <w:rPr>
          <w:lang w:val="en-US"/>
        </w:rPr>
        <w:t>Current density of a single wire in primary winding.</w:t>
      </w:r>
    </w:p>
    <w:p w14:paraId="1332D349" w14:textId="77777777" w:rsidR="00F063A2" w:rsidRDefault="00F063A2" w:rsidP="00D10C52">
      <w:pPr>
        <w:ind w:firstLine="708"/>
        <w:jc w:val="center"/>
        <w:rPr>
          <w:lang w:val="en-US"/>
        </w:rPr>
      </w:pPr>
    </w:p>
    <w:p w14:paraId="68CB3623" w14:textId="1FE0460D" w:rsidR="00C86F88" w:rsidRDefault="00184DAA" w:rsidP="00C86F88">
      <w:pPr>
        <w:ind w:firstLine="708"/>
        <w:rPr>
          <w:lang w:val="en-US"/>
        </w:rPr>
      </w:pPr>
      <w:r>
        <w:rPr>
          <w:lang w:val="en-US"/>
        </w:rPr>
        <w:t xml:space="preserve">As </w:t>
      </w:r>
      <w:r w:rsidR="00947DD8">
        <w:rPr>
          <w:lang w:val="en-US"/>
        </w:rPr>
        <w:t>expected,</w:t>
      </w:r>
      <w:r>
        <w:rPr>
          <w:lang w:val="en-US"/>
        </w:rPr>
        <w:t xml:space="preserve"> we see nonhomogeneous current distribution in the conductor due to skin and proximity effects.</w:t>
      </w:r>
      <w:r w:rsidR="00947DD8">
        <w:rPr>
          <w:lang w:val="en-US"/>
        </w:rPr>
        <w:t xml:space="preserve"> More important than to see the current </w:t>
      </w:r>
      <w:r w:rsidR="00B0425C">
        <w:rPr>
          <w:lang w:val="en-US"/>
        </w:rPr>
        <w:t>distribution is to get the AC resistance to accurately calculate copper losses in the transformer.</w:t>
      </w:r>
    </w:p>
    <w:p w14:paraId="79EC32D7" w14:textId="196D69E4" w:rsidR="00F063A2" w:rsidRDefault="00B44B15" w:rsidP="00667684">
      <w:pPr>
        <w:ind w:firstLine="708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58D23" wp14:editId="5929E474">
                <wp:simplePos x="0" y="0"/>
                <wp:positionH relativeFrom="column">
                  <wp:posOffset>3767455</wp:posOffset>
                </wp:positionH>
                <wp:positionV relativeFrom="paragraph">
                  <wp:posOffset>590550</wp:posOffset>
                </wp:positionV>
                <wp:extent cx="396240" cy="200025"/>
                <wp:effectExtent l="19050" t="19050" r="22860" b="28575"/>
                <wp:wrapNone/>
                <wp:docPr id="12" name="Dikdörtg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096A1" id="Dikdörtgen 12" o:spid="_x0000_s1026" style="position:absolute;margin-left:296.65pt;margin-top:46.5pt;width:31.2pt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A6796" wp14:editId="1D1D52D3">
                <wp:simplePos x="0" y="0"/>
                <wp:positionH relativeFrom="column">
                  <wp:posOffset>2209165</wp:posOffset>
                </wp:positionH>
                <wp:positionV relativeFrom="paragraph">
                  <wp:posOffset>609600</wp:posOffset>
                </wp:positionV>
                <wp:extent cx="396240" cy="200025"/>
                <wp:effectExtent l="19050" t="19050" r="22860" b="28575"/>
                <wp:wrapNone/>
                <wp:docPr id="11" name="Dikdörtg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9FA0E" id="Dikdörtgen 11" o:spid="_x0000_s1026" style="position:absolute;margin-left:173.95pt;margin-top:48pt;width:31.2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" filled="f" strokecolor="red" strokeweight="2.25pt"/>
            </w:pict>
          </mc:Fallback>
        </mc:AlternateContent>
      </w:r>
      <w:r w:rsidR="004A303D">
        <w:rPr>
          <w:noProof/>
        </w:rPr>
        <w:drawing>
          <wp:inline distT="0" distB="0" distL="0" distR="0" wp14:anchorId="34E714FC" wp14:editId="6C10E9D1">
            <wp:extent cx="1562100" cy="8382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684">
        <w:rPr>
          <w:noProof/>
        </w:rPr>
        <w:drawing>
          <wp:inline distT="0" distB="0" distL="0" distR="0" wp14:anchorId="007AE5D0" wp14:editId="05CF034E">
            <wp:extent cx="1590675" cy="828675"/>
            <wp:effectExtent l="0" t="0" r="9525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7544" w14:textId="0DDE2B7D" w:rsidR="00667684" w:rsidRDefault="00667684" w:rsidP="00667684">
      <w:pPr>
        <w:ind w:firstLine="708"/>
        <w:jc w:val="center"/>
        <w:rPr>
          <w:noProof/>
        </w:rPr>
      </w:pPr>
      <w:r>
        <w:rPr>
          <w:noProof/>
        </w:rPr>
        <w:t>DC and AC resistances</w:t>
      </w:r>
      <w:r w:rsidR="003E418D">
        <w:rPr>
          <w:noProof/>
        </w:rPr>
        <w:t xml:space="preserve"> of primary winding</w:t>
      </w:r>
      <w:r w:rsidR="00B44B15">
        <w:rPr>
          <w:noProof/>
        </w:rPr>
        <w:t xml:space="preserve"> (m Ω)</w:t>
      </w:r>
      <w:r w:rsidR="003E418D">
        <w:rPr>
          <w:noProof/>
        </w:rPr>
        <w:t>.</w:t>
      </w:r>
    </w:p>
    <w:p w14:paraId="5DD0D2D8" w14:textId="6E994BC8" w:rsidR="003E418D" w:rsidRDefault="003E418D" w:rsidP="003E418D">
      <w:pPr>
        <w:ind w:firstLine="708"/>
        <w:rPr>
          <w:noProof/>
        </w:rPr>
      </w:pPr>
    </w:p>
    <w:p w14:paraId="09FD2475" w14:textId="23A32A0F" w:rsidR="003E418D" w:rsidRDefault="003E418D" w:rsidP="00E834C9">
      <w:pPr>
        <w:ind w:firstLine="708"/>
        <w:jc w:val="both"/>
        <w:rPr>
          <w:noProof/>
        </w:rPr>
      </w:pPr>
      <w:r>
        <w:rPr>
          <w:noProof/>
        </w:rPr>
        <w:t xml:space="preserve">As we can see in </w:t>
      </w:r>
      <w:r w:rsidRPr="00905760">
        <w:rPr>
          <w:b/>
          <w:bCs/>
          <w:color w:val="FF0000"/>
          <w:lang w:val="en-US"/>
        </w:rPr>
        <w:t>FİG XX</w:t>
      </w:r>
      <w:r>
        <w:rPr>
          <w:b/>
          <w:bCs/>
          <w:color w:val="FF0000"/>
          <w:lang w:val="en-US"/>
        </w:rPr>
        <w:t xml:space="preserve">. </w:t>
      </w:r>
      <w:r>
        <w:rPr>
          <w:lang w:val="en-US"/>
        </w:rPr>
        <w:t>Frequency has</w:t>
      </w:r>
      <w:r w:rsidR="00963FB1">
        <w:rPr>
          <w:lang w:val="en-US"/>
        </w:rPr>
        <w:t xml:space="preserve"> a significant effect on the resistance.</w:t>
      </w:r>
      <w:r w:rsidR="00E834C9">
        <w:rPr>
          <w:lang w:val="en-US"/>
        </w:rPr>
        <w:t xml:space="preserve"> Even though</w:t>
      </w:r>
      <w:r w:rsidR="00366670">
        <w:rPr>
          <w:lang w:val="en-US"/>
        </w:rPr>
        <w:t xml:space="preserve"> we expected such increase, numerical value</w:t>
      </w:r>
      <w:r w:rsidR="00553724">
        <w:rPr>
          <w:lang w:val="en-US"/>
        </w:rPr>
        <w:t xml:space="preserve"> of the resistance </w:t>
      </w:r>
      <w:r w:rsidR="00C16301">
        <w:rPr>
          <w:lang w:val="en-US"/>
        </w:rPr>
        <w:t xml:space="preserve">is </w:t>
      </w:r>
      <w:r w:rsidR="00553724">
        <w:rPr>
          <w:lang w:val="en-US"/>
        </w:rPr>
        <w:t>found by FEA.</w:t>
      </w:r>
      <w:r w:rsidR="006916A9">
        <w:rPr>
          <w:lang w:val="en-US"/>
        </w:rPr>
        <w:t xml:space="preserve"> </w:t>
      </w:r>
      <w:r w:rsidR="00BA021F">
        <w:rPr>
          <w:lang w:val="en-US"/>
        </w:rPr>
        <w:t>Therefore,</w:t>
      </w:r>
      <w:r w:rsidR="00E62649">
        <w:rPr>
          <w:lang w:val="en-US"/>
        </w:rPr>
        <w:t xml:space="preserve"> we used</w:t>
      </w:r>
      <w:r w:rsidR="00DD5D3E">
        <w:rPr>
          <w:lang w:val="en-US"/>
        </w:rPr>
        <w:t xml:space="preserve"> this result (</w:t>
      </w:r>
      <w:r w:rsidR="00E62649">
        <w:rPr>
          <w:lang w:val="en-US"/>
        </w:rPr>
        <w:t>1.869</w:t>
      </w:r>
      <w:r w:rsidR="00E62649">
        <w:rPr>
          <w:noProof/>
        </w:rPr>
        <w:t>Ω</w:t>
      </w:r>
      <w:r w:rsidR="00DD5D3E">
        <w:rPr>
          <w:noProof/>
        </w:rPr>
        <w:t>)</w:t>
      </w:r>
      <w:r w:rsidR="00E62649">
        <w:rPr>
          <w:noProof/>
        </w:rPr>
        <w:t xml:space="preserve"> in </w:t>
      </w:r>
      <w:r w:rsidR="00BA021F">
        <w:rPr>
          <w:noProof/>
        </w:rPr>
        <w:t>Ltspice simulations.</w:t>
      </w:r>
    </w:p>
    <w:p w14:paraId="45914050" w14:textId="705D261C" w:rsidR="009C2A33" w:rsidRDefault="009C2A33" w:rsidP="00E834C9">
      <w:pPr>
        <w:ind w:firstLine="708"/>
        <w:jc w:val="both"/>
        <w:rPr>
          <w:noProof/>
        </w:rPr>
      </w:pPr>
    </w:p>
    <w:p w14:paraId="408BF356" w14:textId="222B1878" w:rsidR="009C2A33" w:rsidRDefault="00DF3580" w:rsidP="00E834C9">
      <w:pPr>
        <w:ind w:firstLine="708"/>
        <w:jc w:val="both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leak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pri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(1-k)</m:t>
              </m:r>
              <m:ctrlPr>
                <w:rPr>
                  <w:rFonts w:ascii="Cambria Math" w:hAnsi="Cambria Math"/>
                  <w:i/>
                  <w:noProof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k</m:t>
              </m:r>
            </m:den>
          </m:f>
        </m:oMath>
      </m:oMathPara>
    </w:p>
    <w:p w14:paraId="2B9F7992" w14:textId="77777777" w:rsidR="00BB52EB" w:rsidRDefault="00BB52EB" w:rsidP="00E834C9">
      <w:pPr>
        <w:ind w:firstLine="708"/>
        <w:jc w:val="both"/>
        <w:rPr>
          <w:noProof/>
        </w:rPr>
      </w:pPr>
    </w:p>
    <w:p w14:paraId="13CE9F26" w14:textId="1CC5AF73" w:rsidR="009C2A33" w:rsidRPr="003E418D" w:rsidRDefault="00BB52EB" w:rsidP="00E834C9">
      <w:pPr>
        <w:ind w:firstLine="708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Snubber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leak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in</m:t>
                      </m:r>
                    </m:sub>
                  </m:sSub>
                </m:den>
              </m:f>
            </m:e>
          </m:rad>
        </m:oMath>
      </m:oMathPara>
    </w:p>
    <w:sectPr w:rsidR="009C2A33" w:rsidRPr="003E41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ABBB5" w14:textId="77777777" w:rsidR="00BD762C" w:rsidRDefault="00BD762C" w:rsidP="005329EB">
      <w:pPr>
        <w:spacing w:line="240" w:lineRule="auto"/>
      </w:pPr>
      <w:r>
        <w:separator/>
      </w:r>
    </w:p>
  </w:endnote>
  <w:endnote w:type="continuationSeparator" w:id="0">
    <w:p w14:paraId="2CEC983E" w14:textId="77777777" w:rsidR="00BD762C" w:rsidRDefault="00BD762C" w:rsidP="005329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36C59" w14:textId="77777777" w:rsidR="00BD762C" w:rsidRDefault="00BD762C" w:rsidP="005329EB">
      <w:pPr>
        <w:spacing w:line="240" w:lineRule="auto"/>
      </w:pPr>
      <w:r>
        <w:separator/>
      </w:r>
    </w:p>
  </w:footnote>
  <w:footnote w:type="continuationSeparator" w:id="0">
    <w:p w14:paraId="47E0A396" w14:textId="77777777" w:rsidR="00BD762C" w:rsidRDefault="00BD762C" w:rsidP="005329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D137E"/>
    <w:multiLevelType w:val="multilevel"/>
    <w:tmpl w:val="7B3AC1AC"/>
    <w:lvl w:ilvl="0">
      <w:start w:val="1"/>
      <w:numFmt w:val="decimal"/>
      <w:pStyle w:val="Balk1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pStyle w:val="Balk2"/>
      <w:isLgl/>
      <w:lvlText w:val="%1.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DD"/>
    <w:rsid w:val="000153EB"/>
    <w:rsid w:val="000238C4"/>
    <w:rsid w:val="00062D79"/>
    <w:rsid w:val="00085800"/>
    <w:rsid w:val="001759B2"/>
    <w:rsid w:val="0017651B"/>
    <w:rsid w:val="00184DAA"/>
    <w:rsid w:val="00184F7C"/>
    <w:rsid w:val="001B67A1"/>
    <w:rsid w:val="001C71B8"/>
    <w:rsid w:val="001D799C"/>
    <w:rsid w:val="001D7F64"/>
    <w:rsid w:val="001F4FFC"/>
    <w:rsid w:val="00245B07"/>
    <w:rsid w:val="002D0580"/>
    <w:rsid w:val="002E0502"/>
    <w:rsid w:val="002E322C"/>
    <w:rsid w:val="002F4DFD"/>
    <w:rsid w:val="00341DD4"/>
    <w:rsid w:val="003542FD"/>
    <w:rsid w:val="00364DA0"/>
    <w:rsid w:val="00366670"/>
    <w:rsid w:val="00393D6A"/>
    <w:rsid w:val="00396B8D"/>
    <w:rsid w:val="003B0DCD"/>
    <w:rsid w:val="003C4DAF"/>
    <w:rsid w:val="003D0701"/>
    <w:rsid w:val="003E1512"/>
    <w:rsid w:val="003E418D"/>
    <w:rsid w:val="003E6ADD"/>
    <w:rsid w:val="00442B24"/>
    <w:rsid w:val="0045270E"/>
    <w:rsid w:val="004A303D"/>
    <w:rsid w:val="004D02D0"/>
    <w:rsid w:val="004F2E15"/>
    <w:rsid w:val="004F3822"/>
    <w:rsid w:val="00504373"/>
    <w:rsid w:val="005155A6"/>
    <w:rsid w:val="00525749"/>
    <w:rsid w:val="00525960"/>
    <w:rsid w:val="005329EB"/>
    <w:rsid w:val="00537E2F"/>
    <w:rsid w:val="00540422"/>
    <w:rsid w:val="00553724"/>
    <w:rsid w:val="00561F19"/>
    <w:rsid w:val="005734EA"/>
    <w:rsid w:val="00583F82"/>
    <w:rsid w:val="00587125"/>
    <w:rsid w:val="005A2A8D"/>
    <w:rsid w:val="005A2FB0"/>
    <w:rsid w:val="005D4652"/>
    <w:rsid w:val="005D67BF"/>
    <w:rsid w:val="00614454"/>
    <w:rsid w:val="00620DFE"/>
    <w:rsid w:val="00662760"/>
    <w:rsid w:val="00665A7E"/>
    <w:rsid w:val="00666737"/>
    <w:rsid w:val="00667684"/>
    <w:rsid w:val="00675632"/>
    <w:rsid w:val="00690BF1"/>
    <w:rsid w:val="006916A9"/>
    <w:rsid w:val="006C5212"/>
    <w:rsid w:val="006E2159"/>
    <w:rsid w:val="006F1ED6"/>
    <w:rsid w:val="006F2EC4"/>
    <w:rsid w:val="007320E2"/>
    <w:rsid w:val="00750F0D"/>
    <w:rsid w:val="007A65B6"/>
    <w:rsid w:val="007B35DB"/>
    <w:rsid w:val="007C2638"/>
    <w:rsid w:val="007D4DE8"/>
    <w:rsid w:val="007E15A6"/>
    <w:rsid w:val="007E28BC"/>
    <w:rsid w:val="007E3734"/>
    <w:rsid w:val="00837154"/>
    <w:rsid w:val="008371CE"/>
    <w:rsid w:val="00841A4C"/>
    <w:rsid w:val="008716A1"/>
    <w:rsid w:val="00877B81"/>
    <w:rsid w:val="00892BA6"/>
    <w:rsid w:val="008C3536"/>
    <w:rsid w:val="008E361B"/>
    <w:rsid w:val="00905760"/>
    <w:rsid w:val="009145F3"/>
    <w:rsid w:val="00931B1A"/>
    <w:rsid w:val="0094291C"/>
    <w:rsid w:val="00947DD8"/>
    <w:rsid w:val="009526BB"/>
    <w:rsid w:val="00963FB1"/>
    <w:rsid w:val="009776CC"/>
    <w:rsid w:val="00981BDF"/>
    <w:rsid w:val="009959E7"/>
    <w:rsid w:val="009C2A33"/>
    <w:rsid w:val="009F3C8D"/>
    <w:rsid w:val="00A027F2"/>
    <w:rsid w:val="00A20995"/>
    <w:rsid w:val="00A22CA7"/>
    <w:rsid w:val="00A54629"/>
    <w:rsid w:val="00AB2D8F"/>
    <w:rsid w:val="00AB6AAA"/>
    <w:rsid w:val="00AC5DC7"/>
    <w:rsid w:val="00B0425C"/>
    <w:rsid w:val="00B06FFF"/>
    <w:rsid w:val="00B15C91"/>
    <w:rsid w:val="00B33571"/>
    <w:rsid w:val="00B35192"/>
    <w:rsid w:val="00B41BED"/>
    <w:rsid w:val="00B44B15"/>
    <w:rsid w:val="00B53059"/>
    <w:rsid w:val="00B64AD1"/>
    <w:rsid w:val="00B866E8"/>
    <w:rsid w:val="00BA021F"/>
    <w:rsid w:val="00BB52EB"/>
    <w:rsid w:val="00BD6663"/>
    <w:rsid w:val="00BD762C"/>
    <w:rsid w:val="00BF7E83"/>
    <w:rsid w:val="00C16301"/>
    <w:rsid w:val="00C22313"/>
    <w:rsid w:val="00C242CC"/>
    <w:rsid w:val="00C302CD"/>
    <w:rsid w:val="00C43701"/>
    <w:rsid w:val="00C4384F"/>
    <w:rsid w:val="00C50FAB"/>
    <w:rsid w:val="00C65CF2"/>
    <w:rsid w:val="00C71DE9"/>
    <w:rsid w:val="00C75B14"/>
    <w:rsid w:val="00C86F88"/>
    <w:rsid w:val="00CB5950"/>
    <w:rsid w:val="00CD54B6"/>
    <w:rsid w:val="00D0276B"/>
    <w:rsid w:val="00D10C52"/>
    <w:rsid w:val="00D11308"/>
    <w:rsid w:val="00D20D4D"/>
    <w:rsid w:val="00D300D7"/>
    <w:rsid w:val="00D614B3"/>
    <w:rsid w:val="00D821F1"/>
    <w:rsid w:val="00DB2730"/>
    <w:rsid w:val="00DD5D3E"/>
    <w:rsid w:val="00DE04B0"/>
    <w:rsid w:val="00DF3580"/>
    <w:rsid w:val="00DF45D9"/>
    <w:rsid w:val="00E01637"/>
    <w:rsid w:val="00E30B3A"/>
    <w:rsid w:val="00E31771"/>
    <w:rsid w:val="00E62649"/>
    <w:rsid w:val="00E834C9"/>
    <w:rsid w:val="00E909B1"/>
    <w:rsid w:val="00E93F14"/>
    <w:rsid w:val="00EB1BCA"/>
    <w:rsid w:val="00EC2EFE"/>
    <w:rsid w:val="00F063A2"/>
    <w:rsid w:val="00F254D3"/>
    <w:rsid w:val="00F26635"/>
    <w:rsid w:val="00F448FB"/>
    <w:rsid w:val="00F573A5"/>
    <w:rsid w:val="00F75590"/>
    <w:rsid w:val="00FE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AEDF0"/>
  <w15:chartTrackingRefBased/>
  <w15:docId w15:val="{9B756682-18E5-4962-8799-B9266CC93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242CC"/>
    <w:pPr>
      <w:spacing w:after="0" w:line="276" w:lineRule="auto"/>
    </w:pPr>
    <w:rPr>
      <w:rFonts w:ascii="Arial" w:eastAsia="Arial" w:hAnsi="Arial" w:cs="Arial"/>
      <w:lang w:val="tr" w:eastAsia="tr-TR"/>
    </w:rPr>
  </w:style>
  <w:style w:type="paragraph" w:styleId="Balk1">
    <w:name w:val="heading 1"/>
    <w:basedOn w:val="ListeParagraf"/>
    <w:next w:val="Normal"/>
    <w:link w:val="Balk1Char"/>
    <w:uiPriority w:val="9"/>
    <w:qFormat/>
    <w:rsid w:val="00525960"/>
    <w:pPr>
      <w:numPr>
        <w:numId w:val="8"/>
      </w:numPr>
      <w:outlineLvl w:val="0"/>
    </w:pPr>
    <w:rPr>
      <w:b/>
      <w:bCs/>
      <w:sz w:val="24"/>
      <w:szCs w:val="24"/>
    </w:rPr>
  </w:style>
  <w:style w:type="paragraph" w:styleId="Balk2">
    <w:name w:val="heading 2"/>
    <w:aliases w:val="Alt başlık"/>
    <w:basedOn w:val="ListeParagraf"/>
    <w:next w:val="Normal"/>
    <w:link w:val="Balk2Char"/>
    <w:uiPriority w:val="9"/>
    <w:unhideWhenUsed/>
    <w:qFormat/>
    <w:rsid w:val="00525960"/>
    <w:pPr>
      <w:numPr>
        <w:ilvl w:val="1"/>
        <w:numId w:val="1"/>
      </w:numPr>
      <w:outlineLvl w:val="1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25960"/>
    <w:rPr>
      <w:b/>
      <w:bCs/>
      <w:sz w:val="24"/>
      <w:szCs w:val="24"/>
    </w:rPr>
  </w:style>
  <w:style w:type="paragraph" w:styleId="ListeParagraf">
    <w:name w:val="List Paragraph"/>
    <w:basedOn w:val="Normal"/>
    <w:uiPriority w:val="34"/>
    <w:qFormat/>
    <w:rsid w:val="00B06FF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tr-TR" w:eastAsia="en-US"/>
    </w:rPr>
  </w:style>
  <w:style w:type="character" w:customStyle="1" w:styleId="Balk2Char">
    <w:name w:val="Başlık 2 Char"/>
    <w:aliases w:val="Alt başlık Char"/>
    <w:basedOn w:val="VarsaylanParagrafYazTipi"/>
    <w:link w:val="Balk2"/>
    <w:uiPriority w:val="9"/>
    <w:rsid w:val="00525960"/>
    <w:rPr>
      <w:b/>
      <w:bCs/>
      <w:sz w:val="24"/>
      <w:szCs w:val="24"/>
    </w:rPr>
  </w:style>
  <w:style w:type="paragraph" w:styleId="AralkYok">
    <w:name w:val="No Spacing"/>
    <w:uiPriority w:val="1"/>
    <w:qFormat/>
    <w:rsid w:val="00583F82"/>
    <w:pPr>
      <w:spacing w:before="480" w:after="480" w:line="360" w:lineRule="auto"/>
    </w:pPr>
    <w:rPr>
      <w:rFonts w:ascii="Arial" w:eastAsia="Arial" w:hAnsi="Arial" w:cs="Arial"/>
      <w:sz w:val="24"/>
      <w:lang w:val="tr" w:eastAsia="tr-TR"/>
    </w:rPr>
  </w:style>
  <w:style w:type="character" w:styleId="YerTutucuMetni">
    <w:name w:val="Placeholder Text"/>
    <w:basedOn w:val="VarsaylanParagrafYazTipi"/>
    <w:uiPriority w:val="99"/>
    <w:semiHidden/>
    <w:rsid w:val="000238C4"/>
    <w:rPr>
      <w:color w:val="808080"/>
    </w:rPr>
  </w:style>
  <w:style w:type="paragraph" w:styleId="stBilgi">
    <w:name w:val="header"/>
    <w:basedOn w:val="Normal"/>
    <w:link w:val="stBilgiChar"/>
    <w:uiPriority w:val="99"/>
    <w:unhideWhenUsed/>
    <w:rsid w:val="005329EB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329EB"/>
    <w:rPr>
      <w:rFonts w:ascii="Arial" w:eastAsia="Arial" w:hAnsi="Arial" w:cs="Arial"/>
      <w:lang w:val="tr" w:eastAsia="tr-TR"/>
    </w:rPr>
  </w:style>
  <w:style w:type="paragraph" w:styleId="AltBilgi">
    <w:name w:val="footer"/>
    <w:basedOn w:val="Normal"/>
    <w:link w:val="AltBilgiChar"/>
    <w:uiPriority w:val="99"/>
    <w:unhideWhenUsed/>
    <w:rsid w:val="005329EB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329EB"/>
    <w:rPr>
      <w:rFonts w:ascii="Arial" w:eastAsia="Arial" w:hAnsi="Arial" w:cs="Arial"/>
      <w:lang w:val="tr" w:eastAsia="tr-TR"/>
    </w:rPr>
  </w:style>
  <w:style w:type="paragraph" w:styleId="ResimYazs">
    <w:name w:val="caption"/>
    <w:basedOn w:val="Normal"/>
    <w:next w:val="Normal"/>
    <w:uiPriority w:val="35"/>
    <w:unhideWhenUsed/>
    <w:qFormat/>
    <w:rsid w:val="005329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89BD41E-AC4C-4F5E-B27A-F81667B25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636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ahmethalistr@outlook.com</dc:creator>
  <cp:keywords/>
  <dc:description/>
  <cp:lastModifiedBy>ahmethalistr@outlook.com</cp:lastModifiedBy>
  <cp:revision>155</cp:revision>
  <dcterms:created xsi:type="dcterms:W3CDTF">2021-04-28T15:58:00Z</dcterms:created>
  <dcterms:modified xsi:type="dcterms:W3CDTF">2021-04-28T19:55:00Z</dcterms:modified>
</cp:coreProperties>
</file>