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F3C" w:val="clear"/>
        <w:spacing w:after="0" w:before="0"/>
      </w:pPr>
      <w:r>
        <w:rPr>
          <w:sz w:val="4"/>
          <w:szCs w:val="4"/>
        </w:rPr>
        <w:t xml:space="preserve">  </w:t>
      </w:r>
    </w:p>
    <w:p>
      <w:pPr>
        <w:shd w:fill="B8912A" w:val="clear"/>
        <w:spacing w:after="0" w:before="0"/>
      </w:pPr>
      <w:r>
        <w:rPr>
          <w:sz w:val="12"/>
          <w:szCs w:val="12"/>
        </w:rPr>
        <w:t xml:space="preserve">  </w:t>
      </w:r>
    </w:p>
    <w:p>
      <w:pPr>
        <w:spacing w:after="0" w:before="1200"/>
        <w:jc w:val="center"/>
      </w:pPr>
      <w:r>
        <w:rPr>
          <w:rFonts w:ascii="Garamond" w:cs="Garamond" w:eastAsia="Garamond" w:hAnsi="Garamond"/>
          <w:b/>
          <w:bCs/>
          <w:color w:val="0D1F3C"/>
          <w:spacing w:val="200"/>
          <w:sz w:val="72"/>
          <w:szCs w:val="72"/>
        </w:rPr>
        <w:t xml:space="preserve">ARD CITY</w:t>
      </w:r>
    </w:p>
    <w:p>
      <w:pPr>
        <w:spacing w:after="0" w:before="60"/>
        <w:jc w:val="center"/>
      </w:pPr>
      <w:r>
        <w:rPr>
          <w:rFonts w:ascii="Garamond" w:cs="Garamond" w:eastAsia="Garamond" w:hAnsi="Garamond"/>
          <w:b w:val="false"/>
          <w:bCs w:val="false"/>
          <w:color w:val="B8912A"/>
          <w:spacing w:val="100"/>
          <w:sz w:val="36"/>
          <w:szCs w:val="36"/>
        </w:rPr>
        <w:t xml:space="preserve">ARD City Master Sales Plan 2025–2026</w:t>
      </w:r>
    </w:p>
    <w:p>
      <w:pPr>
        <w:pBdr>
          <w:top w:val="single" w:color="B8912A" w:sz="6" w:space="1"/>
          <w:bottom w:val="single" w:color="B8912A" w:sz="6" w:space="1"/>
        </w:pBdr>
        <w:spacing w:after="200" w:before="200"/>
        <w:jc w:val="center"/>
      </w:pPr>
      <w:r>
        <w:rPr>
          <w:rFonts w:ascii="Arial" w:cs="Arial" w:eastAsia="Arial" w:hAnsi="Arial"/>
          <w:color w:val="4A5568"/>
          <w:spacing w:val="120"/>
          <w:sz w:val="18"/>
          <w:szCs w:val="18"/>
        </w:rPr>
        <w:t xml:space="preserve">  CONFIDENTIAL  ·  STRATEGIC DOCUMENT  </w:t>
      </w:r>
    </w:p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ARD 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Lahore – Kharian Motorway Interchange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Ali Bin Nadeem, CTO – CyberX Inc.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Date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Plan Period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April 2025 – March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Total Revenue Target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4.8 Billion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Developer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ARD Builders &amp; Developers (Eurobiz Corporation)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Residential Township · Mixed-Use · Gated Community</w:t>
            </w:r>
          </w:p>
        </w:tc>
      </w:tr>
    </w:tbl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Executive Summary</w:t>
      </w:r>
    </w:p>
    <w:p>
      <w:pPr>
        <w:pBdr>
          <w:bottom w:val="single" w:color="B8912A" w:sz="6" w:space="4"/>
        </w:pBd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912A"/>
          <w:spacing w:val="40"/>
          <w:sz w:val="18"/>
          <w:szCs w:val="18"/>
        </w:rPr>
        <w:t xml:space="preserve">AI STRATEGIC INTELLIGENCE BRIEF</w:t>
      </w:r>
    </w:p>
    <w:p>
      <w:pPr>
        <w:spacing w:after="60" w:before="4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ARD City's 2025-2026 Master Sales Plan activates five strategic sales verticals to deliver PKR 4.8 Billion in Year 1 revenue. The plan combines government housing allotment partnerships, direct consumer campaigns reaching 8,000 leads monthly, corporate bulk sales to 20+ enterprises, a 250-agent national dealer network, and a focused overseas Pakistani outreach program across UAE, UK, and Saudi Arabia. With LDA-approved status, smart city infrastructure, and PKR 80M in marketing investment, ARD City is positioned to capture both domestic and diaspora demand in Pakistan's post-stabilization real estate recovery.</w:t>
      </w:r>
    </w:p>
    <w:p>
      <w:pPr>
        <w:pBdr>
          <w:bottom w:val="single" w:color="CCCCCC" w:sz="1" w:space="2"/>
        </w:pBdr>
        <w:spacing w:after="80" w:before="80"/>
      </w:pPr>
    </w:p>
    <w:p>
      <w:pPr>
        <w:spacing w:after="60" w:before="4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ARD City's 2025-2026 Sales Plan deploys a 5-vertical go-to-market strategy targeting PKR 4.8 Billion in Year 1 revenue. The plan activates government housing channels, direct consumer campaigns, corporate bulk sales, a 250-agent dealer network, and a focused overseas Pakistani outreach program across UAE, UK, and Saudi Arabia.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Pakistan Real Estate Market Context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Pakistan real estate 2025: post-IMF stabilization, inflation easing from 28% to 18%, overseas remittances up 22% YoY, strong NRP demand for investment-grade property, government Naya Pakistan Housing push creating institutional demand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ARD City Market Positioning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Premium mid-market township targeting salaried professionals and NRPs seeking capital appreciation. Positioned above general housing schemes but below DHA premium. Unique angle: smart infrastructure at accessible pricing.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Overall Sales Objectives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Year 1: 40% inventory sold (PKR 4.8B revenue)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Establish 250+ active channel partners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Achieve top-3 ranking on Zameen.com for Lahore region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Close 3 B2G housing allotment MOUs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Plan Overview</w:t>
      </w:r>
    </w:p>
    <w:p>
      <w:pPr>
        <w:pBdr>
          <w:bottom w:val="single" w:color="B8912A" w:sz="6" w:space="4"/>
        </w:pBd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ARD 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Lahore – Kharian Motorway Interchange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Total Inventory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1,200 plots | 350 villas | 80 commercial units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Total 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4.8 Billion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Plan Duration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April 2025 – March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Launch 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April 20, 2025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Markets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Pakistan domestic + UAE + UK + Saudi + Gulf diaspora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Sales Verticals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B2G · B2C · B2B Corporate · Channel Partners · Overseas/Diaspora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Regulatory 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LDA Approved · RERA Registered · DHA Sector Adjacent</w:t>
            </w:r>
          </w:p>
        </w:tc>
      </w:tr>
    </w:tbl>
    <w:p>
      <w:pPr>
        <w:spacing w:after="50" w:before="180"/>
      </w:pPr>
      <w:r>
        <w:rPr>
          <w:rFonts w:ascii="Arial" w:cs="Arial" w:eastAsia="Arial" w:hAnsi="Arial"/>
          <w:color w:val="1A3A6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Product Mix &amp; Inventory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5 Marla residential: 450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10 Marla plots: 300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Commercial 4 Marla: 80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Villas 1 Kanal: 60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Apartments (studio-3BR): 200 units</w:t>
      </w:r>
    </w:p>
    <w:p>
      <w:pPr>
        <w:spacing w:after="50" w:before="180"/>
      </w:pPr>
      <w:r>
        <w:rPr>
          <w:rFonts w:ascii="Arial" w:cs="Arial" w:eastAsia="Arial" w:hAnsi="Arial"/>
          <w:color w:val="1A3A6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Pricing Overview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5 Marla: PKR 2.5M–3.2M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10 Marla: PKR 4.8M–6.0M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Commercial: PKR 9M–14M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Villas: PKR 18M–25M</w:t>
      </w:r>
    </w:p>
    <w:p>
      <w:pPr>
        <w:spacing w:after="50" w:before="180"/>
      </w:pPr>
      <w:r>
        <w:rPr>
          <w:rFonts w:ascii="Arial" w:cs="Arial" w:eastAsia="Arial" w:hAnsi="Arial"/>
          <w:color w:val="1A3A6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Key Differentiators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Smart city infrastructure with fibre optic grid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Biometric gated entry with 24/7 CCTV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5 min from M-2 Motorway interchange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Central boulevard with green spine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LDA approved with clear title deeds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Master Timeline &amp; Execution Phases</w:t>
      </w:r>
    </w:p>
    <w:p>
      <w:pPr>
        <w:pBdr>
          <w:bottom w:val="single" w:color="B8912A" w:sz="6" w:space="4"/>
        </w:pBdr>
        <w:spacing w:after="80" w:before="160"/>
      </w:pP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Official Launch Date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April 20, 2025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Execution Phases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Phase 1 (Month 1–2): Pre-launch soft bookings + dealer onboarding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Phase 2 (Month 3–4): Grand launch event + aggressive B2C + B2G activation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Phase 3 (Month 5–8): Acceleration wave + second inventory tranche release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Phase 4 (Month 9–12): Close-out campaigns + handover preparation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Key Milestones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1: 200+ dealers onboarded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2: 1M social media reach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3: 15% inventory sold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4: First B2G MOU signed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6: 35% inventory sold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9: 55% inventory sold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12: 70% inventory sold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Delivery &amp; Possession Schedule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Residential plots: 12 months post full payment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Commercial: 18 months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Villas: 24 months with quarterly construction milestones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Review &amp; Reporting Cadence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Weekly: Sales pipeline + lead quality review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Monthly: Revenue vs target + vertical performance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Quarterly: Board-level strategic review + plan adjustment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Master Budget Allocation</w:t>
      </w:r>
    </w:p>
    <w:p>
      <w:pPr>
        <w:pBdr>
          <w:bottom w:val="single" w:color="B8912A" w:sz="6" w:space="4"/>
        </w:pBdr>
        <w:spacing w:after="80" w:before="160"/>
      </w:pP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Total Sales &amp; Marketing Budget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80 Million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Budget Breakdown by Vertical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B2G outreach: PKR 8M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B2C digital + OOH: PKR 22M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B2B corporate: PKR 6M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Channel partner support: PKR 12M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Overseas/diaspora: PKR 10M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Events (all): PKR 12M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Technology/CRM: PKR 5M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Contingency: PKR 8M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Marketing &amp; Advertising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Digital (Meta + Google + YouTube): PKR 14M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OOH/Billboards (GT Road + M2 corridor): PKR 10M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Print (Dawn, Jang, The News): PKR 4M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Content/PR/Influencers: PKR 3M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Events &amp; Activations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12M across 8 events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Technology &amp; CRM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5M — CRM platform, lead management, WhatsApp automation, virtual tour tech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Commissions &amp; Incentive Pool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Direct sales team: 1.5%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Dealer network: 2.5%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B2B corporate channel: 2%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Overseas agents: 3%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Top performer bonus pool: PKR 5M annual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Contingency Reserve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8M (10% of total budget)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Events &amp; Activations Strategy</w:t>
      </w:r>
    </w:p>
    <w:p>
      <w:pPr>
        <w:pBdr>
          <w:bottom w:val="single" w:color="B8912A" w:sz="6" w:space="4"/>
        </w:pBdr>
        <w:spacing w:after="80" w:before="160"/>
      </w:pP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Grand Launch Event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Date: April 20,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Venue: Pearl Continental Lahore (Grand Ballroom)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Expected attendance: 800+ (dealers, investors, media, VIPs)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Agenda: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- Chairman keynote address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- Project reveal with 3D walkthrough video premiere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- Panel: Pakistan real estate investment outlook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- Live booking desk with instant booking incentives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- Gala dinner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Media: GEO TV live coverage, ARY News, Dawn, Jang, Tribune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Social: Facebook/YouTube Live streaming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Government &amp; Institutional Events (B2G)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Housing Ministry briefing (Month 2) — formal presentation with NAPHDA team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Provincial Housing Authority (Punjab) proposal submission (Month 3)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Armed Forces Housing Trust coordination meeting (Month 4)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NAPHDA developer registration and compliance roadshow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Corporate Outreach Events (B2B)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Corporate roadshow: 20 companies in Month 2–3 (WAPDA, PTCL, Jazz, Telenor, textile mills)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HR Directors breakfast briefing series (monthly)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CIPD Pakistan HR conference sponsorship (May 2025)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LinkedIn corporate outreach campaign with invite to private briefing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Dealer &amp; Channel Meets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city dealer meets: Lahore, Islamabad, Karachi, Gujrat, Faisalabad (all Month 1 onwards)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AREC (ARD Real Estate Club) launch event (Month 1)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Quarterly incentive ceremony with awards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Annual dealer conference + 3-day international trip (Top 50 dealers)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Overseas / Diaspora Events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Dubai International Property Show — May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London NRP Investment Briefing — June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Riyadh Pakistani Community Expo — August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YouTube Live in Urdu (1st Saturday of each month)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webinar series for overseas buyers (bi-weekly)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On-Ground Activations &amp; Roadshows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Mall activations: Packages Mall Lahore, Emporium Mall, Centaurus Islamabad (Month 3–4)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Gujrat city roadshow (Month 2)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Nearby housing society banner placements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Mosque notice board campaigns in Kharian/Gujrat belt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University career fair booths (real estate investment awareness)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Digital Events &amp; Virtual Tours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360° virtual site tour on website (launch day)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Instagram Reels: weekly project update videos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Facebook/YouTube Live (Q&amp;A with project team)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community group: ARD City Investors Club (target 10K members)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Podcast: Zameen.com Real Talk feature episode</w:t>
      </w:r>
    </w:p>
    <w:p>
      <w:pPr>
        <w:pageBreakBefore/>
      </w:pPr>
    </w:p>
    <w:p>
      <w:pPr>
        <w:shd w:fill="1A4A7A" w:val="clear"/>
        <w:spacing w:after="0" w:before="0"/>
      </w:pPr>
      <w:r>
        <w:rPr>
          <w:rFonts w:ascii="Garamond" w:cs="Garamond" w:eastAsia="Garamond" w:hAnsi="Garamond"/>
          <w:b/>
          <w:bCs/>
          <w:color w:val="FFFFFF"/>
          <w:sz w:val="28"/>
          <w:szCs w:val="28"/>
        </w:rPr>
        <w:t xml:space="preserve">  B2G  ·  Business to Government</w:t>
      </w:r>
    </w:p>
    <w:p>
      <w:pPr>
        <w:shd w:fill="B8912A" w:val="clear"/>
        <w:spacing w:after="120" w:before="0"/>
      </w:pPr>
      <w:r>
        <w:rPr>
          <w:rFonts w:ascii="Arial" w:cs="Arial" w:eastAsia="Arial" w:hAnsi="Arial"/>
          <w:color w:val="0D1F3C"/>
          <w:spacing w:val="80"/>
          <w:sz w:val="18"/>
          <w:szCs w:val="18"/>
        </w:rPr>
        <w:t xml:space="preserve">  ARD CITY  ·  SALES VERTICAL PLAN</w:t>
      </w:r>
    </w:p>
    <w:p>
      <w:pPr>
        <w:pBdr>
          <w:bottom w:val="single" w:color="D4A843" w:sz="1" w:space="2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B2G — Business to Government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Secure government housing allotment MOUs for civil servants, police, and armed forces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Federal &amp; provincial housing authorities, NAPHDA, armed forces housing trusts, civil service housing cooperatives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600M (bulk allotments of 200+ units)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Month 2–6 (relationship building + MOU signing)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Contact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Secretary Housing, DG NAPHDA, Corps Commander Housing Directorates</w:t>
            </w:r>
          </w:p>
        </w:tc>
      </w:tr>
    </w:tbl>
    <w:p>
      <w:pPr>
        <w:spacing w:after="0" w:before="200"/>
      </w:pPr>
    </w:p>
    <w:p>
      <w:pPr>
        <w:spacing w:after="50" w:before="180"/>
      </w:pPr>
      <w:r>
        <w:rPr>
          <w:rFonts w:ascii="Arial" w:cs="Arial" w:eastAsia="Arial" w:hAnsi="Arial"/>
          <w:color w:val="1A4A7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Value Proposition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LDA-approved, clear title, affordable pricing with government subsidy eligibility, bulk booking discounts of 8–12%, priority possession timelines</w:t>
      </w:r>
    </w:p>
    <w:p>
      <w:pPr>
        <w:spacing w:after="50" w:before="180"/>
      </w:pPr>
      <w:r>
        <w:rPr>
          <w:rFonts w:ascii="Arial" w:cs="Arial" w:eastAsia="Arial" w:hAnsi="Arial"/>
          <w:color w:val="1A4A7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Sales Approach &amp;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Ministerial-level presentations, formal proposal submissions, NAPHDA registration, site visits for decision makers, compliance documentation package</w:t>
      </w:r>
    </w:p>
    <w:p>
      <w:pPr>
        <w:spacing w:after="50" w:before="180"/>
      </w:pPr>
      <w:r>
        <w:rPr>
          <w:rFonts w:ascii="Arial" w:cs="Arial" w:eastAsia="Arial" w:hAnsi="Arial"/>
          <w:color w:val="1A4A7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Pricing &amp; Payment Structure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Bulk allotment pricing: 10% discount on listed price for 50+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12% discount for 100+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Government employee installment plan: 5 years post-possession</w:t>
      </w:r>
    </w:p>
    <w:p>
      <w:pPr>
        <w:spacing w:after="50" w:before="180"/>
      </w:pPr>
      <w:r>
        <w:rPr>
          <w:rFonts w:ascii="Arial" w:cs="Arial" w:eastAsia="Arial" w:hAnsi="Arial"/>
          <w:color w:val="1A4A7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KPIs &amp; Success Metrics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3 MOUs signed (Year 1)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200 units sold through B2G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600M revenue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 provincial housing board presentations</w:t>
      </w:r>
    </w:p>
    <w:p>
      <w:pPr>
        <w:pageBreakBefore/>
      </w:pPr>
    </w:p>
    <w:p>
      <w:pPr>
        <w:shd w:fill="2E6B45" w:val="clear"/>
        <w:spacing w:after="0" w:before="0"/>
      </w:pPr>
      <w:r>
        <w:rPr>
          <w:rFonts w:ascii="Garamond" w:cs="Garamond" w:eastAsia="Garamond" w:hAnsi="Garamond"/>
          <w:b/>
          <w:bCs/>
          <w:color w:val="FFFFFF"/>
          <w:sz w:val="28"/>
          <w:szCs w:val="28"/>
        </w:rPr>
        <w:t xml:space="preserve">  B2C  ·  Business to Consumer</w:t>
      </w:r>
    </w:p>
    <w:p>
      <w:pPr>
        <w:shd w:fill="B8912A" w:val="clear"/>
        <w:spacing w:after="120" w:before="0"/>
      </w:pPr>
      <w:r>
        <w:rPr>
          <w:rFonts w:ascii="Arial" w:cs="Arial" w:eastAsia="Arial" w:hAnsi="Arial"/>
          <w:color w:val="0D1F3C"/>
          <w:spacing w:val="80"/>
          <w:sz w:val="18"/>
          <w:szCs w:val="18"/>
        </w:rPr>
        <w:t xml:space="preserve">  ARD CITY  ·  SALES VERTICAL PLAN</w:t>
      </w:r>
    </w:p>
    <w:p>
      <w:pPr>
        <w:pBdr>
          <w:bottom w:val="single" w:color="D4A843" w:sz="1" w:space="2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B2C — Business to Consumer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Direct retail sales to end-users and individual investors across Pakistan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Salaried professionals (age 28–45), young families seeking first home, small investors (PKR 500K–2M ticket), local Kharian/Gujrat belt buyers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1.8B (600 units sold direct)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Month 1 onwards (primary ongoing vertical)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Contact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Individual buyer, nuclear family decision-making unit</w:t>
            </w:r>
          </w:p>
        </w:tc>
      </w:tr>
    </w:tbl>
    <w:p>
      <w:pPr>
        <w:spacing w:after="0" w:before="200"/>
      </w:pPr>
    </w:p>
    <w:p>
      <w:pPr>
        <w:spacing w:after="50" w:before="180"/>
      </w:pPr>
      <w:r>
        <w:rPr>
          <w:rFonts w:ascii="Arial" w:cs="Arial" w:eastAsia="Arial" w:hAnsi="Arial"/>
          <w:color w:val="2E6B4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E6B45"/>
          <w:sz w:val="21"/>
          <w:szCs w:val="21"/>
        </w:rPr>
        <w:t xml:space="preserve">Value Proposition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Affordable installments (3-year plan), proximity to motorway, smart lifestyle, better ROI than bank savings, LDA-approved security</w:t>
      </w:r>
    </w:p>
    <w:p>
      <w:pPr>
        <w:spacing w:after="50" w:before="180"/>
      </w:pPr>
      <w:r>
        <w:rPr>
          <w:rFonts w:ascii="Arial" w:cs="Arial" w:eastAsia="Arial" w:hAnsi="Arial"/>
          <w:color w:val="2E6B4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E6B45"/>
          <w:sz w:val="21"/>
          <w:szCs w:val="21"/>
        </w:rPr>
        <w:t xml:space="preserve">Sales Approach &amp;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Digital lead generation funnel, site visit experience, 1-on-1 sales consultants, Easy installment plans, limited-time phase pricing</w:t>
      </w:r>
    </w:p>
    <w:p>
      <w:pPr>
        <w:spacing w:after="50" w:before="180"/>
      </w:pPr>
      <w:r>
        <w:rPr>
          <w:rFonts w:ascii="Arial" w:cs="Arial" w:eastAsia="Arial" w:hAnsi="Arial"/>
          <w:color w:val="2E6B4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E6B45"/>
          <w:sz w:val="21"/>
          <w:szCs w:val="21"/>
        </w:rPr>
        <w:t xml:space="preserve">Pricing &amp; Payment Structure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Easy installment: 30% down + 36 monthly installments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Cash discount: 8% for full payment within 30 days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Phase 1 pricing locked for first 200 bookings</w:t>
      </w:r>
    </w:p>
    <w:p>
      <w:pPr>
        <w:spacing w:after="50" w:before="180"/>
      </w:pPr>
      <w:r>
        <w:rPr>
          <w:rFonts w:ascii="Arial" w:cs="Arial" w:eastAsia="Arial" w:hAnsi="Arial"/>
          <w:color w:val="2E6B4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E6B45"/>
          <w:sz w:val="21"/>
          <w:szCs w:val="21"/>
        </w:rPr>
        <w:t xml:space="preserve">Lead Generation Channels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Meta (Facebook/Instagram) targeted ads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Google Search ads for 'plots for sale Lahore'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Zameen.com + Graana.com listings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broadcast to qualified database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Dealer referrals</w:t>
      </w:r>
    </w:p>
    <w:p>
      <w:pPr>
        <w:spacing w:after="50" w:before="180"/>
      </w:pPr>
      <w:r>
        <w:rPr>
          <w:rFonts w:ascii="Arial" w:cs="Arial" w:eastAsia="Arial" w:hAnsi="Arial"/>
          <w:color w:val="2E6B45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E6B45"/>
          <w:sz w:val="21"/>
          <w:szCs w:val="21"/>
        </w:rPr>
        <w:t xml:space="preserve">KPIs &amp; Success Metrics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8,000 leads/month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CPL: PKR 1,500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400 site visits/month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10–12% conversion rate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1.8B Year 1 revenue</w:t>
      </w:r>
    </w:p>
    <w:p>
      <w:pPr>
        <w:pageBreakBefore/>
      </w:pPr>
    </w:p>
    <w:p>
      <w:pPr>
        <w:shd w:fill="6B2E2E" w:val="clear"/>
        <w:spacing w:after="0" w:before="0"/>
      </w:pPr>
      <w:r>
        <w:rPr>
          <w:rFonts w:ascii="Garamond" w:cs="Garamond" w:eastAsia="Garamond" w:hAnsi="Garamond"/>
          <w:b/>
          <w:bCs/>
          <w:color w:val="FFFFFF"/>
          <w:sz w:val="28"/>
          <w:szCs w:val="28"/>
        </w:rPr>
        <w:t xml:space="preserve">  B2B Corporate  ·  Business to Business Corporate</w:t>
      </w:r>
    </w:p>
    <w:p>
      <w:pPr>
        <w:shd w:fill="B8912A" w:val="clear"/>
        <w:spacing w:after="120" w:before="0"/>
      </w:pPr>
      <w:r>
        <w:rPr>
          <w:rFonts w:ascii="Arial" w:cs="Arial" w:eastAsia="Arial" w:hAnsi="Arial"/>
          <w:color w:val="0D1F3C"/>
          <w:spacing w:val="80"/>
          <w:sz w:val="18"/>
          <w:szCs w:val="18"/>
        </w:rPr>
        <w:t xml:space="preserve">  ARD CITY  ·  SALES VERTICAL PLAN</w:t>
      </w:r>
    </w:p>
    <w:p>
      <w:pPr>
        <w:pBdr>
          <w:bottom w:val="single" w:color="D4A843" w:sz="1" w:space="2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B2B Corporate — Business to Business Corporate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Corporate bulk sales through employee housing schemes and institutional investor partnerships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Large corporations (500+ employees), banks, telecom companies (Jazz, Telenor, Zong), textile mills, government enterprises (WAPDA, PTCL, Railways)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500M (150+ units via corporate channel)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Month 2–8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Contact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HR Director, Admin Manager, CFO, CEO for large deals</w:t>
            </w:r>
          </w:p>
        </w:tc>
      </w:tr>
    </w:tbl>
    <w:p>
      <w:pPr>
        <w:spacing w:after="0" w:before="200"/>
      </w:pPr>
    </w:p>
    <w:p>
      <w:pPr>
        <w:spacing w:after="50" w:before="180"/>
      </w:pPr>
      <w:r>
        <w:rPr>
          <w:rFonts w:ascii="Arial" w:cs="Arial" w:eastAsia="Arial" w:hAnsi="Arial"/>
          <w:color w:val="6B2E2E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6B2E2E"/>
          <w:sz w:val="21"/>
          <w:szCs w:val="21"/>
        </w:rPr>
        <w:t xml:space="preserve">Value Proposition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Staff retention tool, tax-efficient benefit, corporate discount pricing, dedicated account management, branded employee housing portal</w:t>
      </w:r>
    </w:p>
    <w:p>
      <w:pPr>
        <w:spacing w:after="50" w:before="180"/>
      </w:pPr>
      <w:r>
        <w:rPr>
          <w:rFonts w:ascii="Arial" w:cs="Arial" w:eastAsia="Arial" w:hAnsi="Arial"/>
          <w:color w:val="6B2E2E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6B2E2E"/>
          <w:sz w:val="21"/>
          <w:szCs w:val="21"/>
        </w:rPr>
        <w:t xml:space="preserve">Sales Approach &amp;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Executive lunch briefings, formal corporate proposals, HR conference sponsorships, LinkedIn B2B outreach, dedicated corporate sales team (4 people)</w:t>
      </w:r>
    </w:p>
    <w:p>
      <w:pPr>
        <w:spacing w:after="50" w:before="180"/>
      </w:pPr>
      <w:r>
        <w:rPr>
          <w:rFonts w:ascii="Arial" w:cs="Arial" w:eastAsia="Arial" w:hAnsi="Arial"/>
          <w:color w:val="6B2E2E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6B2E2E"/>
          <w:sz w:val="21"/>
          <w:szCs w:val="21"/>
        </w:rPr>
        <w:t xml:space="preserve">Pricing &amp; Payment Structure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Corporate bulk pricing: 7% discount on 20+ units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Deferred possession for corporate allotments (matching employee loan cycles)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Custom payment plans aligned to corporate bonus cycles</w:t>
      </w:r>
    </w:p>
    <w:p>
      <w:pPr>
        <w:spacing w:after="50" w:before="180"/>
      </w:pPr>
      <w:r>
        <w:rPr>
          <w:rFonts w:ascii="Arial" w:cs="Arial" w:eastAsia="Arial" w:hAnsi="Arial"/>
          <w:color w:val="6B2E2E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6B2E2E"/>
          <w:sz w:val="21"/>
          <w:szCs w:val="21"/>
        </w:rPr>
        <w:t xml:space="preserve">Partnership / MOU Structure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Formal MOU with corporations for employee housing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Tie-up with HBL, MCB, Meezan Bank for employee mortgage products</w:t>
      </w:r>
    </w:p>
    <w:p>
      <w:pPr>
        <w:spacing w:after="50" w:before="180"/>
      </w:pPr>
      <w:r>
        <w:rPr>
          <w:rFonts w:ascii="Arial" w:cs="Arial" w:eastAsia="Arial" w:hAnsi="Arial"/>
          <w:color w:val="6B2E2E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6B2E2E"/>
          <w:sz w:val="21"/>
          <w:szCs w:val="21"/>
        </w:rPr>
        <w:t xml:space="preserve">KPIs &amp; Success Metrics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20 corporate presentations (Month 1–3)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8 MOUs signed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150 units sold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500M revenue</w:t>
      </w:r>
    </w:p>
    <w:p>
      <w:pPr>
        <w:pageBreakBefore/>
      </w:pPr>
    </w:p>
    <w:p>
      <w:pPr>
        <w:shd w:fill="4A3070" w:val="clear"/>
        <w:spacing w:after="0" w:before="0"/>
      </w:pPr>
      <w:r>
        <w:rPr>
          <w:rFonts w:ascii="Garamond" w:cs="Garamond" w:eastAsia="Garamond" w:hAnsi="Garamond"/>
          <w:b/>
          <w:bCs/>
          <w:color w:val="FFFFFF"/>
          <w:sz w:val="28"/>
          <w:szCs w:val="28"/>
        </w:rPr>
        <w:t xml:space="preserve">  Channel Partners  ·  Dealer &amp; Channel Network</w:t>
      </w:r>
    </w:p>
    <w:p>
      <w:pPr>
        <w:shd w:fill="B8912A" w:val="clear"/>
        <w:spacing w:after="120" w:before="0"/>
      </w:pPr>
      <w:r>
        <w:rPr>
          <w:rFonts w:ascii="Arial" w:cs="Arial" w:eastAsia="Arial" w:hAnsi="Arial"/>
          <w:color w:val="0D1F3C"/>
          <w:spacing w:val="80"/>
          <w:sz w:val="18"/>
          <w:szCs w:val="18"/>
        </w:rPr>
        <w:t xml:space="preserve">  ARD CITY  ·  SALES VERTICAL PLAN</w:t>
      </w:r>
    </w:p>
    <w:p>
      <w:pPr>
        <w:pBdr>
          <w:bottom w:val="single" w:color="D4A843" w:sz="1" w:space="2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Channel Partners — Dealer &amp; Channel Network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Build Pakistan's most activated real estate dealer network for ARD 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Licensed real estate agents, property dealers, sub-brokers, referral networks across Lahore, Islamabad, Karachi, Gujrat, Sialkot, Faisalabad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1.4B (40% of total sales via channel)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Month 1 (onboarding) → ongoing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Contact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Senior dealer principal, franchise office head, active agent with 3+ years experience</w:t>
            </w:r>
          </w:p>
        </w:tc>
      </w:tr>
    </w:tbl>
    <w:p>
      <w:pPr>
        <w:spacing w:after="0" w:before="200"/>
      </w:pPr>
    </w:p>
    <w:p>
      <w:pPr>
        <w:spacing w:after="50" w:before="180"/>
      </w:pPr>
      <w:r>
        <w:rPr>
          <w:rFonts w:ascii="Arial" w:cs="Arial" w:eastAsia="Arial" w:hAnsi="Arial"/>
          <w:color w:val="4A3070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4A3070"/>
          <w:sz w:val="21"/>
          <w:szCs w:val="21"/>
        </w:rPr>
        <w:t xml:space="preserve">Value Proposition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2.5% commission (market-leading), marketing co-op support, exclusive city territories, monthly incentive trips, annual dealer conference</w:t>
      </w:r>
    </w:p>
    <w:p>
      <w:pPr>
        <w:spacing w:after="50" w:before="180"/>
      </w:pPr>
      <w:r>
        <w:rPr>
          <w:rFonts w:ascii="Arial" w:cs="Arial" w:eastAsia="Arial" w:hAnsi="Arial"/>
          <w:color w:val="4A3070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4A3070"/>
          <w:sz w:val="21"/>
          <w:szCs w:val="21"/>
        </w:rPr>
        <w:t xml:space="preserve">Sales Approach &amp;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Dealer onboarding roadshows in 10 cities, AREC (ARD Real Estate Club) launch, dedicated dealer portal, WhatsApp dealer groups, weekly performance leaderboard</w:t>
      </w:r>
    </w:p>
    <w:p>
      <w:pPr>
        <w:spacing w:after="50" w:before="180"/>
      </w:pPr>
      <w:r>
        <w:rPr>
          <w:rFonts w:ascii="Arial" w:cs="Arial" w:eastAsia="Arial" w:hAnsi="Arial"/>
          <w:color w:val="4A3070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4A3070"/>
          <w:sz w:val="21"/>
          <w:szCs w:val="21"/>
        </w:rPr>
        <w:t xml:space="preserve">Incentives &amp; Commission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Standard commission: 2.5%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Bonus: 0.5% extra for monthly target achievement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Top 10 dealers: International trip (Dubai/Turkey)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Top dealer of the year: Brand new car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Dealer co-op marketing fund: PKR 50K/quarter per active dealer</w:t>
      </w:r>
    </w:p>
    <w:p>
      <w:pPr>
        <w:spacing w:after="50" w:before="180"/>
      </w:pPr>
      <w:r>
        <w:rPr>
          <w:rFonts w:ascii="Arial" w:cs="Arial" w:eastAsia="Arial" w:hAnsi="Arial"/>
          <w:color w:val="4A3070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4A3070"/>
          <w:sz w:val="21"/>
          <w:szCs w:val="21"/>
        </w:rPr>
        <w:t xml:space="preserve">KPIs &amp; Success Metrics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250 active registered dealers by Month 2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1.4B revenue through channel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60% of leads converted via dealer network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dealer meet attendance: 80%+</w:t>
      </w:r>
    </w:p>
    <w:p>
      <w:pPr>
        <w:pageBreakBefore/>
      </w:pPr>
    </w:p>
    <w:p>
      <w:pPr>
        <w:shd w:fill="1A5A5A" w:val="clear"/>
        <w:spacing w:after="0" w:before="0"/>
      </w:pPr>
      <w:r>
        <w:rPr>
          <w:rFonts w:ascii="Garamond" w:cs="Garamond" w:eastAsia="Garamond" w:hAnsi="Garamond"/>
          <w:b/>
          <w:bCs/>
          <w:color w:val="FFFFFF"/>
          <w:sz w:val="28"/>
          <w:szCs w:val="28"/>
        </w:rPr>
        <w:t xml:space="preserve">  Overseas/Diaspora  ·  Overseas Pakistani &amp; Diaspora</w:t>
      </w:r>
    </w:p>
    <w:p>
      <w:pPr>
        <w:shd w:fill="B8912A" w:val="clear"/>
        <w:spacing w:after="120" w:before="0"/>
      </w:pPr>
      <w:r>
        <w:rPr>
          <w:rFonts w:ascii="Arial" w:cs="Arial" w:eastAsia="Arial" w:hAnsi="Arial"/>
          <w:color w:val="0D1F3C"/>
          <w:spacing w:val="80"/>
          <w:sz w:val="18"/>
          <w:szCs w:val="18"/>
        </w:rPr>
        <w:t xml:space="preserve">  ARD CITY  ·  SALES VERTICAL PLAN</w:t>
      </w:r>
    </w:p>
    <w:p>
      <w:pPr>
        <w:pBdr>
          <w:bottom w:val="single" w:color="D4A843" w:sz="1" w:space="2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Overseas/Diaspora — Overseas Pakistani &amp; Diaspora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Capture overseas Pakistani NRP investment demand across UAE, UK, Saudi Arabia, and Gulf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Non-Resident Pakistanis (NRPs) in UAE (1.2M), UK (500K), Saudi Arabia (1.5M), Qatar, Bahrain, Oman, Canada, USA — primarily 35–55 age, remittance-sending, homeland investment intent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PKR 500M (investment buyer segment, higher ticket sizes)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Month 1 onwards, peak during Ramadan/Eid travel season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Primary Contact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2D2D2D"/>
                <w:sz w:val="20"/>
                <w:szCs w:val="20"/>
              </w:rPr>
              <w:t xml:space="preserve">NRP individual investor, community leader, masjid committee, Pakistan association president</w:t>
            </w:r>
          </w:p>
        </w:tc>
      </w:tr>
    </w:tbl>
    <w:p>
      <w:pPr>
        <w:spacing w:after="0" w:before="200"/>
      </w:pPr>
    </w:p>
    <w:p>
      <w:pPr>
        <w:spacing w:after="50" w:before="180"/>
      </w:pPr>
      <w:r>
        <w:rPr>
          <w:rFonts w:ascii="Arial" w:cs="Arial" w:eastAsia="Arial" w:hAnsi="Arial"/>
          <w:color w:val="1A5A5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5A5A"/>
          <w:sz w:val="21"/>
          <w:szCs w:val="21"/>
        </w:rPr>
        <w:t xml:space="preserve">Value Proposition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Safe PKR-denominated investment, 20–25% projected capital appreciation, LDA-approved clean title, WhatsApp-managed purchase process, power of attorney accepted, Roshan Digital Account compatible</w:t>
      </w:r>
    </w:p>
    <w:p>
      <w:pPr>
        <w:spacing w:after="50" w:before="180"/>
      </w:pPr>
      <w:r>
        <w:rPr>
          <w:rFonts w:ascii="Arial" w:cs="Arial" w:eastAsia="Arial" w:hAnsi="Arial"/>
          <w:color w:val="1A5A5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5A5A"/>
          <w:sz w:val="21"/>
          <w:szCs w:val="21"/>
        </w:rPr>
        <w:t xml:space="preserve">Sales Approach &amp;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Property expos (Dubai, London, Manchester), Pakistan community WhatsApp broadcast groups, YouTube/TikTok Urdu content, Roshan Digital Account partnership with State Bank, dedicated NRP desk 24/7</w:t>
      </w:r>
    </w:p>
    <w:p>
      <w:pPr>
        <w:spacing w:after="50" w:before="180"/>
      </w:pPr>
      <w:r>
        <w:rPr>
          <w:rFonts w:ascii="Arial" w:cs="Arial" w:eastAsia="Arial" w:hAnsi="Arial"/>
          <w:color w:val="1A5A5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5A5A"/>
          <w:sz w:val="21"/>
          <w:szCs w:val="21"/>
        </w:rPr>
        <w:t xml:space="preserve">Partnership / MOU Structure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Roshan Digital Account (State Bank of Pakistan)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NRP Property Management partner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Overseas Pakistan Foundation (OPF) registration</w:t>
      </w:r>
    </w:p>
    <w:p>
      <w:pPr>
        <w:spacing w:after="50" w:before="180"/>
      </w:pPr>
      <w:r>
        <w:rPr>
          <w:rFonts w:ascii="Arial" w:cs="Arial" w:eastAsia="Arial" w:hAnsi="Arial"/>
          <w:color w:val="1A5A5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5A5A"/>
          <w:sz w:val="21"/>
          <w:szCs w:val="21"/>
        </w:rPr>
        <w:t xml:space="preserve">Marketing Support Plan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Bilingual Urdu/English all materials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YouTube channel with virtual site tours in Urdu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NRP community broadcasts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Instagram targeted to Pakistani diaspora demographics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Sponsorship of Pakistan cultural events abroad</w:t>
      </w:r>
    </w:p>
    <w:p>
      <w:pPr>
        <w:spacing w:after="50" w:before="180"/>
      </w:pPr>
      <w:r>
        <w:rPr>
          <w:rFonts w:ascii="Arial" w:cs="Arial" w:eastAsia="Arial" w:hAnsi="Arial"/>
          <w:color w:val="1A5A5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5A5A"/>
          <w:sz w:val="21"/>
          <w:szCs w:val="21"/>
        </w:rPr>
        <w:t xml:space="preserve">KPIs &amp; Success Metrics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5,000 NRP leads per quarter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200 NRP buyers Year 1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PKR 500M NRP revenue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3 overseas property expo participations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Garamond" w:cs="Garamond" w:eastAsia="Garamond" w:hAnsi="Garamond"/>
          <w:b/>
          <w:bCs/>
          <w:color w:val="0D1F3C"/>
          <w:sz w:val="34"/>
          <w:szCs w:val="34"/>
        </w:rPr>
        <w:t xml:space="preserve">Integrated Marketing Plan</w:t>
      </w:r>
    </w:p>
    <w:p>
      <w:pPr>
        <w:pBdr>
          <w:bottom w:val="single" w:color="B8912A" w:sz="6" w:space="4"/>
        </w:pBdr>
        <w:spacing w:after="80" w:before="160"/>
      </w:pP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Brand Positioning — ARD City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ARD CITY — 'Where Legacy Meets Living'. Positioned as Pakistan's most thoughtfully planned gated township: smart infrastructure, investment-grade security of ownership, aspirational lifestyle at accessible pricing. Visual identity: deep navy, gold, emerald green. Tone: authoritative, warm, future-forward.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Awareness Phase (Top of Funnel)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Channels: Facebook/Instagram (40%), YouTube (20%), OOH/Billboards (25%), Radio FM 101/91/103 (10%), Print Dawn/Jang (5%)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 1 target: 1M organic + paid reach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Message: Project credibility, LDA approval, developer track record, ROI story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Lead Generation (Mid Funnel)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Meta Lead Ads with ARD City 'Free Investment Report' lead magnet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Google Search: 'plots for sale Lahore', 'gated community Pakistan'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Zameen + Graana listings with premium placement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broadcast to 200K+ existing real estate database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Referral: PKR 25K per verified referral lead that converts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Conversion Strategy (Bottom Funnel)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3-touch sequence: WhatsApp + call + site visit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Site visit VIP protocol: transport pickup, branded gift, model apartment tour, 1-on-1 consultant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Limited phase pricing urgency triggers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Flexible payment plan on-the-spot structuring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Target: 10–12% lead-to-sale conversion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Digital Marketing — Channels &amp; Tactics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Meta (Facebook/Instagram): Retargeting + lookalike audiences from existing buyer list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Google Ads: Search + Display + YouTube pre-rolls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TikTok: Short-form project videos (construction updates, lifestyle content)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LinkedIn: B2B corporate housing outreach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SEO: ARD City branded + category keywords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Traditional &amp; OOH Marketing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Billboards: GT Road (Gujrat–Lahore corridor), M-2 Motorway, Lahore ring road, Islamabad expressway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Newspaper: Dawn, Jang full-page launch ad (launch week)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Radio: FM 101 Lahore + FM 91 Islamabad (morning drive spots)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TV: Geo News property segment sponsorship (Month 3–6)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Overseas / Diaspora Marketing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Urdu/English bilingual all campaigns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WhatsApp NRP community broadcasts (UAE: 200K+ contacts, UK: 80K, Saudi: 150K)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YouTube Urdu-language project tour videos (target 500K views)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Dubai property expo May 2025, London NRP event June 2025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Roshan Digital Account partnership announcement PR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Content &amp; PR Strategy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project construction update blog + video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Buyer success stories (ROI testimonials)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Investment ROI comparison: ARD City vs mutual funds vs gold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Press releases to Dawn, Jang, Tribune, The News, Zameen Blog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Architect/designer interviews for premium perception</w:t>
      </w:r>
    </w:p>
    <w:p>
      <w:pPr>
        <w:spacing w:after="50" w:before="180"/>
      </w:pPr>
      <w:r>
        <w:rPr>
          <w:rFonts w:ascii="Arial" w:cs="Arial" w:eastAsia="Arial" w:hAnsi="Arial"/>
          <w:color w:val="2C5282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2C5282"/>
          <w:sz w:val="21"/>
          <w:szCs w:val="21"/>
        </w:rPr>
        <w:t xml:space="preserve">Marketing KPIs &amp; Targets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website visits: 100K+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leads: 8,000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CPL: PKR 1,500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Site visits: 400/month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Social media followers: 200K by Month 6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Conversion rate: 10–12%</w:t>
      </w:r>
    </w:p>
    <w:p>
      <w:pPr>
        <w:spacing w:after="60" w:before="40"/>
        <w:ind w:left="360"/>
      </w:pPr>
      <w:r>
        <w:rPr>
          <w:rFonts w:ascii="Garamond" w:cs="Garamond" w:eastAsia="Garamond" w:hAnsi="Garamond"/>
          <w:color w:val="2D2D2D"/>
          <w:sz w:val="22"/>
          <w:szCs w:val="22"/>
        </w:rPr>
        <w:t xml:space="preserve">Monthly revenue target: PKR 400M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Ali Bin Nadeem, CTO – CyberX Inc.</w:t>
    </w:r>
    <w:r>
      <w:rPr>
        <w:rFonts w:ascii="Arial" w:cs="Arial" w:eastAsia="Arial" w:hAnsi="Arial"/>
        <w:color w:val="AAAAAA"/>
        <w:sz w:val="16"/>
        <w:szCs w:val="16"/>
      </w:rPr>
      <w:t xml:space="preserve">   ·   March 2025   ·  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12A" w:sz="4" w:space="4"/>
      </w:pBdr>
    </w:pPr>
    <w:r>
      <w:rPr>
        <w:rFonts w:ascii="Arial" w:cs="Arial" w:eastAsia="Arial" w:hAnsi="Arial"/>
        <w:b/>
        <w:bCs/>
        <w:color w:val="0D1F3C"/>
        <w:spacing w:val="60"/>
        <w:sz w:val="18"/>
        <w:szCs w:val="18"/>
      </w:rPr>
      <w:t xml:space="preserve">ARD CITY  ·  </w:t>
    </w:r>
    <w:r>
      <w:rPr>
        <w:rFonts w:ascii="Arial" w:cs="Arial" w:eastAsia="Arial" w:hAnsi="Arial"/>
        <w:color w:val="4A5568"/>
        <w:sz w:val="18"/>
        <w:szCs w:val="18"/>
      </w:rPr>
      <w:t xml:space="preserve">ARD City Master Sales Plan 2025–2026</w:t>
    </w:r>
    <w:r>
      <w:rPr>
        <w:rFonts w:ascii="Arial" w:cs="Arial" w:eastAsia="Arial" w:hAnsi="Arial"/>
        <w:color w:val="AAAAAA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aramond" w:cs="Garamond" w:eastAsia="Garamond" w:hAnsi="Garamond"/>
      <w:b/>
      <w:bCs/>
      <w:color w:val="0D1F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aramond" w:cs="Garamond" w:eastAsia="Garamond" w:hAnsi="Garamond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2026-03-17T21:31:07.198Z</dcterms:created>
  <dcterms:modified xsi:type="dcterms:W3CDTF">2026-03-17T21:31:07.199Z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