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Grand City Phase 2 Master Sales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Grand City Kharian Phase 2</w:t>
      </w:r>
    </w:p>
    <w:p>
      <w:pPr>
        <w:pBdr>
          <w:top w:val="single" w:color="C9A84C" w:sz="2" w:space="6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Ali Bin Nadeem, CTO CyberX Inc.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2025   |   Target Revenue: PKR 2.4 Billion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1E3A5F"/>
          <w:sz w:val="36"/>
          <w:szCs w:val="36"/>
        </w:rPr>
        <w:t xml:space="preserve">◈  EXECUTIVE SUMMARY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160" w:before="120"/>
      </w:pPr>
      <w:r>
        <w:rPr>
          <w:rFonts w:ascii="Arial" w:cs="Arial" w:eastAsia="Arial" w:hAnsi="Arial"/>
          <w:b/>
          <w:bCs/>
          <w:i/>
          <w:iCs/>
          <w:color w:val="C9A84C"/>
          <w:sz w:val="20"/>
          <w:szCs w:val="20"/>
        </w:rPr>
        <w:t xml:space="preserve">AI-Generated Summary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Strategic multi-phase sales plan targeting PKR 2.4B through disciplined inventory release, multi-channel marketing, and a high-performing dealer network.</w:t>
      </w:r>
    </w:p>
    <w:p>
      <w:pPr>
        <w:spacing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Strategic Overview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Comprehensive go-to-market strategy for Phase 2 launch.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2E6B45"/>
          <w:sz w:val="36"/>
          <w:szCs w:val="36"/>
        </w:rPr>
        <w:t xml:space="preserve">①  PRODUCT RELEASE ORDER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Products &amp; Assets (In Release Order)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Residential Plots (5 Marla)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Commercial Plots (4 Marla)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Villas (10 Marla)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Sequencing Rationale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Residential first to build base demand and price benchmarks.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Market Absorption Strategy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30% inventory release per quarter to maintain scarcity premium.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Pricing Structure per Phase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1: PKR 2.2M per Marla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2: PKR 2.5M per Marla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2A4E8F"/>
          <w:sz w:val="36"/>
          <w:szCs w:val="36"/>
        </w:rPr>
        <w:t xml:space="preserve">◷  TIMELINE &amp; EXECUTION PHASES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Official Launch Date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April 15, 2025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Execution Phases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 (Weeks 1-4): Pre-launch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 (Weeks 5-8): Active Sales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Milestones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4: 50K reach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8: 20% sold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16: 60% sold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Delivery &amp; Handover Schedule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Residential: 6 months post-booking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8C4A1A"/>
          <w:sz w:val="36"/>
          <w:szCs w:val="36"/>
        </w:rPr>
        <w:t xml:space="preserve">₿  BUDGET ALLOCATION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Total Budget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PKR 45 Million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Marketing Allocation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Digital: PKR 12M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OOH: PKR 8M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Print: PKR 3M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Events Allocation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PKR 7M across 4 events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Technology &amp; CRM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PKR 3M for CRM and analytics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Commission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Direct Sales: 1.5%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Dealer Network: 2.5%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Channel Partners: 3%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Contingency Reserve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PKR 5M (10% reserve)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5A2E8A"/>
          <w:sz w:val="36"/>
          <w:szCs w:val="36"/>
        </w:rPr>
        <w:t xml:space="preserve">◉  EVENTS STRATEGY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Grand Launch Event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Venue: Pearl Continental Lahore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Date: April 15, 2025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Attendance: 500 guests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Dealer &amp; Agent Meets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Monthly in Lahore, Karachi, Islamabad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Incentive trips for top performers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Investor / HNI Sessions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Quarterly HNI briefings with site visits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On-Ground Activations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Mall activations in Lahore and Gujrat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Digital &amp; Virtual Events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Monthly Facebook Live Q&amp;A sessions</w:t>
      </w:r>
    </w:p>
    <w:p>
      <w:pPr>
        <w:pageBreakBefore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aps w:val="false"/>
          <w:color w:val="7A1E2E"/>
          <w:sz w:val="36"/>
          <w:szCs w:val="36"/>
        </w:rPr>
        <w:t xml:space="preserve">◬  MARKETING PLAN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Target Audience Segments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Local investors (Kharian/Gujrat belt)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Overseas Pakistanis (UAE, UK, Saudi)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End-users (young families)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Awareness Phase – Top of Funnel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Channels: Facebook, YouTube, Billboards, Radio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KPIs: 500K reach, 100K video views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Lead Generation – Mid Funnel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Landing pages, WhatsApp campaigns, dealer referrals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5000 qualified leads per month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Conversion Strategy – Bottom Funnel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3-touch follow-up cadence, site visit protocol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Target: 8-12% conversion rate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Retention &amp; Referral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Referral bonus PKR 50K per referral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Monthly buyer newsletter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Overall Marketing KPIs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Leads: 5000 per month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CPL: PKR 2000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Conversion: 10%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Monthly revenue: PKR 200M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 |  </w:t>
    </w:r>
    <w:r>
      <w:rPr>
        <w:rFonts w:ascii="Arial" w:cs="Arial" w:eastAsia="Arial" w:hAnsi="Arial"/>
        <w:color w:val="888888"/>
        <w:sz w:val="16"/>
        <w:szCs w:val="16"/>
      </w:rPr>
      <w:t xml:space="preserve">Ali Bin Nadeem, CTO CyberX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Grand City Phase 2 Master Sales Plan</w:t>
    </w:r>
    <w:r>
      <w:rPr>
        <w:rFonts w:ascii="Arial" w:cs="Arial" w:eastAsia="Arial" w:hAnsi="Arial"/>
        <w:color w:val="888888"/>
        <w:sz w:val="18"/>
        <w:szCs w:val="18"/>
      </w:rPr>
      <w:t xml:space="preserve">  |  Grand City Kharian Phase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2026-03-17T21:15:14.619Z</dcterms:created>
  <dcterms:modified xsi:type="dcterms:W3CDTF">2026-03-17T21:15:14.620Z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