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200"/>
        <w:jc w:val="center"/>
      </w:pPr>
      <w:r>
        <w:rPr>
          <w:rFonts w:ascii="Arial" w:cs="Arial" w:eastAsia="Arial" w:hAnsi="Arial"/>
          <w:b/>
          <w:bCs/>
          <w:color w:val="1B4F72"/>
          <w:sz w:val="56"/>
          <w:szCs w:val="56"/>
        </w:rPr>
        <w:t xml:space="preserve">DIY Formic Acid</w:t>
      </w:r>
    </w:p>
    <w:p>
      <w:pPr>
        <w:spacing w:after="200"/>
        <w:jc w:val="center"/>
      </w:pPr>
      <w:r>
        <w:rPr>
          <w:rFonts w:ascii="Arial" w:cs="Arial" w:eastAsia="Arial" w:hAnsi="Arial"/>
          <w:b/>
          <w:bCs/>
          <w:color w:val="1B4F72"/>
          <w:sz w:val="56"/>
          <w:szCs w:val="56"/>
        </w:rPr>
        <w:t xml:space="preserve">Slow-Release Gel</w:t>
      </w:r>
    </w:p>
    <w:p>
      <w:pPr>
        <w:spacing w:after="100"/>
        <w:jc w:val="center"/>
      </w:pPr>
      <w:r>
        <w:rPr>
          <w:rFonts w:ascii="Arial" w:cs="Arial" w:eastAsia="Arial" w:hAnsi="Arial"/>
          <w:color w:val="2E86C1"/>
          <w:sz w:val="40"/>
          <w:szCs w:val="40"/>
        </w:rPr>
        <w:t xml:space="preserve">for Varroa Mite Treatment</w:t>
      </w:r>
    </w:p>
    <w:p>
      <w:pPr>
        <w:spacing w:after="300"/>
      </w:pPr>
    </w:p>
    <w:p>
      <w:pPr>
        <w:pBdr>
          <w:top w:val="single" w:color="2E86C1" w:sz="3" w:space="8"/>
        </w:pBdr>
        <w:spacing w:after="200" w:before="200"/>
        <w:jc w:val="center"/>
      </w:pPr>
      <w:r>
        <w:rPr>
          <w:rFonts w:ascii="Arial" w:cs="Arial" w:eastAsia="Arial" w:hAnsi="Arial"/>
          <w:i/>
          <w:iCs/>
          <w:color w:val="5D6D7E"/>
          <w:sz w:val="28"/>
          <w:szCs w:val="28"/>
        </w:rPr>
        <w:t xml:space="preserve">Fumed Silica Formulation &amp; Dosage Guide</w:t>
      </w:r>
    </w:p>
    <w:p>
      <w:pPr>
        <w:spacing w:after="100"/>
        <w:jc w:val="center"/>
      </w:pPr>
      <w:r>
        <w:rPr>
          <w:rFonts w:ascii="Arial" w:cs="Arial" w:eastAsia="Arial" w:hAnsi="Arial"/>
          <w:color w:val="5D6D7E"/>
          <w:sz w:val="24"/>
          <w:szCs w:val="24"/>
        </w:rPr>
        <w:t xml:space="preserve">Optimized for Dadant-Blatt Hives</w:t>
      </w:r>
    </w:p>
    <w:p>
      <w:pPr>
        <w:spacing w:after="600"/>
      </w:pPr>
    </w:p>
    <w:p>
      <w:pPr>
        <w:spacing w:after="600"/>
      </w:pPr>
    </w:p>
    <w:p>
      <w:pPr>
        <w:spacing w:after="80"/>
        <w:jc w:val="center"/>
      </w:pPr>
      <w:r>
        <w:rPr>
          <w:rFonts w:ascii="Arial" w:cs="Arial" w:eastAsia="Arial" w:hAnsi="Arial"/>
          <w:color w:val="7F8C8D"/>
          <w:sz w:val="20"/>
          <w:szCs w:val="20"/>
        </w:rPr>
        <w:t xml:space="preserve">Based on expired USDA Patent US 6,037,374</w:t>
      </w:r>
    </w:p>
    <w:p>
      <w:pPr>
        <w:spacing w:after="80"/>
        <w:jc w:val="center"/>
      </w:pPr>
      <w:r>
        <w:rPr>
          <w:rFonts w:ascii="Arial" w:cs="Arial" w:eastAsia="Arial" w:hAnsi="Arial"/>
          <w:color w:val="7F8C8D"/>
          <w:sz w:val="20"/>
          <w:szCs w:val="20"/>
        </w:rPr>
        <w:t xml:space="preserve">Kochansky et al., J. Agric. Food Chem. 1999</w:t>
      </w:r>
    </w:p>
    <w:p>
      <w:pPr>
        <w:jc w:val="center"/>
      </w:pPr>
      <w:r>
        <w:rPr>
          <w:rFonts w:ascii="Arial" w:cs="Arial" w:eastAsia="Arial" w:hAnsi="Arial"/>
          <w:color w:val="7F8C8D"/>
          <w:sz w:val="20"/>
          <w:szCs w:val="20"/>
        </w:rPr>
        <w:t xml:space="preserve">Public domain since 2017</w:t>
      </w:r>
    </w:p>
    <w:p>
      <w:pPr>
        <w:spacing w:after="400"/>
      </w:pPr>
    </w:p>
    <w:p>
      <w:pPr>
        <w:pBdr>
          <w:top w:val="single" w:color="BDC3C7" w:sz="1" w:space="8"/>
        </w:pBdr>
        <w:spacing w:before="200"/>
        <w:jc w:val="center"/>
      </w:pPr>
      <w:r>
        <w:rPr>
          <w:rFonts w:ascii="Arial" w:cs="Arial" w:eastAsia="Arial" w:hAnsi="Arial"/>
          <w:b/>
          <w:bCs/>
          <w:color w:val="C0392B"/>
          <w:sz w:val="22"/>
          <w:szCs w:val="22"/>
        </w:rPr>
        <w:t xml:space="preserve">CAUTION: Formic acid is corrosive. Full PPE required.</w:t>
      </w:r>
    </w:p>
    <w:p>
      <w:pPr>
        <w:spacing w:after="80"/>
        <w:jc w:val="center"/>
      </w:pPr>
      <w:r>
        <w:rPr>
          <w:rFonts w:ascii="Arial" w:cs="Arial" w:eastAsia="Arial" w:hAnsi="Arial"/>
          <w:color w:val="C0392B"/>
          <w:sz w:val="20"/>
          <w:szCs w:val="20"/>
        </w:rPr>
        <w:t xml:space="preserve">Read all safety instructions before handling.</w:t>
      </w:r>
    </w:p>
    <w:p>
      <w:pPr>
        <w:sectPr>
          <w:pgSz w:w="11906" w:h="16838" w:orient="portrait"/>
          <w:pgMar w:top="1440" w:right="1440" w:bottom="1440" w:left="1440" w:header="708" w:footer="708" w:gutter="0"/>
          <w:pgNumType/>
          <w:docGrid w:linePitch="360"/>
        </w:sectPr>
      </w:pPr>
    </w:p>
    <w:p>
      <w:pPr>
        <w:pStyle w:val="Heading1"/>
      </w:pPr>
      <w:r>
        <w:t xml:space="preserve">Executive Summary</w:t>
      </w:r>
    </w:p>
    <w:p>
      <w:pPr>
        <w:spacing w:after="120" w:line="276"/>
        <w:jc w:val="both"/>
      </w:pPr>
      <w:r>
        <w:rPr>
          <w:rFonts w:ascii="Arial" w:cs="Arial" w:eastAsia="Arial" w:hAnsi="Arial"/>
          <w:b w:val="false"/>
          <w:bCs w:val="false"/>
          <w:i w:val="false"/>
          <w:iCs w:val="false"/>
          <w:color w:val="2C3E50"/>
          <w:sz w:val="22"/>
          <w:szCs w:val="22"/>
        </w:rPr>
        <w:t xml:space="preserve">A fumed silica gel loaded with 65% formic acid is the most practical, scientifically validated DIY slow-release system for Varroa mite control. </w:t>
      </w:r>
      <w:r>
        <w:rPr>
          <w:rFonts w:ascii="Arial" w:cs="Arial" w:eastAsia="Arial" w:hAnsi="Arial"/>
          <w:b/>
          <w:bCs/>
          <w:i w:val="false"/>
          <w:iCs w:val="false"/>
          <w:color w:val="2C3E50"/>
          <w:sz w:val="22"/>
          <w:szCs w:val="22"/>
        </w:rPr>
        <w:t xml:space="preserve">This formulation requires only two off-the-shelf ingredients</w:t>
      </w:r>
      <w:r>
        <w:rPr>
          <w:rFonts w:ascii="Arial" w:cs="Arial" w:eastAsia="Arial" w:hAnsi="Arial"/>
          <w:b w:val="false"/>
          <w:bCs w:val="false"/>
          <w:i w:val="false"/>
          <w:iCs w:val="false"/>
          <w:color w:val="2C3E50"/>
          <w:sz w:val="22"/>
          <w:szCs w:val="22"/>
        </w:rPr>
        <w:t xml:space="preserve">—food-grade fumed silica and 65% formic acid—mixed at a 7:100 ratio by weight, sealed in polyethylene bags with slits for vapor release. It delivers linear, controlled vaporization over 2–3 weeks and achieved 84% Varroa mortality in USDA field trials.</w:t>
      </w:r>
    </w:p>
    <w:p>
      <w:pPr>
        <w:spacing w:after="120" w:line="276"/>
        <w:jc w:val="both"/>
      </w:pPr>
      <w:r>
        <w:rPr>
          <w:rFonts w:ascii="Arial" w:cs="Arial" w:eastAsia="Arial" w:hAnsi="Arial"/>
          <w:b w:val="false"/>
          <w:bCs w:val="false"/>
          <w:i w:val="false"/>
          <w:iCs w:val="false"/>
          <w:color w:val="2C3E50"/>
          <w:sz w:val="22"/>
          <w:szCs w:val="22"/>
        </w:rPr>
        <w:t xml:space="preserve">For Dadant-Blatt hives, the dosage scales to approximately </w:t>
      </w:r>
      <w:r>
        <w:rPr>
          <w:rFonts w:ascii="Arial" w:cs="Arial" w:eastAsia="Arial" w:hAnsi="Arial"/>
          <w:b/>
          <w:bCs/>
          <w:i w:val="false"/>
          <w:iCs w:val="false"/>
          <w:color w:val="2C3E50"/>
          <w:sz w:val="22"/>
          <w:szCs w:val="22"/>
        </w:rPr>
        <w:t xml:space="preserve">19 g of formic acid per frame </w:t>
      </w:r>
      <w:r>
        <w:rPr>
          <w:rFonts w:ascii="Arial" w:cs="Arial" w:eastAsia="Arial" w:hAnsi="Arial"/>
          <w:b w:val="false"/>
          <w:bCs w:val="false"/>
          <w:i w:val="false"/>
          <w:iCs w:val="false"/>
          <w:color w:val="2C3E50"/>
          <w:sz w:val="22"/>
          <w:szCs w:val="22"/>
        </w:rPr>
        <w:t xml:space="preserve">occupied by bees, yielding ~189 g total for a full 10-frame colony. Temperature is the single most critical variable: vapor pressure doubles every 10°C, making the 29.5°C upper limit absolute.</w:t>
      </w:r>
    </w:p>
    <w:p>
      <w:pPr>
        <w:pStyle w:val="Heading1"/>
      </w:pPr>
      <w:r>
        <w:t xml:space="preserve">1. How Formic Acid Kills Varroa</w:t>
      </w:r>
    </w:p>
    <w:p>
      <w:pPr>
        <w:spacing w:after="120" w:line="276"/>
        <w:jc w:val="both"/>
      </w:pPr>
      <w:r>
        <w:rPr>
          <w:rFonts w:ascii="Arial" w:cs="Arial" w:eastAsia="Arial" w:hAnsi="Arial"/>
          <w:color w:val="2C3E50"/>
          <w:sz w:val="22"/>
          <w:szCs w:val="22"/>
        </w:rPr>
        <w:t xml:space="preserve">Formic acid (HCOOH) is the only approved miticide that penetrates capped brood cells as a vapor, reaching mites during their reproductive phase. The molecule passes through Varroa’s more permeable cuticle faster than the bee’s, acidifying mite hemolymph and causing death. This selectivity creates a therapeutic window of roughly 2–4×—far narrower than synthetic miticides like fluvalinate (800–1,000×).</w:t>
      </w:r>
    </w:p>
    <w:p>
      <w:pPr>
        <w:pStyle w:val="Heading2"/>
      </w:pPr>
      <w:r>
        <w:t xml:space="preserve">Effective Concentrations</w:t>
      </w:r>
    </w:p>
    <w:p>
      <w:pPr>
        <w:spacing w:after="120" w:line="276"/>
        <w:jc w:val="both"/>
      </w:pPr>
      <w:r>
        <w:rPr>
          <w:rFonts w:ascii="Arial" w:cs="Arial" w:eastAsia="Arial" w:hAnsi="Arial"/>
          <w:color w:val="2C3E50"/>
          <w:sz w:val="22"/>
          <w:szCs w:val="22"/>
        </w:rPr>
        <w:t xml:space="preserve">Laboratory fumigation data established the quantitative boundaries: vapor concentrations of 0.08–0.16 mg/L kill mites at temperatures above 15°C. The optimal combination is 0.16 mg/L at 35°C (brood nest temperature), achieving maximum mite mortality with minimum bee harm.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13"/>
        <w:gridCol w:w="2013"/>
      </w:tblGrid>
      <w:tr>
        <w:tc>
          <w:tcPr>
            <w:tcW w:type="dxa" w:w="2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Concentration</w:t>
            </w:r>
          </w:p>
        </w:tc>
        <w:tc>
          <w:tcPr>
            <w:tcW w:type="dxa" w:w="2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Duration</w:t>
            </w:r>
          </w:p>
        </w:tc>
        <w:tc>
          <w:tcPr>
            <w:tcW w:type="dxa" w:w="2013"/>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Mite Kill</w:t>
            </w:r>
          </w:p>
        </w:tc>
        <w:tc>
          <w:tcPr>
            <w:tcW w:type="dxa" w:w="2013"/>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Queen Risk</w:t>
            </w:r>
          </w:p>
        </w:tc>
      </w:tr>
      <w:tr>
        <w:tc>
          <w:tcPr>
            <w:tcW w:type="dxa" w:w="25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19 ppm</w:t>
            </w:r>
          </w:p>
        </w:tc>
        <w:tc>
          <w:tcPr>
            <w:tcW w:type="dxa" w:w="25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27 days</w:t>
            </w:r>
          </w:p>
        </w:tc>
        <w:tc>
          <w:tcPr>
            <w:tcW w:type="dxa" w:w="2013"/>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60%</w:t>
            </w:r>
          </w:p>
        </w:tc>
        <w:tc>
          <w:tcPr>
            <w:tcW w:type="dxa" w:w="2013"/>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None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42 ppm</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 days</w:t>
            </w:r>
          </w:p>
        </w:tc>
        <w:tc>
          <w:tcPr>
            <w:tcW w:type="dxa" w:w="20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83%</w:t>
            </w:r>
          </w:p>
        </w:tc>
        <w:tc>
          <w:tcPr>
            <w:tcW w:type="dxa" w:w="20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Elevated</w:t>
            </w:r>
          </w:p>
        </w:tc>
      </w:tr>
      <w:tr>
        <w:tc>
          <w:tcPr>
            <w:tcW w:type="dxa" w:w="25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53 ppm</w:t>
            </w:r>
          </w:p>
        </w:tc>
        <w:tc>
          <w:tcPr>
            <w:tcW w:type="dxa" w:w="25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9 days</w:t>
            </w:r>
          </w:p>
        </w:tc>
        <w:tc>
          <w:tcPr>
            <w:tcW w:type="dxa" w:w="2013"/>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93%</w:t>
            </w:r>
          </w:p>
        </w:tc>
        <w:tc>
          <w:tcPr>
            <w:tcW w:type="dxa" w:w="2013"/>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High</w:t>
            </w:r>
          </w:p>
        </w:tc>
      </w:tr>
    </w:tbl>
    <w:p>
      <w:pPr>
        <w:spacing w:after="120"/>
      </w:pPr>
    </w:p>
    <w:p>
      <w:pPr>
        <w:pStyle w:val="Heading2"/>
      </w:pPr>
      <w:r>
        <w:t xml:space="preserve">Temperature Constraints</w:t>
      </w:r>
    </w:p>
    <w:p>
      <w:pPr>
        <w:spacing w:after="120" w:line="276"/>
        <w:jc w:val="both"/>
      </w:pPr>
      <w:r>
        <w:rPr>
          <w:rFonts w:ascii="Arial" w:cs="Arial" w:eastAsia="Arial" w:hAnsi="Arial"/>
          <w:color w:val="2C3E50"/>
          <w:sz w:val="22"/>
          <w:szCs w:val="22"/>
        </w:rPr>
        <w:t xml:space="preserve">The safe operating window is 10–29.5°C ambient. Below 15°C, 60% formic acid produces unreliable evaporation. Above 29.5°C, vapor release accelerates dramatically and queen loss risk spikes. Canadian field research documented significant queen mortality when ambient temperature exceeded 25°C, while no queen losses occurred below 20°C. The brood capping period of ~12 days means treatment must span at least one full brood cycle; most protocols call for 7–21 days.</w:t>
      </w:r>
    </w:p>
    <w:p>
      <w:pPr>
        <w:pStyle w:val="Heading1"/>
      </w:pPr>
      <w:r>
        <w:t xml:space="preserve">2. Commercial Systems as Reference</w:t>
      </w:r>
    </w:p>
    <w:p>
      <w:pPr>
        <w:spacing w:after="120" w:line="276"/>
        <w:jc w:val="both"/>
      </w:pPr>
      <w:r>
        <w:rPr>
          <w:rFonts w:ascii="Arial" w:cs="Arial" w:eastAsia="Arial" w:hAnsi="Arial"/>
          <w:b/>
          <w:bCs/>
          <w:i w:val="false"/>
          <w:iCs w:val="false"/>
          <w:color w:val="2C3E50"/>
          <w:sz w:val="22"/>
          <w:szCs w:val="22"/>
        </w:rPr>
        <w:t xml:space="preserve">MAQS and Formic Pro (NOD Apiary Products) </w:t>
      </w:r>
      <w:r>
        <w:rPr>
          <w:rFonts w:ascii="Arial" w:cs="Arial" w:eastAsia="Arial" w:hAnsi="Arial"/>
          <w:b w:val="false"/>
          <w:bCs w:val="false"/>
          <w:i w:val="false"/>
          <w:iCs w:val="false"/>
          <w:color w:val="2C3E50"/>
          <w:sz w:val="22"/>
          <w:szCs w:val="22"/>
        </w:rPr>
        <w:t xml:space="preserve">each contain 68.2 g formic acid per strip in a proprietary polysaccharide gel, wrapped in eco-paper laminated with biodegradable polyester. Two strips (136.4 g total) treat one Langstroth hive. Efficacy ranges from 83% to 98%.</w:t>
      </w:r>
    </w:p>
    <w:p>
      <w:pPr>
        <w:spacing w:after="120" w:line="276"/>
        <w:jc w:val="both"/>
      </w:pPr>
      <w:r>
        <w:rPr>
          <w:rFonts w:ascii="Arial" w:cs="Arial" w:eastAsia="Arial" w:hAnsi="Arial"/>
          <w:b/>
          <w:bCs/>
          <w:i w:val="false"/>
          <w:iCs w:val="false"/>
          <w:color w:val="2C3E50"/>
          <w:sz w:val="22"/>
          <w:szCs w:val="22"/>
        </w:rPr>
        <w:t xml:space="preserve">The Nassenheider evaporator, </w:t>
      </w:r>
      <w:r>
        <w:rPr>
          <w:rFonts w:ascii="Arial" w:cs="Arial" w:eastAsia="Arial" w:hAnsi="Arial"/>
          <w:b w:val="false"/>
          <w:bCs w:val="false"/>
          <w:i w:val="false"/>
          <w:iCs w:val="false"/>
          <w:color w:val="2C3E50"/>
          <w:sz w:val="22"/>
          <w:szCs w:val="22"/>
        </w:rPr>
        <w:t xml:space="preserve">tested specifically on 10-frame Dadant-Blatt hives, uses 290 mL of 60% formic acid over 10–14 days but achieves only 57–73% efficacy per treatment.</w:t>
      </w:r>
    </w:p>
    <w:p>
      <w:pPr>
        <w:spacing w:after="120" w:line="276"/>
        <w:jc w:val="both"/>
      </w:pPr>
      <w:r>
        <w:rPr>
          <w:rFonts w:ascii="Arial" w:cs="Arial" w:eastAsia="Arial" w:hAnsi="Arial"/>
          <w:color w:val="2C3E50"/>
          <w:sz w:val="22"/>
          <w:szCs w:val="22"/>
        </w:rPr>
        <w:t xml:space="preserve">Failure modes are well-documented: queen loss runs 10–30% in field studies. Treatment in double-brood-chamber hives with only 60% acid frequently fails (&lt;50% efficacy), and blocked hive ventilation causes fume buildup leading to absconding or death.</w:t>
      </w:r>
    </w:p>
    <w:p>
      <w:pPr>
        <w:pStyle w:val="Heading1"/>
      </w:pPr>
      <w:r>
        <w:t xml:space="preserve">3. Why Fumed Silica Is the Only Practical DIY Matrix</w:t>
      </w:r>
    </w:p>
    <w:p>
      <w:pPr>
        <w:spacing w:after="120" w:line="276"/>
        <w:jc w:val="both"/>
      </w:pPr>
      <w:r>
        <w:rPr>
          <w:rFonts w:ascii="Arial" w:cs="Arial" w:eastAsia="Arial" w:hAnsi="Arial"/>
          <w:color w:val="2C3E50"/>
          <w:sz w:val="22"/>
          <w:szCs w:val="22"/>
        </w:rPr>
        <w:t xml:space="preserve">The critical constraint for a gel carrier is survival at pH ~2 in concentrated organic acid. Systematic testing by USDA researchers eliminates most candidates: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13"/>
        <w:gridCol w:w="3513"/>
      </w:tblGrid>
      <w:tr>
        <w:tc>
          <w:tcPr>
            <w:tcW w:type="dxa" w:w="2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Material</w:t>
            </w:r>
          </w:p>
        </w:tc>
        <w:tc>
          <w:tcPr>
            <w:tcW w:type="dxa" w:w="3013"/>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3513"/>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Reason</w:t>
            </w:r>
          </w:p>
        </w:tc>
      </w:tr>
      <w:tr>
        <w:tc>
          <w:tcPr>
            <w:tcW w:type="dxa" w:w="25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Gelatin</w:t>
            </w:r>
          </w:p>
        </w:tc>
        <w:tc>
          <w:tcPr>
            <w:tcW w:type="dxa" w:w="3013"/>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Dissolves</w:t>
            </w:r>
          </w:p>
        </w:tc>
        <w:tc>
          <w:tcPr>
            <w:tcW w:type="dxa" w:w="3513"/>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Formic acid is a gelatin solvent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Agar</w:t>
            </w:r>
          </w:p>
        </w:tc>
        <w:tc>
          <w:tcPr>
            <w:tcW w:type="dxa" w:w="30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Destroyed</w:t>
            </w:r>
          </w:p>
        </w:tc>
        <w:tc>
          <w:tcPr>
            <w:tcW w:type="dxa" w:w="35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Acid hydrolysis of glycosidic bonds</w:t>
            </w:r>
          </w:p>
        </w:tc>
      </w:tr>
      <w:tr>
        <w:tc>
          <w:tcPr>
            <w:tcW w:type="dxa" w:w="25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CMC</w:t>
            </w:r>
          </w:p>
        </w:tc>
        <w:tc>
          <w:tcPr>
            <w:tcW w:type="dxa" w:w="3013"/>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Precipitates</w:t>
            </w:r>
          </w:p>
        </w:tc>
        <w:tc>
          <w:tcPr>
            <w:tcW w:type="dxa" w:w="3513"/>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Converts to insoluble acid form at pH &lt;2.5</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Na Polyacrylate</w:t>
            </w:r>
          </w:p>
        </w:tc>
        <w:tc>
          <w:tcPr>
            <w:tcW w:type="dxa" w:w="30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Collapses</w:t>
            </w:r>
          </w:p>
        </w:tc>
        <w:tc>
          <w:tcPr>
            <w:tcW w:type="dxa" w:w="351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Protonation eliminates swelling forces</w:t>
            </w:r>
          </w:p>
        </w:tc>
      </w:tr>
      <w:tr>
        <w:tc>
          <w:tcPr>
            <w:tcW w:type="dxa" w:w="25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Bentonite</w:t>
            </w:r>
          </w:p>
        </w:tc>
        <w:tc>
          <w:tcPr>
            <w:tcW w:type="dxa" w:w="3013"/>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No gel formed</w:t>
            </w:r>
          </w:p>
        </w:tc>
        <w:tc>
          <w:tcPr>
            <w:tcW w:type="dxa" w:w="3513"/>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Cannot gel in formic acid</w:t>
            </w:r>
          </w:p>
        </w:tc>
      </w:tr>
      <w:tr>
        <w:tc>
          <w:tcPr>
            <w:tcW w:type="dxa" w:w="25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Fumed Silica</w:t>
            </w:r>
          </w:p>
        </w:tc>
        <w:tc>
          <w:tcPr>
            <w:tcW w:type="dxa" w:w="3013"/>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WORKS</w:t>
            </w:r>
          </w:p>
        </w:tc>
        <w:tc>
          <w:tcPr>
            <w:tcW w:type="dxa" w:w="3513"/>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Chemically inert; physical network only</w:t>
            </w:r>
          </w:p>
        </w:tc>
      </w:tr>
    </w:tbl>
    <w:p>
      <w:pPr>
        <w:spacing w:after="120"/>
      </w:pPr>
    </w:p>
    <w:p>
      <w:pPr>
        <w:spacing w:after="120" w:line="276"/>
        <w:jc w:val="both"/>
      </w:pPr>
      <w:r>
        <w:rPr>
          <w:rFonts w:ascii="Arial" w:cs="Arial" w:eastAsia="Arial" w:hAnsi="Arial"/>
          <w:b/>
          <w:bCs/>
          <w:i w:val="false"/>
          <w:iCs w:val="false"/>
          <w:color w:val="2C3E50"/>
          <w:sz w:val="22"/>
          <w:szCs w:val="22"/>
        </w:rPr>
        <w:t xml:space="preserve">Hydrophilic fumed silica </w:t>
      </w:r>
      <w:r>
        <w:rPr>
          <w:rFonts w:ascii="Arial" w:cs="Arial" w:eastAsia="Arial" w:hAnsi="Arial"/>
          <w:b w:val="false"/>
          <w:bCs w:val="false"/>
          <w:i w:val="false"/>
          <w:iCs w:val="false"/>
          <w:color w:val="2C3E50"/>
          <w:sz w:val="22"/>
          <w:szCs w:val="22"/>
        </w:rPr>
        <w:t xml:space="preserve">(e.g., Cab-O-Sil M-5 or Aerosil 200) at 7 g per 100 g of 65% formic acid solution produces a thixotropic, non-slumping gel. The silica is chemically inert—insoluble in formic acid, simply creating a physical network that immobilizes the liquid. Release is linear with time and the formulation is easy to prepare.</w:t>
      </w:r>
    </w:p>
    <w:p>
      <w:pPr>
        <w:pStyle w:val="Heading1"/>
      </w:pPr>
      <w:r>
        <w:t xml:space="preserve">4. Physics of Release</w:t>
      </w:r>
    </w:p>
    <w:p>
      <w:pPr>
        <w:pStyle w:val="Heading2"/>
      </w:pPr>
      <w:r>
        <w:t xml:space="preserve">Vapor Pressure Driving Force</w:t>
      </w:r>
    </w:p>
    <w:p>
      <w:pPr>
        <w:spacing w:after="120" w:line="276"/>
        <w:jc w:val="both"/>
      </w:pPr>
      <w:r>
        <w:rPr>
          <w:rFonts w:ascii="Arial" w:cs="Arial" w:eastAsia="Arial" w:hAnsi="Arial"/>
          <w:color w:val="2C3E50"/>
          <w:sz w:val="22"/>
          <w:szCs w:val="22"/>
        </w:rPr>
        <w:t xml:space="preserve">The Antoine equation for formic acid (NIST parameters: A = 7.3779, B = 1563.28, C = 247.07) governs the thermodynamic driving force. Vapor pressure roughly doubles every 10°C: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8"/>
        <w:gridCol w:w="3509"/>
        <w:gridCol w:w="3509"/>
      </w:tblGrid>
      <w:tr>
        <w:tc>
          <w:tcPr>
            <w:tcW w:type="dxa" w:w="2008"/>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Temperature</w:t>
            </w:r>
          </w:p>
        </w:tc>
        <w:tc>
          <w:tcPr>
            <w:tcW w:type="dxa" w:w="3509"/>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 (pure HCOOH)</w:t>
            </w:r>
          </w:p>
        </w:tc>
        <w:tc>
          <w:tcPr>
            <w:tcW w:type="dxa" w:w="3509"/>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 (above 65% sol.)</w:t>
            </w:r>
          </w:p>
        </w:tc>
      </w:tr>
      <w:tr>
        <w:tc>
          <w:tcPr>
            <w:tcW w:type="dxa" w:w="2008"/>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10°C</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~15 mmHg</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 mmHg</w:t>
            </w:r>
          </w:p>
        </w:tc>
      </w:tr>
      <w:tr>
        <w:tc>
          <w:tcPr>
            <w:tcW w:type="dxa" w:w="20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15°C</w:t>
            </w:r>
          </w:p>
        </w:tc>
        <w:tc>
          <w:tcPr>
            <w:tcW w:type="dxa" w:w="35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~21 mmHg</w:t>
            </w:r>
          </w:p>
        </w:tc>
        <w:tc>
          <w:tcPr>
            <w:tcW w:type="dxa" w:w="35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 mmHg</w:t>
            </w:r>
          </w:p>
        </w:tc>
      </w:tr>
      <w:tr>
        <w:tc>
          <w:tcPr>
            <w:tcW w:type="dxa" w:w="2008"/>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20°C</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~27 mmHg</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~12 mmHg</w:t>
            </w:r>
          </w:p>
        </w:tc>
      </w:tr>
      <w:tr>
        <w:tc>
          <w:tcPr>
            <w:tcW w:type="dxa" w:w="20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25°C</w:t>
            </w:r>
          </w:p>
        </w:tc>
        <w:tc>
          <w:tcPr>
            <w:tcW w:type="dxa" w:w="35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~36 mmHg</w:t>
            </w:r>
          </w:p>
        </w:tc>
        <w:tc>
          <w:tcPr>
            <w:tcW w:type="dxa" w:w="35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~17 mmHg</w:t>
            </w:r>
          </w:p>
        </w:tc>
      </w:tr>
      <w:tr>
        <w:tc>
          <w:tcPr>
            <w:tcW w:type="dxa" w:w="2008"/>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30°C</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~47 mmHg</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~24 mmHg</w:t>
            </w:r>
          </w:p>
        </w:tc>
      </w:tr>
      <w:tr>
        <w:tc>
          <w:tcPr>
            <w:tcW w:type="dxa" w:w="20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35°C</w:t>
            </w:r>
          </w:p>
        </w:tc>
        <w:tc>
          <w:tcPr>
            <w:tcW w:type="dxa" w:w="35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~61 mmHg</w:t>
            </w:r>
          </w:p>
        </w:tc>
        <w:tc>
          <w:tcPr>
            <w:tcW w:type="dxa" w:w="35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~32 mmHg</w:t>
            </w:r>
          </w:p>
        </w:tc>
      </w:tr>
    </w:tbl>
    <w:p>
      <w:pPr>
        <w:spacing w:after="120"/>
      </w:pPr>
    </w:p>
    <w:p>
      <w:pPr>
        <w:pStyle w:val="Heading2"/>
      </w:pPr>
      <w:r>
        <w:t xml:space="preserve">Diffusion Through the Gel</w:t>
      </w:r>
    </w:p>
    <w:p>
      <w:pPr>
        <w:spacing w:after="120" w:line="276"/>
        <w:jc w:val="both"/>
      </w:pPr>
      <w:r>
        <w:rPr>
          <w:rFonts w:ascii="Arial" w:cs="Arial" w:eastAsia="Arial" w:hAnsi="Arial"/>
          <w:color w:val="2C3E50"/>
          <w:sz w:val="22"/>
          <w:szCs w:val="22"/>
        </w:rPr>
        <w:t xml:space="preserve">The free diffusion coefficient of formic acid in water is D = 1.41 × 10⁻⁵ cm²/s at 25°C. In the gel matrix, the silica network creates a tortuous path, reducing the effective diffusion coefficient by a factor of 3–8×. The effective diffusivity follows: D_eff = D₀ × ε/τ², where ε is porosity (0.5–0.8) and τ is tortuosity (1.5–3.0).</w:t>
      </w:r>
    </w:p>
    <w:p>
      <w:pPr>
        <w:spacing w:after="120" w:line="276"/>
        <w:jc w:val="both"/>
      </w:pPr>
      <w:r>
        <w:rPr>
          <w:rFonts w:ascii="Arial" w:cs="Arial" w:eastAsia="Arial" w:hAnsi="Arial"/>
          <w:color w:val="2C3E50"/>
          <w:sz w:val="22"/>
          <w:szCs w:val="22"/>
        </w:rPr>
        <w:t xml:space="preserve">Temperature dependence follows Arrhenius behavior with activation energy E_a ≈ 22 kJ/mol, giving roughly a 60% increase in diffusion rate per 10°C rise—moderate compared to the doubling of vapor pressure.</w:t>
      </w:r>
    </w:p>
    <w:p>
      <w:pPr>
        <w:pStyle w:val="Heading2"/>
      </w:pPr>
      <w:r>
        <w:t xml:space="preserve">Combined Temperature Sensitivity</w:t>
      </w:r>
    </w:p>
    <w:p>
      <w:pPr>
        <w:spacing w:after="120" w:line="276"/>
        <w:jc w:val="both"/>
      </w:pPr>
      <w:r>
        <w:rPr>
          <w:rFonts w:ascii="Arial" w:cs="Arial" w:eastAsia="Arial" w:hAnsi="Arial"/>
          <w:color w:val="2C3E50"/>
          <w:sz w:val="22"/>
          <w:szCs w:val="22"/>
        </w:rPr>
        <w:t xml:space="preserve">Release rate scales as the product of diffusion coefficient and vapor pressure. Between 20°C and 30°C the combined acceleration factor is approximately 3.1× (1.56 × 2.0). This threefold increase explains why treatment above 29.5°C is prohibited.</w:t>
      </w:r>
    </w:p>
    <w:p>
      <w:pPr>
        <w:pStyle w:val="Heading2"/>
      </w:pPr>
      <w:r>
        <w:t xml:space="preserve">Estimated Daily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8"/>
        <w:gridCol w:w="3509"/>
        <w:gridCol w:w="3509"/>
      </w:tblGrid>
      <w:tr>
        <w:tc>
          <w:tcPr>
            <w:tcW w:type="dxa" w:w="2008"/>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Temperature</w:t>
            </w:r>
          </w:p>
        </w:tc>
        <w:tc>
          <w:tcPr>
            <w:tcW w:type="dxa" w:w="3509"/>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Daily Release</w:t>
            </w:r>
          </w:p>
        </w:tc>
        <w:tc>
          <w:tcPr>
            <w:tcW w:type="dxa" w:w="3509"/>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Days to Deplete 189 g</w:t>
            </w:r>
          </w:p>
        </w:tc>
      </w:tr>
      <w:tr>
        <w:tc>
          <w:tcPr>
            <w:tcW w:type="dxa" w:w="2008"/>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10°C</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 g/day</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~95 days</w:t>
            </w:r>
          </w:p>
        </w:tc>
      </w:tr>
      <w:tr>
        <w:tc>
          <w:tcPr>
            <w:tcW w:type="dxa" w:w="20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15°C</w:t>
            </w:r>
          </w:p>
        </w:tc>
        <w:tc>
          <w:tcPr>
            <w:tcW w:type="dxa" w:w="35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 g/day</w:t>
            </w:r>
          </w:p>
        </w:tc>
        <w:tc>
          <w:tcPr>
            <w:tcW w:type="dxa" w:w="35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~47 days</w:t>
            </w:r>
          </w:p>
        </w:tc>
      </w:tr>
      <w:tr>
        <w:tc>
          <w:tcPr>
            <w:tcW w:type="dxa" w:w="2008"/>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20°C</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 g/day</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~24 days</w:t>
            </w:r>
          </w:p>
        </w:tc>
      </w:tr>
      <w:tr>
        <w:tc>
          <w:tcPr>
            <w:tcW w:type="dxa" w:w="20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25°C</w:t>
            </w:r>
          </w:p>
        </w:tc>
        <w:tc>
          <w:tcPr>
            <w:tcW w:type="dxa" w:w="35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~14 g/day</w:t>
            </w:r>
          </w:p>
        </w:tc>
        <w:tc>
          <w:tcPr>
            <w:tcW w:type="dxa" w:w="35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~14 days</w:t>
            </w:r>
          </w:p>
        </w:tc>
      </w:tr>
      <w:tr>
        <w:tc>
          <w:tcPr>
            <w:tcW w:type="dxa" w:w="2008"/>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30°C</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~24 g/day</w:t>
            </w:r>
          </w:p>
        </w:tc>
        <w:tc>
          <w:tcPr>
            <w:tcW w:type="dxa" w:w="35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 days</w:t>
            </w:r>
          </w:p>
        </w:tc>
      </w:tr>
    </w:tbl>
    <w:p>
      <w:pPr>
        <w:spacing w:after="120"/>
      </w:pPr>
    </w:p>
    <w:p>
      <w:pPr>
        <w:pStyle w:val="Heading2"/>
      </w:pPr>
      <w:r>
        <w:t xml:space="preserve">Why the Gel Works Better Than Liquid</w:t>
      </w:r>
    </w:p>
    <w:p>
      <w:pPr>
        <w:spacing w:after="120" w:line="276"/>
        <w:jc w:val="both"/>
      </w:pPr>
      <w:r>
        <w:rPr>
          <w:rFonts w:ascii="Arial" w:cs="Arial" w:eastAsia="Arial" w:hAnsi="Arial"/>
          <w:color w:val="2C3E50"/>
          <w:sz w:val="22"/>
          <w:szCs w:val="22"/>
        </w:rPr>
        <w:t xml:space="preserve">The gel form provides three distinct advantages beyond handling safety. First, the fumed silica network creates physical immobilization: liquid is trapped in interstitial spaces between nanoscale silica particles (7–40 nm), preventing flow and reducing effective surface area for evaporation. Second, formic acid molecules must diffuse through the tortuous pore network to reach the surface, adding mass-transfer resistance that slows release 3–8× versus open liquid. Third, the sealed polyethylene bag with controlled slit openings creates an additional vapor-transport resistance—the slits function as calibrated orifices whose geometry determines maximum evaporation rate.</w:t>
      </w:r>
    </w:p>
    <w:p>
      <w:pPr>
        <w:spacing w:after="120" w:line="276"/>
        <w:jc w:val="both"/>
      </w:pPr>
      <w:r>
        <w:rPr>
          <w:rFonts w:ascii="Arial" w:cs="Arial" w:eastAsia="Arial" w:hAnsi="Arial"/>
          <w:color w:val="2C3E50"/>
          <w:sz w:val="22"/>
          <w:szCs w:val="22"/>
        </w:rPr>
        <w:t xml:space="preserve">This layered system of rate limitations provides roughly linear release across a wide temperature range, unlike the temperature-hypersensitive behavior of open liquid systems.</w:t>
      </w:r>
    </w:p>
    <w:p>
      <w:r>
        <w:br w:type="page"/>
      </w:r>
    </w:p>
    <w:p>
      <w:pPr>
        <w:pStyle w:val="Heading1"/>
      </w:pPr>
      <w:r>
        <w:t xml:space="preserve">5. Dosage Formula for Dadant-Blatt Hives</w:t>
      </w:r>
    </w:p>
    <w:p>
      <w:pPr>
        <w:spacing w:after="120" w:line="276"/>
        <w:jc w:val="both"/>
      </w:pPr>
      <w:r>
        <w:rPr>
          <w:rFonts w:ascii="Arial" w:cs="Arial" w:eastAsia="Arial" w:hAnsi="Arial"/>
          <w:color w:val="2C3E50"/>
          <w:sz w:val="22"/>
          <w:szCs w:val="22"/>
        </w:rPr>
        <w:t xml:space="preserve">Dadant-Blatt frames (435 × 300 mm, comb area ~1,250 cm² per side) are 39% larger than standard Langstroth deep frames (448 × 232 mm, ~900 cm² per side). Dosage scales linearly with total frame area.</w:t>
      </w:r>
    </w:p>
    <w:p>
      <w:pPr>
        <w:pStyle w:val="Heading2"/>
      </w:pPr>
      <w:r>
        <w:t xml:space="preserve">Base Dosage</w:t>
      </w:r>
    </w:p>
    <w:p>
      <w:pPr>
        <w:spacing w:after="200" w:before="200"/>
        <w:jc w:val="center"/>
      </w:pPr>
      <w:r>
        <w:rPr>
          <w:rFonts w:ascii="Arial" w:cs="Arial" w:eastAsia="Arial" w:hAnsi="Arial"/>
          <w:b/>
          <w:bCs/>
          <w:color w:val="1B4F72"/>
          <w:sz w:val="24"/>
          <w:szCs w:val="24"/>
        </w:rPr>
        <w:t xml:space="preserve">q_DB = (136.4 g ÷ 10 frames) × (1,250 ÷ 900) = 18.9 g FA / frame</w:t>
      </w:r>
    </w:p>
    <w:p>
      <w:pPr>
        <w:pStyle w:val="Heading2"/>
      </w:pPr>
      <w:r>
        <w:t xml:space="preserve">Complete Formula</w:t>
      </w:r>
    </w:p>
    <w:p>
      <w:pPr>
        <w:spacing w:after="200" w:before="200"/>
        <w:jc w:val="center"/>
      </w:pPr>
      <w:r>
        <w:rPr>
          <w:rFonts w:ascii="Arial" w:cs="Arial" w:eastAsia="Arial" w:hAnsi="Arial"/>
          <w:b/>
          <w:bCs/>
          <w:color w:val="1B4F72"/>
          <w:sz w:val="24"/>
          <w:szCs w:val="24"/>
        </w:rPr>
        <w:t xml:space="preserve">m_FA = n × 18.9 × f_T(T_max)</w:t>
      </w:r>
    </w:p>
    <w:p>
      <w:pPr>
        <w:spacing w:after="120" w:line="276"/>
        <w:jc w:val="both"/>
      </w:pPr>
      <w:r>
        <w:rPr>
          <w:rFonts w:ascii="Arial" w:cs="Arial" w:eastAsia="Arial" w:hAnsi="Arial"/>
          <w:color w:val="2C3E50"/>
          <w:sz w:val="22"/>
          <w:szCs w:val="22"/>
        </w:rPr>
        <w:t xml:space="preserve">Where n = number of frames covered with bees and f_T is the temperature correction factor: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8"/>
        <w:gridCol w:w="4009"/>
      </w:tblGrid>
      <w:tr>
        <w:tc>
          <w:tcPr>
            <w:tcW w:type="dxa" w:w="3009"/>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Ambient T_max</w:t>
            </w:r>
          </w:p>
        </w:tc>
        <w:tc>
          <w:tcPr>
            <w:tcW w:type="dxa" w:w="2008"/>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f_T</w:t>
            </w:r>
          </w:p>
        </w:tc>
        <w:tc>
          <w:tcPr>
            <w:tcW w:type="dxa" w:w="4009"/>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c>
          <w:tcPr>
            <w:tcW w:type="dxa" w:w="30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10–15°C</w:t>
            </w:r>
          </w:p>
        </w:tc>
        <w:tc>
          <w:tcPr>
            <w:tcW w:type="dxa" w:w="2008"/>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1.15</w:t>
            </w:r>
          </w:p>
        </w:tc>
        <w:tc>
          <w:tcPr>
            <w:tcW w:type="dxa" w:w="4009"/>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Slow evaporation—increase dose</w:t>
            </w:r>
          </w:p>
        </w:tc>
      </w:tr>
      <w:tr>
        <w:tc>
          <w:tcPr>
            <w:tcW w:type="dxa" w:w="3009"/>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15–25°C</w:t>
            </w:r>
          </w:p>
        </w:tc>
        <w:tc>
          <w:tcPr>
            <w:tcW w:type="dxa" w:w="2008"/>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1.00</w:t>
            </w:r>
          </w:p>
        </w:tc>
        <w:tc>
          <w:tcPr>
            <w:tcW w:type="dxa" w:w="4009"/>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Optimal range</w:t>
            </w:r>
          </w:p>
        </w:tc>
      </w:tr>
      <w:tr>
        <w:tc>
          <w:tcPr>
            <w:tcW w:type="dxa" w:w="3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25–29.5°C</w:t>
            </w:r>
          </w:p>
        </w:tc>
        <w:tc>
          <w:tcPr>
            <w:tcW w:type="dxa" w:w="200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0.85</w:t>
            </w:r>
          </w:p>
        </w:tc>
        <w:tc>
          <w:tcPr>
            <w:tcW w:type="dxa" w:w="4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Fast evaporation—reduce for safety</w:t>
            </w:r>
          </w:p>
        </w:tc>
      </w:tr>
      <w:tr>
        <w:tc>
          <w:tcPr>
            <w:tcW w:type="dxa" w:w="3009"/>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&gt;29.5°C</w:t>
            </w:r>
          </w:p>
        </w:tc>
        <w:tc>
          <w:tcPr>
            <w:tcW w:type="dxa" w:w="2008"/>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DO NOT</w:t>
            </w:r>
          </w:p>
        </w:tc>
        <w:tc>
          <w:tcPr>
            <w:tcW w:type="dxa" w:w="4009"/>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vAlign w:val="center"/>
          </w:tcPr>
          <w:p>
            <w:pPr>
              <w:jc w:val="left"/>
            </w:pPr>
            <w:r>
              <w:rPr>
                <w:rFonts w:ascii="Arial" w:cs="Arial" w:eastAsia="Arial" w:hAnsi="Arial"/>
                <w:b w:val="false"/>
                <w:bCs w:val="false"/>
                <w:color w:val="C0392B"/>
                <w:sz w:val="20"/>
                <w:szCs w:val="20"/>
              </w:rPr>
              <w:t xml:space="preserve">Unacceptable queen loss risk</w:t>
            </w:r>
          </w:p>
        </w:tc>
      </w:tr>
    </w:tbl>
    <w:p>
      <w:pPr>
        <w:spacing w:after="120"/>
      </w:pPr>
    </w:p>
    <w:p>
      <w:pPr>
        <w:pStyle w:val="Heading1"/>
      </w:pPr>
      <w:r>
        <w:t xml:space="preserve">6. Complete DIY Recipe</w:t>
      </w:r>
    </w:p>
    <w:p>
      <w:pPr>
        <w:pStyle w:val="Heading2"/>
      </w:pPr>
      <w:r>
        <w:t xml:space="preserve">Materials</w:t>
      </w:r>
    </w:p>
    <w:p>
      <w:pPr>
        <w:pStyle w:val="ListParagraph"/>
        <w:numPr>
          <w:ilvl w:val="0"/>
          <w:numId w:val="2"/>
        </w:numPr>
        <w:spacing w:after="80"/>
      </w:pPr>
      <w:r>
        <w:rPr>
          <w:rFonts w:ascii="Arial" w:cs="Arial" w:eastAsia="Arial" w:hAnsi="Arial"/>
          <w:color w:val="2C3E50"/>
          <w:sz w:val="22"/>
          <w:szCs w:val="22"/>
        </w:rPr>
        <w:t xml:space="preserve">Formic acid, 65% v/v aqueous (dilute from 85% stock: add acid to water slowly—exothermic!)</w:t>
      </w:r>
    </w:p>
    <w:p>
      <w:pPr>
        <w:pStyle w:val="ListParagraph"/>
        <w:numPr>
          <w:ilvl w:val="0"/>
          <w:numId w:val="2"/>
        </w:numPr>
        <w:spacing w:after="80"/>
      </w:pPr>
      <w:r>
        <w:rPr>
          <w:rFonts w:ascii="Arial" w:cs="Arial" w:eastAsia="Arial" w:hAnsi="Arial"/>
          <w:color w:val="2C3E50"/>
          <w:sz w:val="22"/>
          <w:szCs w:val="22"/>
        </w:rPr>
        <w:t xml:space="preserve">Hydrophilic fumed silica: Cab-O-Sil M-5, Aerosil 200, or equivalent (NOT hydrophobic grades)</w:t>
      </w:r>
    </w:p>
    <w:p>
      <w:pPr>
        <w:pStyle w:val="ListParagraph"/>
        <w:numPr>
          <w:ilvl w:val="0"/>
          <w:numId w:val="2"/>
        </w:numPr>
        <w:spacing w:after="80"/>
      </w:pPr>
      <w:r>
        <w:rPr>
          <w:rFonts w:ascii="Arial" w:cs="Arial" w:eastAsia="Arial" w:hAnsi="Arial"/>
          <w:color w:val="2C3E50"/>
          <w:sz w:val="22"/>
          <w:szCs w:val="22"/>
        </w:rPr>
        <w:t xml:space="preserve">Heat-sealable polyethylene bags, ~15 × 15 cm</w:t>
      </w:r>
    </w:p>
    <w:p>
      <w:pPr>
        <w:pStyle w:val="ListParagraph"/>
        <w:numPr>
          <w:ilvl w:val="0"/>
          <w:numId w:val="2"/>
        </w:numPr>
        <w:spacing w:after="80"/>
      </w:pPr>
      <w:r>
        <w:rPr>
          <w:rFonts w:ascii="Arial" w:cs="Arial" w:eastAsia="Arial" w:hAnsi="Arial"/>
          <w:color w:val="2C3E50"/>
          <w:sz w:val="22"/>
          <w:szCs w:val="22"/>
        </w:rPr>
        <w:t xml:space="preserve">Acid-resistant gloves (nitrile or neoprene), splash-proof safety goggles, organic vapor respirator</w:t>
      </w:r>
    </w:p>
    <w:p>
      <w:pPr>
        <w:pStyle w:val="ListParagraph"/>
        <w:numPr>
          <w:ilvl w:val="0"/>
          <w:numId w:val="2"/>
        </w:numPr>
        <w:spacing w:after="80"/>
      </w:pPr>
      <w:r>
        <w:rPr>
          <w:rFonts w:ascii="Arial" w:cs="Arial" w:eastAsia="Arial" w:hAnsi="Arial"/>
          <w:color w:val="2C3E50"/>
          <w:sz w:val="22"/>
          <w:szCs w:val="22"/>
        </w:rPr>
        <w:t xml:space="preserve">Rinse water immediately accessible</w:t>
      </w:r>
    </w:p>
    <w:p>
      <w:pPr>
        <w:pStyle w:val="Heading2"/>
      </w:pPr>
      <w:r>
        <w:t xml:space="preserve">Procedure</w:t>
      </w:r>
    </w:p>
    <w:p>
      <w:pPr>
        <w:pStyle w:val="ListParagraph"/>
        <w:numPr>
          <w:ilvl w:val="0"/>
          <w:numId w:val="3"/>
        </w:numPr>
        <w:spacing w:after="80"/>
      </w:pPr>
      <w:r>
        <w:rPr>
          <w:rFonts w:ascii="Arial" w:cs="Arial" w:eastAsia="Arial" w:hAnsi="Arial"/>
          <w:color w:val="2C3E50"/>
          <w:sz w:val="22"/>
          <w:szCs w:val="22"/>
        </w:rPr>
        <w:t xml:space="preserve">In a well-ventilated area (outdoors preferred), wearing full PPE, weigh out the required amount of 65% formic acid solution.</w:t>
      </w:r>
    </w:p>
    <w:p>
      <w:pPr>
        <w:pStyle w:val="ListParagraph"/>
        <w:numPr>
          <w:ilvl w:val="0"/>
          <w:numId w:val="3"/>
        </w:numPr>
        <w:spacing w:after="80"/>
      </w:pPr>
      <w:r>
        <w:rPr>
          <w:rFonts w:ascii="Arial" w:cs="Arial" w:eastAsia="Arial" w:hAnsi="Arial"/>
          <w:color w:val="2C3E50"/>
          <w:sz w:val="22"/>
          <w:szCs w:val="22"/>
        </w:rPr>
        <w:t xml:space="preserve">Add hydrophilic fumed silica at 7 g per 100 g of solution. Stir briefly until homogeneous—gel should have a pudding-like to caulking-compound consistency.</w:t>
      </w:r>
    </w:p>
    <w:p>
      <w:pPr>
        <w:pStyle w:val="ListParagraph"/>
        <w:numPr>
          <w:ilvl w:val="0"/>
          <w:numId w:val="3"/>
        </w:numPr>
        <w:spacing w:after="80"/>
      </w:pPr>
      <w:r>
        <w:rPr>
          <w:rFonts w:ascii="Arial" w:cs="Arial" w:eastAsia="Arial" w:hAnsi="Arial"/>
          <w:color w:val="2C3E50"/>
          <w:sz w:val="22"/>
          <w:szCs w:val="22"/>
        </w:rPr>
        <w:t xml:space="preserve">Divide into 2 equal portions. Transfer each into a polyethylene bag. Heat-seal shut to form a pad approximately 15 × 15 × 1 cm.</w:t>
      </w:r>
    </w:p>
    <w:p>
      <w:pPr>
        <w:pStyle w:val="ListParagraph"/>
        <w:numPr>
          <w:ilvl w:val="0"/>
          <w:numId w:val="3"/>
        </w:numPr>
        <w:spacing w:after="80"/>
      </w:pPr>
      <w:r>
        <w:rPr>
          <w:rFonts w:ascii="Arial" w:cs="Arial" w:eastAsia="Arial" w:hAnsi="Arial"/>
          <w:color w:val="2C3E50"/>
          <w:sz w:val="22"/>
          <w:szCs w:val="22"/>
        </w:rPr>
        <w:t xml:space="preserve">At the hive, cut 4 slits (each ~5 cm long) in the top surface of each bag. Do not cut the bottom.</w:t>
      </w:r>
    </w:p>
    <w:p>
      <w:pPr>
        <w:pStyle w:val="ListParagraph"/>
        <w:numPr>
          <w:ilvl w:val="0"/>
          <w:numId w:val="3"/>
        </w:numPr>
        <w:spacing w:after="80"/>
      </w:pPr>
      <w:r>
        <w:rPr>
          <w:rFonts w:ascii="Arial" w:cs="Arial" w:eastAsia="Arial" w:hAnsi="Arial"/>
          <w:color w:val="2C3E50"/>
          <w:sz w:val="22"/>
          <w:szCs w:val="22"/>
        </w:rPr>
        <w:t xml:space="preserve">Place both pads on the top bars of the upper brood chamber, directly over the brood nest, spaced ~5 cm apart.</w:t>
      </w:r>
    </w:p>
    <w:p>
      <w:pPr>
        <w:pStyle w:val="ListParagraph"/>
        <w:numPr>
          <w:ilvl w:val="0"/>
          <w:numId w:val="3"/>
        </w:numPr>
        <w:spacing w:after="80"/>
      </w:pPr>
      <w:r>
        <w:rPr>
          <w:rFonts w:ascii="Arial" w:cs="Arial" w:eastAsia="Arial" w:hAnsi="Arial"/>
          <w:color w:val="2C3E50"/>
          <w:sz w:val="22"/>
          <w:szCs w:val="22"/>
        </w:rPr>
        <w:t xml:space="preserve">Ensure the hive entrance is fully open (minimum 1.3 cm height) for ventilation.</w:t>
      </w:r>
    </w:p>
    <w:p>
      <w:pPr>
        <w:pStyle w:val="ListParagraph"/>
        <w:numPr>
          <w:ilvl w:val="0"/>
          <w:numId w:val="3"/>
        </w:numPr>
        <w:spacing w:after="80"/>
      </w:pPr>
      <w:r>
        <w:rPr>
          <w:rFonts w:ascii="Arial" w:cs="Arial" w:eastAsia="Arial" w:hAnsi="Arial"/>
          <w:color w:val="2C3E50"/>
          <w:sz w:val="22"/>
          <w:szCs w:val="22"/>
        </w:rPr>
        <w:t xml:space="preserve">Leave in place for 14–21 days. Do not disturb.</w:t>
      </w:r>
    </w:p>
    <w:p>
      <w:pPr>
        <w:pStyle w:val="ListParagraph"/>
        <w:numPr>
          <w:ilvl w:val="0"/>
          <w:numId w:val="3"/>
        </w:numPr>
        <w:spacing w:after="80"/>
      </w:pPr>
      <w:r>
        <w:rPr>
          <w:rFonts w:ascii="Arial" w:cs="Arial" w:eastAsia="Arial" w:hAnsi="Arial"/>
          <w:color w:val="2C3E50"/>
          <w:sz w:val="22"/>
          <w:szCs w:val="22"/>
        </w:rPr>
        <w:t xml:space="preserve">Monitor for dead bees at the entrance during the first 3 days. Large piles indicate overdose—remove pads immediately.</w:t>
      </w:r>
    </w:p>
    <w:p>
      <w:pPr>
        <w:pStyle w:val="Heading1"/>
      </w:pPr>
      <w:r>
        <w:t xml:space="preserve">7. Safety</w:t>
      </w:r>
    </w:p>
    <w:p>
      <w:pPr>
        <w:pBdr>
          <w:left w:val="single" w:color="C0392B" w:sz="12" w:space="8"/>
        </w:pBdr>
        <w:shd w:fill="FADBD8" w:val="clear"/>
        <w:spacing w:after="200"/>
      </w:pPr>
      <w:r>
        <w:rPr>
          <w:rFonts w:ascii="Arial" w:cs="Arial" w:eastAsia="Arial" w:hAnsi="Arial"/>
          <w:b/>
          <w:bCs/>
          <w:color w:val="922B21"/>
          <w:sz w:val="22"/>
          <w:szCs w:val="22"/>
        </w:rPr>
        <w:t xml:space="preserve">  WARNING: Formic acid at 65% is severely corrosive. Skin contact causes burns; eye contact can cause blindness. A worker splashed with concentrated formic acid has died from respiratory distress. NEVER handle without full PPE.</w:t>
      </w:r>
    </w:p>
    <w:p>
      <w:pPr>
        <w:spacing w:after="120" w:line="276"/>
        <w:jc w:val="both"/>
      </w:pPr>
      <w:r>
        <w:rPr>
          <w:rFonts w:ascii="Arial" w:cs="Arial" w:eastAsia="Arial" w:hAnsi="Arial"/>
          <w:color w:val="2C3E50"/>
          <w:sz w:val="22"/>
          <w:szCs w:val="22"/>
        </w:rPr>
        <w:t xml:space="preserve">The gel form is substantially safer than liquid because it eliminates splash risk, provides controlled rather than rapid release, requires no measuring or dilution at the hive, and cannot spill. Always have copious rinse water available. Work outdoors or in extremely well-ventilated areas. Store formic acid in original containers away from heat.</w:t>
      </w:r>
    </w:p>
    <w:p>
      <w:pPr>
        <w:spacing w:after="120" w:line="276"/>
        <w:jc w:val="both"/>
      </w:pPr>
      <w:r>
        <w:rPr>
          <w:rFonts w:ascii="Arial" w:cs="Arial" w:eastAsia="Arial" w:hAnsi="Arial"/>
          <w:color w:val="2C3E50"/>
          <w:sz w:val="22"/>
          <w:szCs w:val="22"/>
        </w:rPr>
        <w:t xml:space="preserve">Never treat above 29.5°C ambient temperature. Prototype with empty hives and weight-loss measurements before deploying on live colonies. Monitor hive entrances for the first 72 hours after application.</w:t>
      </w:r>
    </w:p>
    <w:p>
      <w:r>
        <w:br w:type="page"/>
      </w:r>
    </w:p>
    <w:p>
      <w:pPr>
        <w:pStyle w:val="Heading1"/>
      </w:pPr>
      <w:r>
        <w:t xml:space="preserve">8. Quick Compute Sheets</w:t>
      </w:r>
    </w:p>
    <w:p>
      <w:pPr>
        <w:spacing w:after="120" w:line="276"/>
        <w:jc w:val="both"/>
      </w:pPr>
      <w:r>
        <w:rPr>
          <w:rFonts w:ascii="Arial" w:cs="Arial" w:eastAsia="Arial" w:hAnsi="Arial"/>
          <w:color w:val="2C3E50"/>
          <w:sz w:val="22"/>
          <w:szCs w:val="22"/>
        </w:rPr>
        <w:t xml:space="preserve">Pre-calculated dosage tables for common Dadant-Blatt colony sizes. Each table shows formic acid (FA) mass, 65% solution volume, fumed silica mass, total gel weight, and recommended number of pads for each temperature range.</w:t>
      </w:r>
    </w:p>
    <w:p>
      <w:pPr>
        <w:spacing w:after="80"/>
      </w:pPr>
    </w:p>
    <w:p>
      <w:pPr>
        <w:pStyle w:val="Heading2"/>
      </w:pPr>
      <w:r>
        <w:t xml:space="preserve">3 Frames Covered with Bees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500"/>
        <w:gridCol w:w="1600"/>
        <w:gridCol w:w="1326"/>
        <w:gridCol w:w="1000"/>
        <w:gridCol w:w="1000"/>
      </w:tblGrid>
      <w:tr>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Temp Range</w:t>
            </w:r>
          </w:p>
        </w:tc>
        <w:tc>
          <w:tcPr>
            <w:tcW w:type="dxa" w:w="11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f_T</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 (g)</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65% Sol (mL)</w:t>
            </w:r>
          </w:p>
        </w:tc>
        <w:tc>
          <w:tcPr>
            <w:tcW w:type="dxa" w:w="1326"/>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Silica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Gel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Pads</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10-15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65.2</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100</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7.0</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107</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15-25 °C</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56.7</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87</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93</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25-29.5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0.85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48.2</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74</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5.2</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79</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bl>
    <w:p>
      <w:pPr>
        <w:spacing w:after="200"/>
      </w:pPr>
    </w:p>
    <w:p>
      <w:pPr>
        <w:pStyle w:val="Heading2"/>
      </w:pPr>
      <w:r>
        <w:t xml:space="preserve">4 Frames Covered with Bees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500"/>
        <w:gridCol w:w="1600"/>
        <w:gridCol w:w="1326"/>
        <w:gridCol w:w="1000"/>
        <w:gridCol w:w="1000"/>
      </w:tblGrid>
      <w:tr>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Temp Range</w:t>
            </w:r>
          </w:p>
        </w:tc>
        <w:tc>
          <w:tcPr>
            <w:tcW w:type="dxa" w:w="11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f_T</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 (g)</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65% Sol (mL)</w:t>
            </w:r>
          </w:p>
        </w:tc>
        <w:tc>
          <w:tcPr>
            <w:tcW w:type="dxa" w:w="1326"/>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Silica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Gel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Pads</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10-15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86.9</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134</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9.4</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143</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15-25 °C</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75.6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116</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124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25-29.5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0.85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64.3</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99</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6.9</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106</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bl>
    <w:p>
      <w:pPr>
        <w:spacing w:after="200"/>
      </w:pPr>
    </w:p>
    <w:p>
      <w:pPr>
        <w:pStyle w:val="Heading2"/>
      </w:pPr>
      <w:r>
        <w:t xml:space="preserve">5 Frames Covered with Bees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500"/>
        <w:gridCol w:w="1600"/>
        <w:gridCol w:w="1326"/>
        <w:gridCol w:w="1000"/>
        <w:gridCol w:w="1000"/>
      </w:tblGrid>
      <w:tr>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Temp Range</w:t>
            </w:r>
          </w:p>
        </w:tc>
        <w:tc>
          <w:tcPr>
            <w:tcW w:type="dxa" w:w="11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f_T</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 (g)</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65% Sol (mL)</w:t>
            </w:r>
          </w:p>
        </w:tc>
        <w:tc>
          <w:tcPr>
            <w:tcW w:type="dxa" w:w="1326"/>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Silica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Gel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Pads</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10-15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108.7</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167</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11.7</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179</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15-25 °C</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94.5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145</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10.2</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155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25-29.5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0.85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80.3</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124</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8.7</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133</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bl>
    <w:p>
      <w:pPr>
        <w:spacing w:after="200"/>
      </w:pPr>
    </w:p>
    <w:p>
      <w:pPr>
        <w:pStyle w:val="Heading2"/>
      </w:pPr>
      <w:r>
        <w:t xml:space="preserve">6 Frames Covered with Bees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500"/>
        <w:gridCol w:w="1600"/>
        <w:gridCol w:w="1326"/>
        <w:gridCol w:w="1000"/>
        <w:gridCol w:w="1000"/>
      </w:tblGrid>
      <w:tr>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Temp Range</w:t>
            </w:r>
          </w:p>
        </w:tc>
        <w:tc>
          <w:tcPr>
            <w:tcW w:type="dxa" w:w="11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f_T</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 (g)</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65% Sol (mL)</w:t>
            </w:r>
          </w:p>
        </w:tc>
        <w:tc>
          <w:tcPr>
            <w:tcW w:type="dxa" w:w="1326"/>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Silica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Gel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Pads</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10-15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130.4</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201</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14.1</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215</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15-25 °C</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113.4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174</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12.2</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186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25-29.5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0.85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96.4</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148</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10.4</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158</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bl>
    <w:p>
      <w:pPr>
        <w:spacing w:after="200"/>
      </w:pPr>
    </w:p>
    <w:p>
      <w:r>
        <w:br w:type="page"/>
      </w:r>
    </w:p>
    <w:p>
      <w:pPr>
        <w:pStyle w:val="Heading2"/>
      </w:pPr>
      <w:r>
        <w:t xml:space="preserve">7 Frames Covered with Bees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500"/>
        <w:gridCol w:w="1600"/>
        <w:gridCol w:w="1326"/>
        <w:gridCol w:w="1000"/>
        <w:gridCol w:w="1000"/>
      </w:tblGrid>
      <w:tr>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Temp Range</w:t>
            </w:r>
          </w:p>
        </w:tc>
        <w:tc>
          <w:tcPr>
            <w:tcW w:type="dxa" w:w="11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f_T</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 (g)</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65% Sol (mL)</w:t>
            </w:r>
          </w:p>
        </w:tc>
        <w:tc>
          <w:tcPr>
            <w:tcW w:type="dxa" w:w="1326"/>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Silica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Gel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Pads</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10-15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152.1</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234</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16.4</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250</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15-25 °C</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132.3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204</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14.3</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218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25-29.5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0.85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112.5</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173</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12.1</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185</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bl>
    <w:p>
      <w:pPr>
        <w:spacing w:after="200"/>
      </w:pPr>
    </w:p>
    <w:p>
      <w:pPr>
        <w:pStyle w:val="Heading2"/>
      </w:pPr>
      <w:r>
        <w:t xml:space="preserve">8 Frames Covered with Bees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500"/>
        <w:gridCol w:w="1600"/>
        <w:gridCol w:w="1326"/>
        <w:gridCol w:w="1000"/>
        <w:gridCol w:w="1000"/>
      </w:tblGrid>
      <w:tr>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Temp Range</w:t>
            </w:r>
          </w:p>
        </w:tc>
        <w:tc>
          <w:tcPr>
            <w:tcW w:type="dxa" w:w="11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f_T</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 (g)</w:t>
            </w:r>
          </w:p>
        </w:tc>
        <w:tc>
          <w:tcPr>
            <w:tcW w:type="dxa" w:w="16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65% Sol (mL)</w:t>
            </w:r>
          </w:p>
        </w:tc>
        <w:tc>
          <w:tcPr>
            <w:tcW w:type="dxa" w:w="1326"/>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Silica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Gel (g)</w:t>
            </w:r>
          </w:p>
        </w:tc>
        <w:tc>
          <w:tcPr>
            <w:tcW w:type="dxa" w:w="1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Pads</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10-15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173.9</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268</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18.8</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287</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15-25 °C</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151.2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233</w:t>
            </w:r>
          </w:p>
        </w:tc>
        <w:tc>
          <w:tcPr>
            <w:tcW w:type="dxa" w:w="13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16.3</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249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r>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25-29.5 °C</w:t>
            </w:r>
          </w:p>
        </w:tc>
        <w:tc>
          <w:tcPr>
            <w:tcW w:type="dxa" w:w="11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0.85</w:t>
            </w:r>
          </w:p>
        </w:tc>
        <w:tc>
          <w:tcPr>
            <w:tcW w:type="dxa" w:w="15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128.5</w:t>
            </w:r>
          </w:p>
        </w:tc>
        <w:tc>
          <w:tcPr>
            <w:tcW w:type="dxa" w:w="16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198</w:t>
            </w:r>
          </w:p>
        </w:tc>
        <w:tc>
          <w:tcPr>
            <w:tcW w:type="dxa" w:w="1326"/>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13.9</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212</w:t>
            </w:r>
          </w:p>
        </w:tc>
        <w:tc>
          <w:tcPr>
            <w:tcW w:type="dxa" w:w="1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w:t>
            </w:r>
          </w:p>
        </w:tc>
      </w:tr>
    </w:tbl>
    <w:p>
      <w:pPr>
        <w:spacing w:after="200"/>
      </w:pPr>
    </w:p>
    <w:p>
      <w:pPr>
        <w:pStyle w:val="Heading2"/>
      </w:pPr>
      <w:r>
        <w:t xml:space="preserve">How to Use These Tables</w:t>
      </w:r>
    </w:p>
    <w:p>
      <w:pPr>
        <w:pStyle w:val="ListParagraph"/>
        <w:numPr>
          <w:ilvl w:val="0"/>
          <w:numId w:val="3"/>
        </w:numPr>
        <w:spacing w:after="80"/>
      </w:pPr>
      <w:r>
        <w:rPr>
          <w:rFonts w:ascii="Arial" w:cs="Arial" w:eastAsia="Arial" w:hAnsi="Arial"/>
          <w:color w:val="2C3E50"/>
          <w:sz w:val="22"/>
          <w:szCs w:val="22"/>
        </w:rPr>
        <w:t xml:space="preserve">Count the number of frames with bees on both sides (partially covered frames count as 0.5—round up to the next table).</w:t>
      </w:r>
    </w:p>
    <w:p>
      <w:pPr>
        <w:pStyle w:val="ListParagraph"/>
        <w:numPr>
          <w:ilvl w:val="0"/>
          <w:numId w:val="3"/>
        </w:numPr>
        <w:spacing w:after="80"/>
      </w:pPr>
      <w:r>
        <w:rPr>
          <w:rFonts w:ascii="Arial" w:cs="Arial" w:eastAsia="Arial" w:hAnsi="Arial"/>
          <w:color w:val="2C3E50"/>
          <w:sz w:val="22"/>
          <w:szCs w:val="22"/>
        </w:rPr>
        <w:t xml:space="preserve">Check the weather forecast for the treatment period. Use the maximum expected temperature to select the temperature row.</w:t>
      </w:r>
    </w:p>
    <w:p>
      <w:pPr>
        <w:pStyle w:val="ListParagraph"/>
        <w:numPr>
          <w:ilvl w:val="0"/>
          <w:numId w:val="3"/>
        </w:numPr>
        <w:spacing w:after="80"/>
      </w:pPr>
      <w:r>
        <w:rPr>
          <w:rFonts w:ascii="Arial" w:cs="Arial" w:eastAsia="Arial" w:hAnsi="Arial"/>
          <w:color w:val="2C3E50"/>
          <w:sz w:val="22"/>
          <w:szCs w:val="22"/>
        </w:rPr>
        <w:t xml:space="preserve">Read across to find: total formic acid, volume of 65% solution, grams of fumed silica, total gel weight, and number of pads.</w:t>
      </w:r>
    </w:p>
    <w:p>
      <w:pPr>
        <w:pStyle w:val="ListParagraph"/>
        <w:numPr>
          <w:ilvl w:val="0"/>
          <w:numId w:val="3"/>
        </w:numPr>
        <w:spacing w:after="80"/>
      </w:pPr>
      <w:r>
        <w:rPr>
          <w:rFonts w:ascii="Arial" w:cs="Arial" w:eastAsia="Arial" w:hAnsi="Arial"/>
          <w:color w:val="2C3E50"/>
          <w:sz w:val="22"/>
          <w:szCs w:val="22"/>
        </w:rPr>
        <w:t xml:space="preserve">Divide total gel evenly among the indicated number of pads. Seal in polyethylene bags.</w:t>
      </w:r>
    </w:p>
    <w:p>
      <w:pPr>
        <w:pStyle w:val="ListParagraph"/>
        <w:numPr>
          <w:ilvl w:val="0"/>
          <w:numId w:val="3"/>
        </w:numPr>
        <w:spacing w:after="80"/>
      </w:pPr>
      <w:r>
        <w:rPr>
          <w:rFonts w:ascii="Arial" w:cs="Arial" w:eastAsia="Arial" w:hAnsi="Arial"/>
          <w:color w:val="2C3E50"/>
          <w:sz w:val="22"/>
          <w:szCs w:val="22"/>
        </w:rPr>
        <w:t xml:space="preserve">Cut 4 slits (5 cm each) per pad and place on top bars over brood nest.</w:t>
      </w:r>
    </w:p>
    <w:p>
      <w:pPr>
        <w:pStyle w:val="ListParagraph"/>
        <w:numPr>
          <w:ilvl w:val="0"/>
          <w:numId w:val="3"/>
        </w:numPr>
        <w:spacing w:after="80"/>
      </w:pPr>
      <w:r>
        <w:rPr>
          <w:rFonts w:ascii="Arial" w:cs="Arial" w:eastAsia="Arial" w:hAnsi="Arial"/>
          <w:color w:val="2C3E50"/>
          <w:sz w:val="22"/>
          <w:szCs w:val="22"/>
        </w:rPr>
        <w:t xml:space="preserve">If temperature is forecast to exceed 29.5°C at any point during the 14–21 day treatment, DO NOT TREAT. Wait for cooler weather.</w:t>
      </w:r>
    </w:p>
    <w:p>
      <w:pPr>
        <w:spacing w:after="400"/>
      </w:pPr>
    </w:p>
    <w:p>
      <w:pPr>
        <w:pBdr>
          <w:top w:val="single" w:color="1B4F72" w:sz="2" w:space="8"/>
        </w:pBdr>
        <w:spacing w:after="100" w:before="200"/>
        <w:jc w:val="center"/>
      </w:pPr>
      <w:r>
        <w:rPr>
          <w:rFonts w:ascii="Arial" w:cs="Arial" w:eastAsia="Arial" w:hAnsi="Arial"/>
          <w:b/>
          <w:bCs/>
          <w:color w:val="1B4F72"/>
          <w:sz w:val="20"/>
          <w:szCs w:val="20"/>
        </w:rPr>
        <w:t xml:space="preserve">References</w:t>
      </w:r>
    </w:p>
    <w:p>
      <w:pPr>
        <w:spacing w:after="60"/>
      </w:pPr>
      <w:r>
        <w:rPr>
          <w:rFonts w:ascii="Arial" w:cs="Arial" w:eastAsia="Arial" w:hAnsi="Arial"/>
          <w:i/>
          <w:iCs/>
          <w:color w:val="5D6D7E"/>
          <w:sz w:val="18"/>
          <w:szCs w:val="18"/>
        </w:rPr>
        <w:t xml:space="preserve">Kochansky et al. (1999). Development of a Gel Formulation of Formic Acid for Control of Parasitic Mites of Honey Bees. J. Agric. Food Chem. 47(10): 3850–3853.</w:t>
      </w:r>
    </w:p>
    <w:p>
      <w:pPr>
        <w:spacing w:after="60"/>
      </w:pPr>
      <w:r>
        <w:rPr>
          <w:rFonts w:ascii="Arial" w:cs="Arial" w:eastAsia="Arial" w:hAnsi="Arial"/>
          <w:i/>
          <w:iCs/>
          <w:color w:val="5D6D7E"/>
          <w:sz w:val="18"/>
          <w:szCs w:val="18"/>
        </w:rPr>
        <w:t xml:space="preserve">US Patent 6,037,374 (expired 2017). Composition and method for the control of parasitic mites in honey bees.</w:t>
      </w:r>
    </w:p>
    <w:p>
      <w:pPr>
        <w:spacing w:after="60"/>
      </w:pPr>
      <w:r>
        <w:rPr>
          <w:rFonts w:ascii="Arial" w:cs="Arial" w:eastAsia="Arial" w:hAnsi="Arial"/>
          <w:i/>
          <w:iCs/>
          <w:color w:val="5D6D7E"/>
          <w:sz w:val="18"/>
          <w:szCs w:val="18"/>
        </w:rPr>
        <w:t xml:space="preserve">Underwood &amp; Currie (2003). Effects of temperature and dose of formic acid on treatment efficacy against Varroa destructor.</w:t>
      </w:r>
    </w:p>
    <w:p>
      <w:pPr>
        <w:spacing w:after="60"/>
      </w:pPr>
      <w:r>
        <w:rPr>
          <w:rFonts w:ascii="Arial" w:cs="Arial" w:eastAsia="Arial" w:hAnsi="Arial"/>
          <w:i/>
          <w:iCs/>
          <w:color w:val="5D6D7E"/>
          <w:sz w:val="18"/>
          <w:szCs w:val="18"/>
        </w:rPr>
        <w:t xml:space="preserve">Steube et al. (2021). Efficacy and temperature dependence of 60% and 85% formic acid treatment against Varroa destructor. Apidologie 52: 483–496.</w:t>
      </w:r>
    </w:p>
    <w:p>
      <w:pPr>
        <w:spacing w:after="60"/>
      </w:pPr>
      <w:r>
        <w:rPr>
          <w:rFonts w:ascii="Arial" w:cs="Arial" w:eastAsia="Arial" w:hAnsi="Arial"/>
          <w:i/>
          <w:iCs/>
          <w:color w:val="5D6D7E"/>
          <w:sz w:val="18"/>
          <w:szCs w:val="18"/>
        </w:rPr>
        <w:t xml:space="preserve">Pietropaoli &amp; Formato (2018). Liquid formic acid 60% to control Varroa destructor: protocol evaluation. J. Apicultural Research.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Arial" w:cs="Arial" w:eastAsia="Arial" w:hAnsi="Arial"/>
        <w:i/>
        <w:iCs/>
        <w:color w:val="7F8C8D"/>
        <w:sz w:val="16"/>
        <w:szCs w:val="16"/>
      </w:rPr>
      <w:t xml:space="preserve">DIY Formic Acid Gel for Varroa Treatment</w:t>
    </w:r>
    <w:r>
      <w:rPr>
        <w:rFonts w:ascii="Arial" w:cs="Arial" w:eastAsia="Arial" w:hAnsi="Arial"/>
        <w:i/>
        <w:iCs/>
        <w:color w:val="7F8C8D"/>
        <w:sz w:val="16"/>
        <w:szCs w:val="16"/>
      </w:rPr>
      <w:t xml:space="preserve">	Dadant-Blatt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2026-04-15T20:01:27.227Z</dcterms:created>
  <dcterms:modified xsi:type="dcterms:W3CDTF">2026-04-15T20:01:27.229Z</dcterms:modified>
</cp:coreProperties>
</file>

<file path=docProps/custom.xml><?xml version="1.0" encoding="utf-8"?>
<Properties xmlns="http://schemas.openxmlformats.org/officeDocument/2006/custom-properties" xmlns:vt="http://schemas.openxmlformats.org/officeDocument/2006/docPropsVTypes"/>
</file>