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Unit 20 — Applied Programming and Design Principles</w:t>
      </w:r>
    </w:p>
    <w:p>
      <w:pPr>
        <w:pStyle w:val="Title"/>
        <w:jc w:val="center"/>
      </w:pPr>
      <w:r>
        <w:t>Automated Testing Report</w:t>
      </w:r>
    </w:p>
    <w:p>
      <w:pPr>
        <w:jc w:val="center"/>
      </w:pPr>
      <w:r>
        <w:rPr>
          <w:i/>
          <w:sz w:val="24"/>
        </w:rPr>
        <w:t>FBZ Comics Unmasked Dataset Processing Application</w:t>
      </w:r>
    </w:p>
    <w:tbl>
      <w:tblPr>
        <w:tblStyle w:val="TableGrid"/>
        <w:tblW w:type="auto" w:w="0"/>
        <w:tblLook w:firstColumn="1" w:firstRow="1" w:lastColumn="0" w:lastRow="0" w:noHBand="0" w:noVBand="1" w:val="04A0"/>
      </w:tblPr>
      <w:tblGrid>
        <w:gridCol w:w="5040"/>
        <w:gridCol w:w="5040"/>
      </w:tblGrid>
      <w:tr>
        <w:tc>
          <w:tcPr>
            <w:tcW w:type="dxa" w:w="5040"/>
          </w:tcPr>
          <w:p>
            <w:r>
              <w:rPr>
                <w:b/>
              </w:rPr>
              <w:t>Student Name / ID</w:t>
            </w:r>
          </w:p>
        </w:tc>
        <w:tc>
          <w:tcPr>
            <w:tcW w:type="dxa" w:w="5040"/>
          </w:tcPr>
          <w:p>
            <w:r>
              <w:t>____________________________</w:t>
            </w:r>
          </w:p>
        </w:tc>
      </w:tr>
      <w:tr>
        <w:tc>
          <w:tcPr>
            <w:tcW w:type="dxa" w:w="5040"/>
          </w:tcPr>
          <w:p>
            <w:r>
              <w:rPr>
                <w:b/>
              </w:rPr>
              <w:t>Academic Year</w:t>
            </w:r>
          </w:p>
        </w:tc>
        <w:tc>
          <w:tcPr>
            <w:tcW w:type="dxa" w:w="5040"/>
          </w:tcPr>
          <w:p>
            <w:r>
              <w:t>2025/26</w:t>
            </w:r>
          </w:p>
        </w:tc>
      </w:tr>
      <w:tr>
        <w:tc>
          <w:tcPr>
            <w:tcW w:type="dxa" w:w="5040"/>
          </w:tcPr>
          <w:p>
            <w:r>
              <w:rPr>
                <w:b/>
              </w:rPr>
              <w:t>Unit</w:t>
            </w:r>
          </w:p>
        </w:tc>
        <w:tc>
          <w:tcPr>
            <w:tcW w:type="dxa" w:w="5040"/>
          </w:tcPr>
          <w:p>
            <w:r>
              <w:t>Unit 20 — Applied Programming and Design Principles</w:t>
            </w:r>
          </w:p>
        </w:tc>
      </w:tr>
      <w:tr>
        <w:tc>
          <w:tcPr>
            <w:tcW w:type="dxa" w:w="5040"/>
          </w:tcPr>
          <w:p>
            <w:r>
              <w:rPr>
                <w:b/>
              </w:rPr>
              <w:t>Assignment</w:t>
            </w:r>
          </w:p>
        </w:tc>
        <w:tc>
          <w:tcPr>
            <w:tcW w:type="dxa" w:w="5040"/>
          </w:tcPr>
          <w:p>
            <w:r>
              <w:t>Implementation of a Dataset Processing Application using SOLID Design Principles</w:t>
            </w:r>
          </w:p>
        </w:tc>
      </w:tr>
      <w:tr>
        <w:tc>
          <w:tcPr>
            <w:tcW w:type="dxa" w:w="5040"/>
          </w:tcPr>
          <w:p>
            <w:r>
              <w:rPr>
                <w:b/>
              </w:rPr>
              <w:t>Submission Date</w:t>
            </w:r>
          </w:p>
        </w:tc>
        <w:tc>
          <w:tcPr>
            <w:tcW w:type="dxa" w:w="5040"/>
          </w:tcPr>
          <w:p>
            <w:r>
              <w:t>28 August 2026</w:t>
            </w:r>
          </w:p>
        </w:tc>
      </w:tr>
    </w:tbl>
    <w:p>
      <w:r>
        <w:br w:type="page"/>
      </w:r>
    </w:p>
    <w:p>
      <w:pPr>
        <w:pStyle w:val="Heading1"/>
      </w:pPr>
      <w:r>
        <w:t>1. Testing strategy</w:t>
      </w:r>
    </w:p>
    <w:p>
      <w:r>
        <w:t>The final testing regime uses four complementary levels: unit testing for focused domain and algorithm behaviour, integration testing for repository/service boundaries, CLI/end-to-end testing for user-visible workflows, and real-data acceptance testing against the supplied British Library package. The purpose is requirement-based confidence rather than a single metric. Coverage is useful for finding untested paths, but a high percentage cannot prove that the assertions represent the assignment correctly.</w:t>
      </w:r>
    </w:p>
    <w:p>
      <w:pPr>
        <w:pStyle w:val="Heading1"/>
      </w:pPr>
      <w:r>
        <w:t>2. Automated testing methods and tools</w:t>
      </w:r>
    </w:p>
    <w:p>
      <w:r>
        <w:t>Developer-produced tests contain the application-specific assertions. For example, the FBZ author test must distinguish an author from an editor with the same name, while a generic framework cannot know that requirement. pytest supplies the execution machinery: discovery, assertions, fixtures and reusable test contexts. Its documentation describes fixtures as explicit, modular and scalable (pytest, n.d.). This division is important for the assessment criterion comparing developer-produced testing with vendor/framework-supported automation: the framework provides capability, but the project supplies the domain oracle.</w:t>
      </w:r>
    </w:p>
    <w:p>
      <w:r>
        <w:t>The research also examined common automation framework styles. Katalon (2022) describes linear, modular, library-architecture, data-driven, keyword-driven and hybrid approaches. SmartBear (n.d.) describes similar framework trade-offs and notes that record/playback is easy to start but can become difficult to maintain when applications change. A data-driven approach is relevant to FBZ because the same parsing and search behaviours can be exercised against many records or dataset views. A keyword-driven or GUI-heavy framework is less proportionate for the current Python CLI because the main risks are data correctness and application logic rather than browser interaction.</w:t>
      </w:r>
    </w:p>
    <w:p>
      <w:pPr>
        <w:pStyle w:val="Heading1"/>
      </w:pPr>
      <w:r>
        <w:t>3. Test levels and trade-offs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tcPr>
          <w:p>
            <w:r>
              <w:rPr>
                <w:b/>
              </w:rPr>
              <w:t>Level</w:t>
            </w:r>
          </w:p>
        </w:tc>
        <w:tc>
          <w:tcPr>
            <w:tcW w:type="dxa" w:w="2520"/>
            <w:vAlign w:val="center"/>
          </w:tcPr>
          <w:p>
            <w:r>
              <w:rPr>
                <w:b/>
              </w:rPr>
              <w:t>What it verifies</w:t>
            </w:r>
          </w:p>
        </w:tc>
        <w:tc>
          <w:tcPr>
            <w:tcW w:type="dxa" w:w="2520"/>
            <w:vAlign w:val="center"/>
          </w:tcPr>
          <w:p>
            <w:r>
              <w:rPr>
                <w:b/>
              </w:rPr>
              <w:t>Strength</w:t>
            </w:r>
          </w:p>
        </w:tc>
        <w:tc>
          <w:tcPr>
            <w:tcW w:type="dxa" w:w="2520"/>
            <w:vAlign w:val="center"/>
          </w:tcPr>
          <w:p>
            <w:r>
              <w:rPr>
                <w:b/>
              </w:rPr>
              <w:t>Limitation</w:t>
            </w:r>
          </w:p>
        </w:tc>
      </w:tr>
      <w:tr>
        <w:tc>
          <w:tcPr>
            <w:tcW w:type="dxa" w:w="2520"/>
          </w:tcPr>
          <w:p>
            <w:r>
              <w:t>Unit</w:t>
            </w:r>
          </w:p>
        </w:tc>
        <w:tc>
          <w:tcPr>
            <w:tcW w:type="dxa" w:w="2520"/>
          </w:tcPr>
          <w:p>
            <w:r>
              <w:t>Domain, strategies, factory, services, edge cases</w:t>
            </w:r>
          </w:p>
        </w:tc>
        <w:tc>
          <w:tcPr>
            <w:tcW w:type="dxa" w:w="2520"/>
          </w:tcPr>
          <w:p>
            <w:r>
              <w:t>Fast, isolated, precise</w:t>
            </w:r>
          </w:p>
        </w:tc>
        <w:tc>
          <w:tcPr>
            <w:tcW w:type="dxa" w:w="2520"/>
          </w:tcPr>
          <w:p>
            <w:r>
              <w:t>Can miss wiring/source-format defects</w:t>
            </w:r>
          </w:p>
        </w:tc>
      </w:tr>
      <w:tr>
        <w:tc>
          <w:tcPr>
            <w:tcW w:type="dxa" w:w="2520"/>
          </w:tcPr>
          <w:p>
            <w:r>
              <w:t>Integration</w:t>
            </w:r>
          </w:p>
        </w:tc>
        <w:tc>
          <w:tcPr>
            <w:tcW w:type="dxa" w:w="2520"/>
          </w:tcPr>
          <w:p>
            <w:r>
              <w:t>CSV → repository → service and official five views</w:t>
            </w:r>
          </w:p>
        </w:tc>
        <w:tc>
          <w:tcPr>
            <w:tcW w:type="dxa" w:w="2520"/>
          </w:tcPr>
          <w:p>
            <w:r>
              <w:t>Finds boundary and schema problems</w:t>
            </w:r>
          </w:p>
        </w:tc>
        <w:tc>
          <w:tcPr>
            <w:tcW w:type="dxa" w:w="2520"/>
          </w:tcPr>
          <w:p>
            <w:r>
              <w:t>Slower and data-dependent</w:t>
            </w:r>
          </w:p>
        </w:tc>
      </w:tr>
      <w:tr>
        <w:tc>
          <w:tcPr>
            <w:tcW w:type="dxa" w:w="2520"/>
          </w:tcPr>
          <w:p>
            <w:r>
              <w:t>CLI / E2E</w:t>
            </w:r>
          </w:p>
        </w:tc>
        <w:tc>
          <w:tcPr>
            <w:tcW w:type="dxa" w:w="2520"/>
          </w:tcPr>
          <w:p>
            <w:r>
              <w:t>No-result, result display and ordering</w:t>
            </w:r>
          </w:p>
        </w:tc>
        <w:tc>
          <w:tcPr>
            <w:tcW w:type="dxa" w:w="2520"/>
          </w:tcPr>
          <w:p>
            <w:r>
              <w:t>Validates user-visible behaviour</w:t>
            </w:r>
          </w:p>
        </w:tc>
        <w:tc>
          <w:tcPr>
            <w:tcW w:type="dxa" w:w="2520"/>
          </w:tcPr>
          <w:p>
            <w:r>
              <w:t>Broader and more maintenance-sensitive</w:t>
            </w:r>
          </w:p>
        </w:tc>
      </w:tr>
      <w:tr>
        <w:tc>
          <w:tcPr>
            <w:tcW w:type="dxa" w:w="2520"/>
          </w:tcPr>
          <w:p>
            <w:r>
              <w:t>Real-data acceptance</w:t>
            </w:r>
          </w:p>
        </w:tc>
        <w:tc>
          <w:tcPr>
            <w:tcW w:type="dxa" w:w="2520"/>
          </w:tcPr>
          <w:p>
            <w:r>
              <w:t>Official counts, semantics and assignment-specific behaviour</w:t>
            </w:r>
          </w:p>
        </w:tc>
        <w:tc>
          <w:tcPr>
            <w:tcW w:type="dxa" w:w="2520"/>
          </w:tcPr>
          <w:p>
            <w:r>
              <w:t>Validates assumptions against supplied evidence</w:t>
            </w:r>
          </w:p>
        </w:tc>
        <w:tc>
          <w:tcPr>
            <w:tcW w:type="dxa" w:w="2520"/>
          </w:tcPr>
          <w:p>
            <w:r>
              <w:t>Requires the real package and can be slower</w:t>
            </w:r>
          </w:p>
        </w:tc>
      </w:tr>
    </w:tbl>
    <w:p>
      <w:r>
        <w:t>Fowler’s Test Pyramid recommends a larger base of focused tests and fewer expensive broad-stack tests because high-level tests can be slower and more brittle (Fowler, 2012). The FBZ suite follows this principle. Manual exploratory checks remain useful for presentation and usability, but repeated parsing, searching, sorting and threshold logic are strong automation candidates because they are deterministic and data-intensive. SmartBear’s guidance similarly identifies repetitive, high-volume or frequently repeated tests as good candidates for automation.</w:t>
      </w:r>
    </w:p>
    <w:p>
      <w:pPr>
        <w:pStyle w:val="Heading1"/>
      </w:pPr>
      <w:r>
        <w:t>4. Test matrix</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tcPr>
          <w:p>
            <w:r>
              <w:rPr>
                <w:b/>
              </w:rPr>
              <w:t>ID</w:t>
            </w:r>
          </w:p>
        </w:tc>
        <w:tc>
          <w:tcPr>
            <w:tcW w:type="dxa" w:w="2520"/>
            <w:vAlign w:val="center"/>
          </w:tcPr>
          <w:p>
            <w:r>
              <w:rPr>
                <w:b/>
              </w:rPr>
              <w:t>Requirement</w:t>
            </w:r>
          </w:p>
        </w:tc>
        <w:tc>
          <w:tcPr>
            <w:tcW w:type="dxa" w:w="2520"/>
            <w:vAlign w:val="center"/>
          </w:tcPr>
          <w:p>
            <w:r>
              <w:rPr>
                <w:b/>
              </w:rPr>
              <w:t>Level</w:t>
            </w:r>
          </w:p>
        </w:tc>
        <w:tc>
          <w:tcPr>
            <w:tcW w:type="dxa" w:w="2520"/>
            <w:vAlign w:val="center"/>
          </w:tcPr>
          <w:p>
            <w:r>
              <w:rPr>
                <w:b/>
              </w:rPr>
              <w:t>Result</w:t>
            </w:r>
          </w:p>
        </w:tc>
      </w:tr>
      <w:tr>
        <w:tc>
          <w:tcPr>
            <w:tcW w:type="dxa" w:w="2520"/>
          </w:tcPr>
          <w:p>
            <w:r>
              <w:t>UT-01</w:t>
            </w:r>
          </w:p>
        </w:tc>
        <w:tc>
          <w:tcPr>
            <w:tcW w:type="dxa" w:w="2520"/>
          </w:tcPr>
          <w:p>
            <w:r>
              <w:t>Valid record + leading-zero ID</w:t>
            </w:r>
          </w:p>
        </w:tc>
        <w:tc>
          <w:tcPr>
            <w:tcW w:type="dxa" w:w="2520"/>
          </w:tcPr>
          <w:p>
            <w:r>
              <w:t>Unit</w:t>
            </w:r>
          </w:p>
        </w:tc>
        <w:tc>
          <w:tcPr>
            <w:tcW w:type="dxa" w:w="2520"/>
          </w:tcPr>
          <w:p>
            <w:r>
              <w:t>PASS</w:t>
            </w:r>
          </w:p>
        </w:tc>
      </w:tr>
      <w:tr>
        <w:tc>
          <w:tcPr>
            <w:tcW w:type="dxa" w:w="2520"/>
          </w:tcPr>
          <w:p>
            <w:r>
              <w:t>UT-02</w:t>
            </w:r>
          </w:p>
        </w:tc>
        <w:tc>
          <w:tcPr>
            <w:tcW w:type="dxa" w:w="2520"/>
          </w:tcPr>
          <w:p>
            <w:r>
              <w:t>Required-column/required-title validation</w:t>
            </w:r>
          </w:p>
        </w:tc>
        <w:tc>
          <w:tcPr>
            <w:tcW w:type="dxa" w:w="2520"/>
          </w:tcPr>
          <w:p>
            <w:r>
              <w:t>Unit</w:t>
            </w:r>
          </w:p>
        </w:tc>
        <w:tc>
          <w:tcPr>
            <w:tcW w:type="dxa" w:w="2520"/>
          </w:tcPr>
          <w:p>
            <w:r>
              <w:t>PASS</w:t>
            </w:r>
          </w:p>
        </w:tc>
      </w:tr>
      <w:tr>
        <w:tc>
          <w:tcPr>
            <w:tcW w:type="dxa" w:w="2520"/>
          </w:tcPr>
          <w:p>
            <w:r>
              <w:t>UT-03</w:t>
            </w:r>
          </w:p>
        </w:tc>
        <w:tc>
          <w:tcPr>
            <w:tcW w:type="dxa" w:w="2520"/>
          </w:tcPr>
          <w:p>
            <w:r>
              <w:t>Multi-value tokenisation</w:t>
            </w:r>
          </w:p>
        </w:tc>
        <w:tc>
          <w:tcPr>
            <w:tcW w:type="dxa" w:w="2520"/>
          </w:tcPr>
          <w:p>
            <w:r>
              <w:t>Unit</w:t>
            </w:r>
          </w:p>
        </w:tc>
        <w:tc>
          <w:tcPr>
            <w:tcW w:type="dxa" w:w="2520"/>
          </w:tcPr>
          <w:p>
            <w:r>
              <w:t>PASS</w:t>
            </w:r>
          </w:p>
        </w:tc>
      </w:tr>
      <w:tr>
        <w:tc>
          <w:tcPr>
            <w:tcW w:type="dxa" w:w="2520"/>
          </w:tcPr>
          <w:p>
            <w:r>
              <w:t>UT-04</w:t>
            </w:r>
          </w:p>
        </w:tc>
        <w:tc>
          <w:tcPr>
            <w:tcW w:type="dxa" w:w="2520"/>
          </w:tcPr>
          <w:p>
            <w:r>
              <w:t>Title search</w:t>
            </w:r>
          </w:p>
        </w:tc>
        <w:tc>
          <w:tcPr>
            <w:tcW w:type="dxa" w:w="2520"/>
          </w:tcPr>
          <w:p>
            <w:r>
              <w:t>Unit</w:t>
            </w:r>
          </w:p>
        </w:tc>
        <w:tc>
          <w:tcPr>
            <w:tcW w:type="dxa" w:w="2520"/>
          </w:tcPr>
          <w:p>
            <w:r>
              <w:t>PASS</w:t>
            </w:r>
          </w:p>
        </w:tc>
      </w:tr>
      <w:tr>
        <w:tc>
          <w:tcPr>
            <w:tcW w:type="dxa" w:w="2520"/>
          </w:tcPr>
          <w:p>
            <w:r>
              <w:t>UT-05</w:t>
            </w:r>
          </w:p>
        </w:tc>
        <w:tc>
          <w:tcPr>
            <w:tcW w:type="dxa" w:w="2520"/>
          </w:tcPr>
          <w:p>
            <w:r>
              <w:t>Author search respects role</w:t>
            </w:r>
          </w:p>
        </w:tc>
        <w:tc>
          <w:tcPr>
            <w:tcW w:type="dxa" w:w="2520"/>
          </w:tcPr>
          <w:p>
            <w:r>
              <w:t>Unit</w:t>
            </w:r>
          </w:p>
        </w:tc>
        <w:tc>
          <w:tcPr>
            <w:tcW w:type="dxa" w:w="2520"/>
          </w:tcPr>
          <w:p>
            <w:r>
              <w:t>PASS</w:t>
            </w:r>
          </w:p>
        </w:tc>
      </w:tr>
      <w:tr>
        <w:tc>
          <w:tcPr>
            <w:tcW w:type="dxa" w:w="2520"/>
          </w:tcPr>
          <w:p>
            <w:r>
              <w:t>UT-06</w:t>
            </w:r>
          </w:p>
        </w:tc>
        <w:tc>
          <w:tcPr>
            <w:tcW w:type="dxa" w:w="2520"/>
          </w:tcPr>
          <w:p>
            <w:r>
              <w:t>Genre filtering</w:t>
            </w:r>
          </w:p>
        </w:tc>
        <w:tc>
          <w:tcPr>
            <w:tcW w:type="dxa" w:w="2520"/>
          </w:tcPr>
          <w:p>
            <w:r>
              <w:t>Unit</w:t>
            </w:r>
          </w:p>
        </w:tc>
        <w:tc>
          <w:tcPr>
            <w:tcW w:type="dxa" w:w="2520"/>
          </w:tcPr>
          <w:p>
            <w:r>
              <w:t>PASS</w:t>
            </w:r>
          </w:p>
        </w:tc>
      </w:tr>
      <w:tr>
        <w:tc>
          <w:tcPr>
            <w:tcW w:type="dxa" w:w="2520"/>
          </w:tcPr>
          <w:p>
            <w:r>
              <w:t>UT-07</w:t>
            </w:r>
          </w:p>
        </w:tc>
        <w:tc>
          <w:tcPr>
            <w:tcW w:type="dxa" w:w="2520"/>
          </w:tcPr>
          <w:p>
            <w:r>
              <w:t>Author/year grouping</w:t>
            </w:r>
          </w:p>
        </w:tc>
        <w:tc>
          <w:tcPr>
            <w:tcW w:type="dxa" w:w="2520"/>
          </w:tcPr>
          <w:p>
            <w:r>
              <w:t>Unit</w:t>
            </w:r>
          </w:p>
        </w:tc>
        <w:tc>
          <w:tcPr>
            <w:tcW w:type="dxa" w:w="2520"/>
          </w:tcPr>
          <w:p>
            <w:r>
              <w:t>PASS</w:t>
            </w:r>
          </w:p>
        </w:tc>
      </w:tr>
      <w:tr>
        <w:tc>
          <w:tcPr>
            <w:tcW w:type="dxa" w:w="2520"/>
          </w:tcPr>
          <w:p>
            <w:r>
              <w:t>UT-08</w:t>
            </w:r>
          </w:p>
        </w:tc>
        <w:tc>
          <w:tcPr>
            <w:tcW w:type="dxa" w:w="2520"/>
          </w:tcPr>
          <w:p>
            <w:r>
              <w:t>A–Z/Z–A sorting</w:t>
            </w:r>
          </w:p>
        </w:tc>
        <w:tc>
          <w:tcPr>
            <w:tcW w:type="dxa" w:w="2520"/>
          </w:tcPr>
          <w:p>
            <w:r>
              <w:t>Unit/E2E</w:t>
            </w:r>
          </w:p>
        </w:tc>
        <w:tc>
          <w:tcPr>
            <w:tcW w:type="dxa" w:w="2520"/>
          </w:tcPr>
          <w:p>
            <w:r>
              <w:t>PASS</w:t>
            </w:r>
          </w:p>
        </w:tc>
      </w:tr>
      <w:tr>
        <w:tc>
          <w:tcPr>
            <w:tcW w:type="dxa" w:w="2520"/>
          </w:tcPr>
          <w:p>
            <w:r>
              <w:t>UT-09</w:t>
            </w:r>
          </w:p>
        </w:tc>
        <w:tc>
          <w:tcPr>
            <w:tcW w:type="dxa" w:w="2520"/>
          </w:tcPr>
          <w:p>
            <w:r>
              <w:t>Advanced multi-criteria search</w:t>
            </w:r>
          </w:p>
        </w:tc>
        <w:tc>
          <w:tcPr>
            <w:tcW w:type="dxa" w:w="2520"/>
          </w:tcPr>
          <w:p>
            <w:r>
              <w:t>Unit</w:t>
            </w:r>
          </w:p>
        </w:tc>
        <w:tc>
          <w:tcPr>
            <w:tcW w:type="dxa" w:w="2520"/>
          </w:tcPr>
          <w:p>
            <w:r>
              <w:t>PASS</w:t>
            </w:r>
          </w:p>
        </w:tc>
      </w:tr>
      <w:tr>
        <w:tc>
          <w:tcPr>
            <w:tcW w:type="dxa" w:w="2520"/>
          </w:tcPr>
          <w:p>
            <w:r>
              <w:t>UT-10</w:t>
            </w:r>
          </w:p>
        </w:tc>
        <w:tc>
          <w:tcPr>
            <w:tcW w:type="dxa" w:w="2520"/>
          </w:tcPr>
          <w:p>
            <w:r>
              <w:t>In-memory search list/reset</w:t>
            </w:r>
          </w:p>
        </w:tc>
        <w:tc>
          <w:tcPr>
            <w:tcW w:type="dxa" w:w="2520"/>
          </w:tcPr>
          <w:p>
            <w:r>
              <w:t>Unit</w:t>
            </w:r>
          </w:p>
        </w:tc>
        <w:tc>
          <w:tcPr>
            <w:tcW w:type="dxa" w:w="2520"/>
          </w:tcPr>
          <w:p>
            <w:r>
              <w:t>PASS</w:t>
            </w:r>
          </w:p>
        </w:tc>
      </w:tr>
      <w:tr>
        <w:tc>
          <w:tcPr>
            <w:tcW w:type="dxa" w:w="2520"/>
          </w:tcPr>
          <w:p>
            <w:r>
              <w:t>UT-11</w:t>
            </w:r>
          </w:p>
        </w:tc>
        <w:tc>
          <w:tcPr>
            <w:tcW w:type="dxa" w:w="2520"/>
          </w:tcPr>
          <w:p>
            <w:r>
              <w:t>&gt;100 threshold notification</w:t>
            </w:r>
          </w:p>
        </w:tc>
        <w:tc>
          <w:tcPr>
            <w:tcW w:type="dxa" w:w="2520"/>
          </w:tcPr>
          <w:p>
            <w:r>
              <w:t>Unit/Acceptance</w:t>
            </w:r>
          </w:p>
        </w:tc>
        <w:tc>
          <w:tcPr>
            <w:tcW w:type="dxa" w:w="2520"/>
          </w:tcPr>
          <w:p>
            <w:r>
              <w:t>PASS</w:t>
            </w:r>
          </w:p>
        </w:tc>
      </w:tr>
      <w:tr>
        <w:tc>
          <w:tcPr>
            <w:tcW w:type="dxa" w:w="2520"/>
          </w:tcPr>
          <w:p>
            <w:r>
              <w:t>IT-01</w:t>
            </w:r>
          </w:p>
        </w:tc>
        <w:tc>
          <w:tcPr>
            <w:tcW w:type="dxa" w:w="2520"/>
          </w:tcPr>
          <w:p>
            <w:r>
              <w:t>CSV → service → favourite flow</w:t>
            </w:r>
          </w:p>
        </w:tc>
        <w:tc>
          <w:tcPr>
            <w:tcW w:type="dxa" w:w="2520"/>
          </w:tcPr>
          <w:p>
            <w:r>
              <w:t>Integration</w:t>
            </w:r>
          </w:p>
        </w:tc>
        <w:tc>
          <w:tcPr>
            <w:tcW w:type="dxa" w:w="2520"/>
          </w:tcPr>
          <w:p>
            <w:r>
              <w:t>PASS</w:t>
            </w:r>
          </w:p>
        </w:tc>
      </w:tr>
      <w:tr>
        <w:tc>
          <w:tcPr>
            <w:tcW w:type="dxa" w:w="2520"/>
          </w:tcPr>
          <w:p>
            <w:r>
              <w:t>IT-02</w:t>
            </w:r>
          </w:p>
        </w:tc>
        <w:tc>
          <w:tcPr>
            <w:tcW w:type="dxa" w:w="2520"/>
          </w:tcPr>
          <w:p>
            <w:r>
              <w:t>All five official views</w:t>
            </w:r>
          </w:p>
        </w:tc>
        <w:tc>
          <w:tcPr>
            <w:tcW w:type="dxa" w:w="2520"/>
          </w:tcPr>
          <w:p>
            <w:r>
              <w:t>Integration</w:t>
            </w:r>
          </w:p>
        </w:tc>
        <w:tc>
          <w:tcPr>
            <w:tcW w:type="dxa" w:w="2520"/>
          </w:tcPr>
          <w:p>
            <w:r>
              <w:t>PASS</w:t>
            </w:r>
          </w:p>
        </w:tc>
      </w:tr>
      <w:tr>
        <w:tc>
          <w:tcPr>
            <w:tcW w:type="dxa" w:w="2520"/>
          </w:tcPr>
          <w:p>
            <w:r>
              <w:t>IT-03</w:t>
            </w:r>
          </w:p>
        </w:tc>
        <w:tc>
          <w:tcPr>
            <w:tcW w:type="dxa" w:w="2520"/>
          </w:tcPr>
          <w:p>
            <w:r>
              <w:t>Real names dataset scale/schema</w:t>
            </w:r>
          </w:p>
        </w:tc>
        <w:tc>
          <w:tcPr>
            <w:tcW w:type="dxa" w:w="2520"/>
          </w:tcPr>
          <w:p>
            <w:r>
              <w:t>Integration</w:t>
            </w:r>
          </w:p>
        </w:tc>
        <w:tc>
          <w:tcPr>
            <w:tcW w:type="dxa" w:w="2520"/>
          </w:tcPr>
          <w:p>
            <w:r>
              <w:t>PASS</w:t>
            </w:r>
          </w:p>
        </w:tc>
      </w:tr>
      <w:tr>
        <w:tc>
          <w:tcPr>
            <w:tcW w:type="dxa" w:w="2520"/>
          </w:tcPr>
          <w:p>
            <w:r>
              <w:t>E2E-01</w:t>
            </w:r>
          </w:p>
        </w:tc>
        <w:tc>
          <w:tcPr>
            <w:tcW w:type="dxa" w:w="2520"/>
          </w:tcPr>
          <w:p>
            <w:r>
              <w:t>CLI no-result message</w:t>
            </w:r>
          </w:p>
        </w:tc>
        <w:tc>
          <w:tcPr>
            <w:tcW w:type="dxa" w:w="2520"/>
          </w:tcPr>
          <w:p>
            <w:r>
              <w:t>E2E</w:t>
            </w:r>
          </w:p>
        </w:tc>
        <w:tc>
          <w:tcPr>
            <w:tcW w:type="dxa" w:w="2520"/>
          </w:tcPr>
          <w:p>
            <w:r>
              <w:t>PASS</w:t>
            </w:r>
          </w:p>
        </w:tc>
      </w:tr>
      <w:tr>
        <w:tc>
          <w:tcPr>
            <w:tcW w:type="dxa" w:w="2520"/>
          </w:tcPr>
          <w:p>
            <w:r>
              <w:t>E2E-02</w:t>
            </w:r>
          </w:p>
        </w:tc>
        <w:tc>
          <w:tcPr>
            <w:tcW w:type="dxa" w:w="2520"/>
          </w:tcPr>
          <w:p>
            <w:r>
              <w:t>CLI result display</w:t>
            </w:r>
          </w:p>
        </w:tc>
        <w:tc>
          <w:tcPr>
            <w:tcW w:type="dxa" w:w="2520"/>
          </w:tcPr>
          <w:p>
            <w:r>
              <w:t>E2E</w:t>
            </w:r>
          </w:p>
        </w:tc>
        <w:tc>
          <w:tcPr>
            <w:tcW w:type="dxa" w:w="2520"/>
          </w:tcPr>
          <w:p>
            <w:r>
              <w:t>PASS</w:t>
            </w:r>
          </w:p>
        </w:tc>
      </w:tr>
      <w:tr>
        <w:tc>
          <w:tcPr>
            <w:tcW w:type="dxa" w:w="2520"/>
          </w:tcPr>
          <w:p>
            <w:r>
              <w:t>E2E-03</w:t>
            </w:r>
          </w:p>
        </w:tc>
        <w:tc>
          <w:tcPr>
            <w:tcW w:type="dxa" w:w="2520"/>
          </w:tcPr>
          <w:p>
            <w:r>
              <w:t>CLI descending order</w:t>
            </w:r>
          </w:p>
        </w:tc>
        <w:tc>
          <w:tcPr>
            <w:tcW w:type="dxa" w:w="2520"/>
          </w:tcPr>
          <w:p>
            <w:r>
              <w:t>E2E</w:t>
            </w:r>
          </w:p>
        </w:tc>
        <w:tc>
          <w:tcPr>
            <w:tcW w:type="dxa" w:w="2520"/>
          </w:tcPr>
          <w:p>
            <w:r>
              <w:t>PASS</w:t>
            </w:r>
          </w:p>
        </w:tc>
      </w:tr>
    </w:tbl>
    <w:p>
      <w:pPr>
        <w:pStyle w:val="Heading1"/>
      </w:pPr>
      <w:r>
        <w:t>5. Real-data acceptance evidence</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tcPr>
          <w:p>
            <w:r>
              <w:rPr>
                <w:b/>
              </w:rPr>
              <w:t>View</w:t>
            </w:r>
          </w:p>
        </w:tc>
        <w:tc>
          <w:tcPr>
            <w:tcW w:type="dxa" w:w="2520"/>
            <w:vAlign w:val="center"/>
          </w:tcPr>
          <w:p>
            <w:r>
              <w:rPr>
                <w:b/>
              </w:rPr>
              <w:t>Observed rows</w:t>
            </w:r>
          </w:p>
        </w:tc>
        <w:tc>
          <w:tcPr>
            <w:tcW w:type="dxa" w:w="2520"/>
            <w:vAlign w:val="center"/>
          </w:tcPr>
          <w:p>
            <w:r>
              <w:rPr>
                <w:b/>
              </w:rPr>
              <w:t>Expected rows</w:t>
            </w:r>
          </w:p>
        </w:tc>
        <w:tc>
          <w:tcPr>
            <w:tcW w:type="dxa" w:w="2520"/>
            <w:vAlign w:val="center"/>
          </w:tcPr>
          <w:p>
            <w:r>
              <w:rPr>
                <w:b/>
              </w:rPr>
              <w:t>Status</w:t>
            </w:r>
          </w:p>
        </w:tc>
      </w:tr>
      <w:tr>
        <w:tc>
          <w:tcPr>
            <w:tcW w:type="dxa" w:w="2520"/>
          </w:tcPr>
          <w:p>
            <w:r>
              <w:t>records.csv</w:t>
            </w:r>
          </w:p>
        </w:tc>
        <w:tc>
          <w:tcPr>
            <w:tcW w:type="dxa" w:w="2520"/>
          </w:tcPr>
          <w:p>
            <w:r>
              <w:t>57746</w:t>
            </w:r>
          </w:p>
        </w:tc>
        <w:tc>
          <w:tcPr>
            <w:tcW w:type="dxa" w:w="2520"/>
          </w:tcPr>
          <w:p>
            <w:r>
              <w:t>57746</w:t>
            </w:r>
          </w:p>
        </w:tc>
        <w:tc>
          <w:tcPr>
            <w:tcW w:type="dxa" w:w="2520"/>
          </w:tcPr>
          <w:p>
            <w:r>
              <w:t>PASS</w:t>
            </w:r>
          </w:p>
        </w:tc>
      </w:tr>
      <w:tr>
        <w:tc>
          <w:tcPr>
            <w:tcW w:type="dxa" w:w="2520"/>
          </w:tcPr>
          <w:p>
            <w:r>
              <w:t>names.csv</w:t>
            </w:r>
          </w:p>
        </w:tc>
        <w:tc>
          <w:tcPr>
            <w:tcW w:type="dxa" w:w="2520"/>
          </w:tcPr>
          <w:p>
            <w:r>
              <w:t>117873</w:t>
            </w:r>
          </w:p>
        </w:tc>
        <w:tc>
          <w:tcPr>
            <w:tcW w:type="dxa" w:w="2520"/>
          </w:tcPr>
          <w:p>
            <w:r>
              <w:t>117873</w:t>
            </w:r>
          </w:p>
        </w:tc>
        <w:tc>
          <w:tcPr>
            <w:tcW w:type="dxa" w:w="2520"/>
          </w:tcPr>
          <w:p>
            <w:r>
              <w:t>PASS</w:t>
            </w:r>
          </w:p>
        </w:tc>
      </w:tr>
      <w:tr>
        <w:tc>
          <w:tcPr>
            <w:tcW w:type="dxa" w:w="2520"/>
          </w:tcPr>
          <w:p>
            <w:r>
              <w:t>titles.csv</w:t>
            </w:r>
          </w:p>
        </w:tc>
        <w:tc>
          <w:tcPr>
            <w:tcW w:type="dxa" w:w="2520"/>
          </w:tcPr>
          <w:p>
            <w:r>
              <w:t>77280</w:t>
            </w:r>
          </w:p>
        </w:tc>
        <w:tc>
          <w:tcPr>
            <w:tcW w:type="dxa" w:w="2520"/>
          </w:tcPr>
          <w:p>
            <w:r>
              <w:t>77280</w:t>
            </w:r>
          </w:p>
        </w:tc>
        <w:tc>
          <w:tcPr>
            <w:tcW w:type="dxa" w:w="2520"/>
          </w:tcPr>
          <w:p>
            <w:r>
              <w:t>PASS</w:t>
            </w:r>
          </w:p>
        </w:tc>
      </w:tr>
      <w:tr>
        <w:tc>
          <w:tcPr>
            <w:tcW w:type="dxa" w:w="2520"/>
          </w:tcPr>
          <w:p>
            <w:r>
              <w:t>topics.csv</w:t>
            </w:r>
          </w:p>
        </w:tc>
        <w:tc>
          <w:tcPr>
            <w:tcW w:type="dxa" w:w="2520"/>
          </w:tcPr>
          <w:p>
            <w:r>
              <w:t>77919</w:t>
            </w:r>
          </w:p>
        </w:tc>
        <w:tc>
          <w:tcPr>
            <w:tcW w:type="dxa" w:w="2520"/>
          </w:tcPr>
          <w:p>
            <w:r>
              <w:t>77919</w:t>
            </w:r>
          </w:p>
        </w:tc>
        <w:tc>
          <w:tcPr>
            <w:tcW w:type="dxa" w:w="2520"/>
          </w:tcPr>
          <w:p>
            <w:r>
              <w:t>PASS</w:t>
            </w:r>
          </w:p>
        </w:tc>
      </w:tr>
      <w:tr>
        <w:tc>
          <w:tcPr>
            <w:tcW w:type="dxa" w:w="2520"/>
          </w:tcPr>
          <w:p>
            <w:r>
              <w:t>classification.csv</w:t>
            </w:r>
          </w:p>
        </w:tc>
        <w:tc>
          <w:tcPr>
            <w:tcW w:type="dxa" w:w="2520"/>
          </w:tcPr>
          <w:p>
            <w:r>
              <w:t>57844</w:t>
            </w:r>
          </w:p>
        </w:tc>
        <w:tc>
          <w:tcPr>
            <w:tcW w:type="dxa" w:w="2520"/>
          </w:tcPr>
          <w:p>
            <w:r>
              <w:t>57844</w:t>
            </w:r>
          </w:p>
        </w:tc>
        <w:tc>
          <w:tcPr>
            <w:tcW w:type="dxa" w:w="2520"/>
          </w:tcPr>
          <w:p>
            <w:r>
              <w:t>PASS</w:t>
            </w:r>
          </w:p>
        </w:tc>
      </w:tr>
    </w:tbl>
    <w:p>
      <w:r>
        <w:t>The real names view contains 117,873 raw rows and 54,147 unique BL record IDs. The exact genre acceptance counts are Fantasy 4,793, Horror 1,929 and Science Fiction 9,356. The acceptance report also records a real author query, Unicode title, missing ISBN, multi-value genre, both sort directions and the &gt;100 threshold.</w:t>
      </w:r>
    </w:p>
    <w:p>
      <w:r>
        <w:t>The threshold test deliberately runs the first real dataset Comic through 101 matching search inclusions. The recorded result is 101 inclusions and a triggered notification. This deterministic check is stronger than relying on an uncontrolled demonstration session to happen to cross the threshold.</w:t>
      </w:r>
    </w:p>
    <w:p>
      <w:pPr>
        <w:pStyle w:val="Heading1"/>
      </w:pPr>
      <w:r>
        <w:t>6. Final test results and reporting</w:t>
      </w:r>
    </w:p>
    <w:p>
      <w:r>
        <w:t>The current automated suite contains 33 passing tests. `reports/final_acceptance_report.json` is the machine-readable acceptance record and `reports/real_dataset_analysis.json` contains the five-view schema/scale analysis. The test suite intentionally includes both synthetic fixtures and the real package: synthetic fixtures isolate edge cases such as an editor-versus-author collision, while the real acceptance run validates the dataset-specific assumptions.</w:t>
      </w:r>
    </w:p>
    <w:p>
      <w:r>
        <w:t>The main benefits of this approach are repeatability, rapid regression feedback, deterministic edge-case coverage and safer refactoring. The drawbacks are test authoring and maintenance cost, longer execution time as the suite grows, and the possibility of false confidence if tests contain weak assertions. A unit test can pass while a real CSV schema is wrong; an end-to-end test can catch the wiring issue but be more expensive. The layered strategy balances these risks.</w:t>
      </w:r>
    </w:p>
    <w:p>
      <w:pPr>
        <w:pStyle w:val="Heading1"/>
      </w:pPr>
      <w:r>
        <w:t>7. Failure analysis and reproducibility</w:t>
      </w:r>
    </w:p>
    <w:p>
      <w:r>
        <w:t>The project also treats failures as evidence rather than as reasons to skip a requirement. During the final refinement, making author search role-aware initially caused three existing tests to fail because their synthetic fixtures supplied a name but no role. The failure was reproduced, traced to a mismatch between the old fixture assumption and the refined domain rule, and fixed by making the fixtures explicitly model an author role. A separate command used for a diagnostic import failed because the project package was not on PYTHONPATH; the environment issue was reproduced and corrected by using the project-supported PYTHONPATH configuration. A syntax error in the acceptance script was similarly caught by preflight compilation, corrected, compiled again and only then executed. These incidents demonstrate the intended workflow: stop on failure, reproduce it, identify the root cause, fix the underlying issue, preflight and rerun.</w:t>
      </w:r>
    </w:p>
    <w:p>
      <w:pPr>
        <w:pStyle w:val="Heading1"/>
      </w:pPr>
      <w:r>
        <w:t>8. Developer-produced versus vendor/framework testing</w:t>
      </w:r>
    </w:p>
    <w:p>
      <w:r>
        <w:t>Developer-produced assertions are necessary because only the project knows what constitutes a correct FBZ result. pytest supplies mature discovery, fixtures and assertion reporting, but it cannot decide whether an editor should count as an author or whether the five official CSV row counts are correct. Commercial tools such as TestComplete or Katalon can be valuable for browser, desktop and cross-platform functional automation, especially where non-programmers need record/playback or enterprise reporting. Their additional features can also introduce licence, setup and maintenance costs. For this CLI application, a lightweight open-source framework is more proportionate because the critical risks are data processing and business logic.</w:t>
      </w:r>
    </w:p>
    <w:p>
      <w:pPr>
        <w:pStyle w:val="Heading1"/>
      </w:pPr>
      <w:r>
        <w:t>9. Suitability of automation by application type</w:t>
      </w:r>
    </w:p>
    <w:p>
      <w:r>
        <w:t>Automation is most valuable when a test is repeatable, data-heavy, high-risk or executed across many builds. FBZ satisfies all four conditions: CSV parsing is repeated, searches operate over tens of thousands of records, edge cases such as leading-zero IDs are easy to regress, and the same acceptance checks can be rerun after refactoring. In contrast, visual design, exploratory usability and ambiguous user experience questions are better complemented by manual review. This distinction prevents the common mistake of treating automated testing as a replacement for every other testing activity.</w:t>
      </w:r>
    </w:p>
    <w:p>
      <w:pPr>
        <w:pStyle w:val="Heading1"/>
      </w:pPr>
      <w:r>
        <w:t>References</w:t>
      </w:r>
    </w:p>
    <w:p>
      <w:r>
        <w:t>Fowler, M. (2012) Test Pyramid. Martin Fowler, 1 May. Available at: https://martinfowler.com/bliki/TestPyramid.html (Accessed: 28 August 2026).</w:t>
      </w:r>
    </w:p>
    <w:p>
      <w:r>
        <w:t>Katalon (2022) Software Test Automation Frameworks | 6 Common Types. 28 November. Available at: https://medium.com/@katalon/test-automation-framework-e4e6cc09ea6d (Accessed: 28 August 2026).</w:t>
      </w:r>
    </w:p>
    <w:p>
      <w:r>
        <w:t>pytest (n.d.) About fixtures. Available at: https://docs.pytest.org/en/latest/explanation/fixtures.html (Accessed: 28 August 2026).</w:t>
      </w:r>
    </w:p>
    <w:p>
      <w:r>
        <w:t>SmartBear (n.d.) Test Automation Frameworks. Available at: https://smartbear.com/learn/automated-testing/test-automation-frameworks/ (Accessed: 28 August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