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Unit 20 — Applied Programming and Design Principles</w:t>
      </w:r>
    </w:p>
    <w:p>
      <w:pPr>
        <w:pStyle w:val="Title"/>
        <w:jc w:val="center"/>
      </w:pPr>
      <w:r>
        <w:t>Design and Programming Report</w:t>
      </w:r>
    </w:p>
    <w:p>
      <w:pPr>
        <w:jc w:val="center"/>
      </w:pPr>
      <w:r>
        <w:rPr>
          <w:i/>
          <w:sz w:val="24"/>
        </w:rPr>
        <w:t>Fantasy Bazaar (FBZ) Comics Unmasked Dataset Processing Application</w:t>
      </w:r>
    </w:p>
    <w:tbl>
      <w:tblPr>
        <w:tblStyle w:val="TableGrid"/>
        <w:tblW w:type="auto" w:w="0"/>
        <w:tblLook w:firstColumn="1" w:firstRow="1" w:lastColumn="0" w:lastRow="0" w:noHBand="0" w:noVBand="1" w:val="04A0"/>
      </w:tblPr>
      <w:tblGrid>
        <w:gridCol w:w="5040"/>
        <w:gridCol w:w="5040"/>
      </w:tblGrid>
      <w:tr>
        <w:tc>
          <w:tcPr>
            <w:tcW w:type="dxa" w:w="5040"/>
          </w:tcPr>
          <w:p>
            <w:r>
              <w:rPr>
                <w:b/>
              </w:rPr>
              <w:t>Student Name / ID</w:t>
            </w:r>
          </w:p>
        </w:tc>
        <w:tc>
          <w:tcPr>
            <w:tcW w:type="dxa" w:w="5040"/>
          </w:tcPr>
          <w:p>
            <w:r>
              <w:t>____________________________</w:t>
            </w:r>
          </w:p>
        </w:tc>
      </w:tr>
      <w:tr>
        <w:tc>
          <w:tcPr>
            <w:tcW w:type="dxa" w:w="5040"/>
          </w:tcPr>
          <w:p>
            <w:r>
              <w:rPr>
                <w:b/>
              </w:rPr>
              <w:t>Academic Year</w:t>
            </w:r>
          </w:p>
        </w:tc>
        <w:tc>
          <w:tcPr>
            <w:tcW w:type="dxa" w:w="5040"/>
          </w:tcPr>
          <w:p>
            <w:r>
              <w:t>2025/26</w:t>
            </w:r>
          </w:p>
        </w:tc>
      </w:tr>
      <w:tr>
        <w:tc>
          <w:tcPr>
            <w:tcW w:type="dxa" w:w="5040"/>
          </w:tcPr>
          <w:p>
            <w:r>
              <w:rPr>
                <w:b/>
              </w:rPr>
              <w:t>Unit</w:t>
            </w:r>
          </w:p>
        </w:tc>
        <w:tc>
          <w:tcPr>
            <w:tcW w:type="dxa" w:w="5040"/>
          </w:tcPr>
          <w:p>
            <w:r>
              <w:t>Unit 20 — Applied Programming and Design Principles</w:t>
            </w:r>
          </w:p>
        </w:tc>
      </w:tr>
      <w:tr>
        <w:tc>
          <w:tcPr>
            <w:tcW w:type="dxa" w:w="5040"/>
          </w:tcPr>
          <w:p>
            <w:r>
              <w:rPr>
                <w:b/>
              </w:rPr>
              <w:t>Assignment</w:t>
            </w:r>
          </w:p>
        </w:tc>
        <w:tc>
          <w:tcPr>
            <w:tcW w:type="dxa" w:w="5040"/>
          </w:tcPr>
          <w:p>
            <w:r>
              <w:t>Implementation of a Dataset Processing Application using SOLID Design Principles</w:t>
            </w:r>
          </w:p>
        </w:tc>
      </w:tr>
      <w:tr>
        <w:tc>
          <w:tcPr>
            <w:tcW w:type="dxa" w:w="5040"/>
          </w:tcPr>
          <w:p>
            <w:r>
              <w:rPr>
                <w:b/>
              </w:rPr>
              <w:t>Submission Date</w:t>
            </w:r>
          </w:p>
        </w:tc>
        <w:tc>
          <w:tcPr>
            <w:tcW w:type="dxa" w:w="5040"/>
          </w:tcPr>
          <w:p>
            <w:r>
              <w:t>28 August 2026</w:t>
            </w:r>
          </w:p>
        </w:tc>
      </w:tr>
    </w:tbl>
    <w:p>
      <w:r>
        <w:br w:type="page"/>
      </w:r>
    </w:p>
    <w:p>
      <w:pPr>
        <w:pStyle w:val="Heading1"/>
      </w:pPr>
      <w:r>
        <w:t>1. Scenario, scope and requirements</w:t>
      </w:r>
    </w:p>
    <w:p>
      <w:r>
        <w:t>The assignment scenario describes Fantasy Bazaar (FBZ), a local comic-book shop needing a data-processing application around British Library Comics Unmasked metadata. The brief evaluates OOP/SOLID, clean coding, design patterns and automated testing. Functionally, the dataset is loaded into memory; users browse the three required genres, group by author or publication year, sort titles both ways, search titles, handle special characters, repeated values, missing entries and multiple title rows, save an in-memory search list, perform advanced searches, and report popular searches/results. The testing scenario additionally requires evidence from automated methods and comparison of developer-produced and vendor/framework-supported tooling.</w:t>
      </w:r>
    </w:p>
    <w:p>
      <w:r>
        <w:t>The implementation follows those requirements through a layered Python application. Presentation is kept in the CLI, application services coordinate use cases, domain classes represent catalogue concepts, repositories isolate data access, and Strategy/Factory objects isolate interchangeable search algorithms. This separation makes the design criteria visible in the implementation rather than describing SOLID only in the written report (British Library, n.d.; Chebanyuk and Markov, 2016).</w:t>
      </w:r>
    </w:p>
    <w:p>
      <w:pPr>
        <w:pStyle w:val="Heading1"/>
      </w:pPr>
      <w:r>
        <w:t>2. Real dataset acquisition, structure and validation</w:t>
      </w:r>
    </w:p>
    <w:p>
      <w:r>
        <w:t>The project uses the actual 2022 Comics Unmasked Researcher Format package referenced by the supplied brief. The historical direct British Library download route was no longer available, so the exact archive was recovered from the archived source route and retained under `data/raw/ComicsResearcherFormat_202204_csv.zip`. The five extracted CSV views are preserved under `data/raw/extracted/`. The current British Library collection metadata service confirms that Researcher Format CSV datasets are now made available through the British Library Research Repository (British Library, n.d.). The raw files are therefore treated as source evidence, not regenerated synthetic fixtures.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vAlign w:val="center"/>
          </w:tcPr>
          <w:p>
            <w:r>
              <w:rPr>
                <w:b/>
              </w:rPr>
              <w:t>CSV view</w:t>
            </w:r>
          </w:p>
        </w:tc>
        <w:tc>
          <w:tcPr>
            <w:tcW w:type="dxa" w:w="2016"/>
            <w:vAlign w:val="center"/>
          </w:tcPr>
          <w:p>
            <w:r>
              <w:rPr>
                <w:b/>
              </w:rPr>
              <w:t>Rows</w:t>
            </w:r>
          </w:p>
        </w:tc>
        <w:tc>
          <w:tcPr>
            <w:tcW w:type="dxa" w:w="2016"/>
            <w:vAlign w:val="center"/>
          </w:tcPr>
          <w:p>
            <w:r>
              <w:rPr>
                <w:b/>
              </w:rPr>
              <w:t>Columns</w:t>
            </w:r>
          </w:p>
        </w:tc>
        <w:tc>
          <w:tcPr>
            <w:tcW w:type="dxa" w:w="2016"/>
            <w:vAlign w:val="center"/>
          </w:tcPr>
          <w:p>
            <w:r>
              <w:rPr>
                <w:b/>
              </w:rPr>
              <w:t>Leading-zero IDs</w:t>
            </w:r>
          </w:p>
        </w:tc>
        <w:tc>
          <w:tcPr>
            <w:tcW w:type="dxa" w:w="2016"/>
            <w:vAlign w:val="center"/>
          </w:tcPr>
          <w:p>
            <w:r>
              <w:rPr>
                <w:b/>
              </w:rPr>
              <w:t>Acceptance</w:t>
            </w:r>
          </w:p>
        </w:tc>
      </w:tr>
      <w:tr>
        <w:tc>
          <w:tcPr>
            <w:tcW w:type="dxa" w:w="2016"/>
          </w:tcPr>
          <w:p>
            <w:r>
              <w:t>records.csv</w:t>
            </w:r>
          </w:p>
        </w:tc>
        <w:tc>
          <w:tcPr>
            <w:tcW w:type="dxa" w:w="2016"/>
          </w:tcPr>
          <w:p>
            <w:r>
              <w:t>57746</w:t>
            </w:r>
          </w:p>
        </w:tc>
        <w:tc>
          <w:tcPr>
            <w:tcW w:type="dxa" w:w="2016"/>
          </w:tcPr>
          <w:p>
            <w:r>
              <w:t>27</w:t>
            </w:r>
          </w:p>
        </w:tc>
        <w:tc>
          <w:tcPr>
            <w:tcW w:type="dxa" w:w="2016"/>
          </w:tcPr>
          <w:p>
            <w:r>
              <w:t>57746</w:t>
            </w:r>
          </w:p>
        </w:tc>
        <w:tc>
          <w:tcPr>
            <w:tcW w:type="dxa" w:w="2016"/>
          </w:tcPr>
          <w:p>
            <w:r>
              <w:t>PASS</w:t>
            </w:r>
          </w:p>
        </w:tc>
      </w:tr>
      <w:tr>
        <w:tc>
          <w:tcPr>
            <w:tcW w:type="dxa" w:w="2016"/>
          </w:tcPr>
          <w:p>
            <w:r>
              <w:t>names.csv</w:t>
            </w:r>
          </w:p>
        </w:tc>
        <w:tc>
          <w:tcPr>
            <w:tcW w:type="dxa" w:w="2016"/>
          </w:tcPr>
          <w:p>
            <w:r>
              <w:t>117873</w:t>
            </w:r>
          </w:p>
        </w:tc>
        <w:tc>
          <w:tcPr>
            <w:tcW w:type="dxa" w:w="2016"/>
          </w:tcPr>
          <w:p>
            <w:r>
              <w:t>27</w:t>
            </w:r>
          </w:p>
        </w:tc>
        <w:tc>
          <w:tcPr>
            <w:tcW w:type="dxa" w:w="2016"/>
          </w:tcPr>
          <w:p>
            <w:r>
              <w:t>117873</w:t>
            </w:r>
          </w:p>
        </w:tc>
        <w:tc>
          <w:tcPr>
            <w:tcW w:type="dxa" w:w="2016"/>
          </w:tcPr>
          <w:p>
            <w:r>
              <w:t>PASS</w:t>
            </w:r>
          </w:p>
        </w:tc>
      </w:tr>
      <w:tr>
        <w:tc>
          <w:tcPr>
            <w:tcW w:type="dxa" w:w="2016"/>
          </w:tcPr>
          <w:p>
            <w:r>
              <w:t>titles.csv</w:t>
            </w:r>
          </w:p>
        </w:tc>
        <w:tc>
          <w:tcPr>
            <w:tcW w:type="dxa" w:w="2016"/>
          </w:tcPr>
          <w:p>
            <w:r>
              <w:t>77280</w:t>
            </w:r>
          </w:p>
        </w:tc>
        <w:tc>
          <w:tcPr>
            <w:tcW w:type="dxa" w:w="2016"/>
          </w:tcPr>
          <w:p>
            <w:r>
              <w:t>27</w:t>
            </w:r>
          </w:p>
        </w:tc>
        <w:tc>
          <w:tcPr>
            <w:tcW w:type="dxa" w:w="2016"/>
          </w:tcPr>
          <w:p>
            <w:r>
              <w:t>77280</w:t>
            </w:r>
          </w:p>
        </w:tc>
        <w:tc>
          <w:tcPr>
            <w:tcW w:type="dxa" w:w="2016"/>
          </w:tcPr>
          <w:p>
            <w:r>
              <w:t>PASS</w:t>
            </w:r>
          </w:p>
        </w:tc>
      </w:tr>
      <w:tr>
        <w:tc>
          <w:tcPr>
            <w:tcW w:type="dxa" w:w="2016"/>
          </w:tcPr>
          <w:p>
            <w:r>
              <w:t>topics.csv</w:t>
            </w:r>
          </w:p>
        </w:tc>
        <w:tc>
          <w:tcPr>
            <w:tcW w:type="dxa" w:w="2016"/>
          </w:tcPr>
          <w:p>
            <w:r>
              <w:t>77919</w:t>
            </w:r>
          </w:p>
        </w:tc>
        <w:tc>
          <w:tcPr>
            <w:tcW w:type="dxa" w:w="2016"/>
          </w:tcPr>
          <w:p>
            <w:r>
              <w:t>28</w:t>
            </w:r>
          </w:p>
        </w:tc>
        <w:tc>
          <w:tcPr>
            <w:tcW w:type="dxa" w:w="2016"/>
          </w:tcPr>
          <w:p>
            <w:r>
              <w:t>77919</w:t>
            </w:r>
          </w:p>
        </w:tc>
        <w:tc>
          <w:tcPr>
            <w:tcW w:type="dxa" w:w="2016"/>
          </w:tcPr>
          <w:p>
            <w:r>
              <w:t>PASS</w:t>
            </w:r>
          </w:p>
        </w:tc>
      </w:tr>
      <w:tr>
        <w:tc>
          <w:tcPr>
            <w:tcW w:type="dxa" w:w="2016"/>
          </w:tcPr>
          <w:p>
            <w:r>
              <w:t>classification.csv</w:t>
            </w:r>
          </w:p>
        </w:tc>
        <w:tc>
          <w:tcPr>
            <w:tcW w:type="dxa" w:w="2016"/>
          </w:tcPr>
          <w:p>
            <w:r>
              <w:t>57844</w:t>
            </w:r>
          </w:p>
        </w:tc>
        <w:tc>
          <w:tcPr>
            <w:tcW w:type="dxa" w:w="2016"/>
          </w:tcPr>
          <w:p>
            <w:r>
              <w:t>27</w:t>
            </w:r>
          </w:p>
        </w:tc>
        <w:tc>
          <w:tcPr>
            <w:tcW w:type="dxa" w:w="2016"/>
          </w:tcPr>
          <w:p>
            <w:r>
              <w:t>57844</w:t>
            </w:r>
          </w:p>
        </w:tc>
        <w:tc>
          <w:tcPr>
            <w:tcW w:type="dxa" w:w="2016"/>
          </w:tcPr>
          <w:p>
            <w:r>
              <w:t>PASS</w:t>
            </w:r>
          </w:p>
        </w:tc>
      </w:tr>
    </w:tbl>
    <w:p>
      <w:r>
        <w:t>The most important structural finding is the names view. It contains 117,873 facet rows but only 54,147 unique BL record IDs. Therefore, showing every row directly would violate the scenario requirement to present multiple title/name rows as one catalogue record. The aggregation repository collapses 63,726 repeated facet rows into 54,147 user-facing records while retaining semicolon-separated values and the original raw CSV files. This is a design decision driven by the actual data rather than by a generic architecture template.</w:t>
      </w:r>
    </w:p>
    <w:p>
      <w:r>
        <w:t>The source also contains contributor roles. A flat list of names is insufficient for an author-specific search because the same record can contain authors, artists, editors, translators and other contributors. The refined domain model introduces `Contributor(name, role)` and derives `Comic.authors()` from explicit author/writer role tokens. This means an author search cannot return a record merely because the searched person appears as an editor or illustrator.</w:t>
      </w:r>
    </w:p>
    <w:p>
      <w:pPr>
        <w:pStyle w:val="Heading1"/>
      </w:pPr>
      <w:r>
        <w:t>3. OOP characteristics and relationships</w:t>
      </w:r>
    </w:p>
    <w:p>
      <w:r>
        <w:t>Encapsulation is demonstrated by `Comic`, which owns its immutable record state and domain operations such as multi-value tokenisation and author extraction. Abstraction is represented by `ComicRepository` and `SearchStrategy`, which expose small contracts without forcing callers to know how a record is loaded or how a particular search is implemented. Polymorphism allows title, author, genre and year strategies to be used through the same `SearchStrategy.search` contract. Inheritance is purposeful rather than decorative: concrete repositories and concrete strategies are substitutable implementations of meaningful abstractions. The design also uses dependency/association relationships because services receive repository objects rather than constructing concrete storage objects themselves.</w:t>
      </w:r>
    </w:p>
    <w:p>
      <w:r>
        <w:t>Composition is visible in repository state, where an in-memory repository owns a stable tuple of `Comic` objects. Aggregation is particularly relevant to the dataset: `AggregatingComicRepository` contains records produced from multiple source rows, but the source rows themselves remain independent in the raw dataset. Khan (2023) distinguishes inheritance, association, composition and aggregation as different relationships; the FBZ model uses each only where it explains an actual relationship in the software.</w:t>
      </w:r>
    </w:p>
    <w:p>
      <w:pPr>
        <w:pStyle w:val="Heading1"/>
      </w:pPr>
      <w:r>
        <w:t>4. SOLID principles applied to FBZ</w:t>
      </w:r>
    </w:p>
    <w:tbl>
      <w:tblPr>
        <w:tblStyle w:val="TableGrid"/>
        <w:tblW w:type="auto" w:w="0"/>
        <w:tblLook w:firstColumn="1" w:firstRow="1" w:lastColumn="0" w:lastRow="0" w:noHBand="0" w:noVBand="1" w:val="04A0"/>
      </w:tblPr>
      <w:tblGrid>
        <w:gridCol w:w="3360"/>
        <w:gridCol w:w="3360"/>
        <w:gridCol w:w="3360"/>
      </w:tblGrid>
      <w:tr>
        <w:tc>
          <w:tcPr>
            <w:tcW w:type="dxa" w:w="3360"/>
            <w:vAlign w:val="center"/>
          </w:tcPr>
          <w:p>
            <w:r>
              <w:rPr>
                <w:b/>
              </w:rPr>
              <w:t>Principle</w:t>
            </w:r>
          </w:p>
        </w:tc>
        <w:tc>
          <w:tcPr>
            <w:tcW w:type="dxa" w:w="3360"/>
            <w:vAlign w:val="center"/>
          </w:tcPr>
          <w:p>
            <w:r>
              <w:rPr>
                <w:b/>
              </w:rPr>
              <w:t>FBZ implementation</w:t>
            </w:r>
          </w:p>
        </w:tc>
        <w:tc>
          <w:tcPr>
            <w:tcW w:type="dxa" w:w="3360"/>
            <w:vAlign w:val="center"/>
          </w:tcPr>
          <w:p>
            <w:r>
              <w:rPr>
                <w:b/>
              </w:rPr>
              <w:t>Benefit and trade-off</w:t>
            </w:r>
          </w:p>
        </w:tc>
      </w:tr>
      <w:tr>
        <w:tc>
          <w:tcPr>
            <w:tcW w:type="dxa" w:w="3360"/>
          </w:tcPr>
          <w:p>
            <w:r>
              <w:t>SRP</w:t>
            </w:r>
          </w:p>
        </w:tc>
        <w:tc>
          <w:tcPr>
            <w:tcW w:type="dxa" w:w="3360"/>
          </w:tcPr>
          <w:p>
            <w:r>
              <w:t>CSV parsing, aggregation, domain modelling, search, favourites and presentation are separate.</w:t>
            </w:r>
          </w:p>
        </w:tc>
        <w:tc>
          <w:tcPr>
            <w:tcW w:type="dxa" w:w="3360"/>
          </w:tcPr>
          <w:p>
            <w:r>
              <w:t>Changes remain local; more classes must be understood.</w:t>
            </w:r>
          </w:p>
        </w:tc>
      </w:tr>
      <w:tr>
        <w:tc>
          <w:tcPr>
            <w:tcW w:type="dxa" w:w="3360"/>
          </w:tcPr>
          <w:p>
            <w:r>
              <w:t>OCP</w:t>
            </w:r>
          </w:p>
        </w:tc>
        <w:tc>
          <w:tcPr>
            <w:tcW w:type="dxa" w:w="3360"/>
          </w:tcPr>
          <w:p>
            <w:r>
              <w:t>New search algorithms are added as new strategies.</w:t>
            </w:r>
          </w:p>
        </w:tc>
        <w:tc>
          <w:tcPr>
            <w:tcW w:type="dxa" w:w="3360"/>
          </w:tcPr>
          <w:p>
            <w:r>
              <w:t>Extensible search; requires a clear strategy contract.</w:t>
            </w:r>
          </w:p>
        </w:tc>
      </w:tr>
      <w:tr>
        <w:tc>
          <w:tcPr>
            <w:tcW w:type="dxa" w:w="3360"/>
          </w:tcPr>
          <w:p>
            <w:r>
              <w:t>LSP</w:t>
            </w:r>
          </w:p>
        </w:tc>
        <w:tc>
          <w:tcPr>
            <w:tcW w:type="dxa" w:w="3360"/>
          </w:tcPr>
          <w:p>
            <w:r>
              <w:t>CSV, XML and in-memory repositories fulfil `ComicRepository`; strategies fulfil `SearchStrategy`.</w:t>
            </w:r>
          </w:p>
        </w:tc>
        <w:tc>
          <w:tcPr>
            <w:tcW w:type="dxa" w:w="3360"/>
          </w:tcPr>
          <w:p>
            <w:r>
              <w:t>Substitution improves testing; contracts must remain stable.</w:t>
            </w:r>
          </w:p>
        </w:tc>
      </w:tr>
      <w:tr>
        <w:tc>
          <w:tcPr>
            <w:tcW w:type="dxa" w:w="3360"/>
          </w:tcPr>
          <w:p>
            <w:r>
              <w:t>ISP</w:t>
            </w:r>
          </w:p>
        </w:tc>
        <w:tc>
          <w:tcPr>
            <w:tcW w:type="dxa" w:w="3360"/>
          </w:tcPr>
          <w:p>
            <w:r>
              <w:t>Repository and strategy interfaces are small.</w:t>
            </w:r>
          </w:p>
        </w:tc>
        <w:tc>
          <w:tcPr>
            <w:tcW w:type="dxa" w:w="3360"/>
          </w:tcPr>
          <w:p>
            <w:r>
              <w:t>Less coupling; very small interfaces can add indirection if overused.</w:t>
            </w:r>
          </w:p>
        </w:tc>
      </w:tr>
      <w:tr>
        <w:tc>
          <w:tcPr>
            <w:tcW w:type="dxa" w:w="3360"/>
          </w:tcPr>
          <w:p>
            <w:r>
              <w:t>DIP</w:t>
            </w:r>
          </w:p>
        </w:tc>
        <w:tc>
          <w:tcPr>
            <w:tcW w:type="dxa" w:w="3360"/>
          </w:tcPr>
          <w:p>
            <w:r>
              <w:t>Services depend on `ComicRepository`, not CSV implementation.</w:t>
            </w:r>
          </w:p>
        </w:tc>
        <w:tc>
          <w:tcPr>
            <w:tcW w:type="dxa" w:w="3360"/>
          </w:tcPr>
          <w:p>
            <w:r>
              <w:t>Enables isolated tests and alternative sources; dependency injection adds setup.</w:t>
            </w:r>
          </w:p>
        </w:tc>
      </w:tr>
    </w:tbl>
    <w:p>
      <w:r>
        <w:t>Chebanyuk and Markov (2016) treat SOLID as structural design principles. In FBZ, the strongest practical effect is change isolation: new search algorithms and repository implementations can be supplied without rewriting existing services. The cost is abstraction overhead; a tiny one-off script could be shorter. FBZ has multiple search behaviours, source views, an XML extension point and testing requirements, so the added structure is justified.</w:t>
      </w:r>
    </w:p>
    <w:p>
      <w:pPr>
        <w:pStyle w:val="Heading1"/>
      </w:pPr>
      <w:r>
        <w:t>5. Clean coding, data structures and algorithms</w:t>
      </w:r>
    </w:p>
    <w:p>
      <w:r>
        <w:t>The implementation follows clean-code practices through explicit names, type hints, immutable dataclasses, small focused methods, early validation, clear exceptions and separation of input/output from business logic. Mark (2023) emphasises readability, maintainability, meaningful naming and focused functions, while Cocca (2023) connects clean code with effectiveness, efficiency, simplicity, modularisation and algorithmic complexity. These ideas are visible in the project rather than merely listed: CSV parsing is isolated, aggregation is a repository concern, search algorithms are independent strategies, and the CLI contains interaction logic rather than business rules.</w:t>
      </w:r>
    </w:p>
    <w:p>
      <w:r>
        <w:t>The main data structure is a tuple-backed in-memory sequence of immutable `Comic` objects. Linear filtering and simple search are O(n) because the application scans the loaded sequence. Alphabetical sorting is O(n log n) using Python’s stable sort. Frequency summaries use dictionary/Counter-style counting with O(n) expected aggregation over the observed tokens. Grouping uses dictionaries of lists, allowing one record to appear under multiple relevant authors or publication years. The design intentionally chooses clarity and deterministic behaviour over premature indexing. For a much larger or frequently changing collection, an indexed database or inverted search structure would reduce repeated linear scans.</w:t>
      </w:r>
    </w:p>
    <w:p>
      <w:r>
        <w:t>Clean coding directly affects algorithmic correctness. A monolithic function that parsed CSV, merged rows, searched, sorted and printed results would mix concerns and make complexity difficult to verify. The final pipeline is explicit: parse → map to domain objects → aggregate when required → apply a focused search/filter → sort → present. Each stage has a narrow contract and can be tested independently. This is the practical connection between clean coding and the brief’s requirement to explain how coding techniques affect data structures and algorithms.</w:t>
      </w:r>
    </w:p>
    <w:p>
      <w:pPr>
        <w:pStyle w:val="Heading1"/>
      </w:pPr>
      <w:r>
        <w:t>6. Design patterns and refinement</w:t>
      </w:r>
    </w:p>
    <w:tbl>
      <w:tblPr>
        <w:tblStyle w:val="TableGrid"/>
        <w:tblW w:type="auto" w:w="0"/>
        <w:tblLook w:firstColumn="1" w:firstRow="1" w:lastColumn="0" w:lastRow="0" w:noHBand="0" w:noVBand="1" w:val="04A0"/>
      </w:tblPr>
      <w:tblGrid>
        <w:gridCol w:w="3360"/>
        <w:gridCol w:w="3360"/>
        <w:gridCol w:w="3360"/>
      </w:tblGrid>
      <w:tr>
        <w:tc>
          <w:tcPr>
            <w:tcW w:type="dxa" w:w="3360"/>
            <w:vAlign w:val="center"/>
          </w:tcPr>
          <w:p>
            <w:r>
              <w:rPr>
                <w:b/>
              </w:rPr>
              <w:t>Family</w:t>
            </w:r>
          </w:p>
        </w:tc>
        <w:tc>
          <w:tcPr>
            <w:tcW w:type="dxa" w:w="3360"/>
            <w:vAlign w:val="center"/>
          </w:tcPr>
          <w:p>
            <w:r>
              <w:rPr>
                <w:b/>
              </w:rPr>
              <w:t>Pattern / technique</w:t>
            </w:r>
          </w:p>
        </w:tc>
        <w:tc>
          <w:tcPr>
            <w:tcW w:type="dxa" w:w="3360"/>
            <w:vAlign w:val="center"/>
          </w:tcPr>
          <w:p>
            <w:r>
              <w:rPr>
                <w:b/>
              </w:rPr>
              <w:t>Concrete FBZ problem</w:t>
            </w:r>
          </w:p>
        </w:tc>
      </w:tr>
      <w:tr>
        <w:tc>
          <w:tcPr>
            <w:tcW w:type="dxa" w:w="3360"/>
          </w:tcPr>
          <w:p>
            <w:r>
              <w:t>Behavioural</w:t>
            </w:r>
          </w:p>
        </w:tc>
        <w:tc>
          <w:tcPr>
            <w:tcW w:type="dxa" w:w="3360"/>
          </w:tcPr>
          <w:p>
            <w:r>
              <w:t>Strategy</w:t>
            </w:r>
          </w:p>
        </w:tc>
        <w:tc>
          <w:tcPr>
            <w:tcW w:type="dxa" w:w="3360"/>
          </w:tcPr>
          <w:p>
            <w:r>
              <w:t>Title, author, genre and year searches are interchangeable algorithms.</w:t>
            </w:r>
          </w:p>
        </w:tc>
      </w:tr>
      <w:tr>
        <w:tc>
          <w:tcPr>
            <w:tcW w:type="dxa" w:w="3360"/>
          </w:tcPr>
          <w:p>
            <w:r>
              <w:t>Creational</w:t>
            </w:r>
          </w:p>
        </w:tc>
        <w:tc>
          <w:tcPr>
            <w:tcW w:type="dxa" w:w="3360"/>
          </w:tcPr>
          <w:p>
            <w:r>
              <w:t>Simple Factory</w:t>
            </w:r>
          </w:p>
        </w:tc>
        <w:tc>
          <w:tcPr>
            <w:tcW w:type="dxa" w:w="3360"/>
          </w:tcPr>
          <w:p>
            <w:r>
              <w:t>`SearchStrategyFactory` centralises strategy construction.</w:t>
            </w:r>
          </w:p>
        </w:tc>
      </w:tr>
      <w:tr>
        <w:tc>
          <w:tcPr>
            <w:tcW w:type="dxa" w:w="3360"/>
          </w:tcPr>
          <w:p>
            <w:r>
              <w:t>Structural / architectural</w:t>
            </w:r>
          </w:p>
        </w:tc>
        <w:tc>
          <w:tcPr>
            <w:tcW w:type="dxa" w:w="3360"/>
          </w:tcPr>
          <w:p>
            <w:r>
              <w:t>Repository</w:t>
            </w:r>
          </w:p>
        </w:tc>
        <w:tc>
          <w:tcPr>
            <w:tcW w:type="dxa" w:w="3360"/>
          </w:tcPr>
          <w:p>
            <w:r>
              <w:t>Storage must be separated from application services.</w:t>
            </w:r>
          </w:p>
        </w:tc>
      </w:tr>
      <w:tr>
        <w:tc>
          <w:tcPr>
            <w:tcW w:type="dxa" w:w="3360"/>
          </w:tcPr>
          <w:p>
            <w:r>
              <w:t>Structural / architectural refinement</w:t>
            </w:r>
          </w:p>
        </w:tc>
        <w:tc>
          <w:tcPr>
            <w:tcW w:type="dxa" w:w="3360"/>
          </w:tcPr>
          <w:p>
            <w:r>
              <w:t>Aggregation repository</w:t>
            </w:r>
          </w:p>
        </w:tc>
        <w:tc>
          <w:tcPr>
            <w:tcW w:type="dxa" w:w="3360"/>
          </w:tcPr>
          <w:p>
            <w:r>
              <w:t>Facet rows must become one user-facing record per BL ID.</w:t>
            </w:r>
          </w:p>
        </w:tc>
      </w:tr>
    </w:tbl>
    <w:p>
      <w:r>
        <w:t>Refactoring.Guru classifies design patterns into creational, structural and behavioural families and presents Strategy as a behavioural pattern for interchangeable algorithms (Refactoring.Guru, n.d.). Tutorialspoint similarly explains the three broad families and the value of programming to an interface (Tutorialspoint, n.d.). The project deliberately calls `SearchStrategyFactory` a simple factory rather than incorrectly claiming it is the formal GoF Factory Method. This is a technical-accuracy decision. Subburaj, Jekese and Hwata (2015) also warn that inappropriate pattern use and pattern overload can reduce the value of patterns. FBZ therefore uses patterns only where they solve actual variation or separation problems.</w:t>
      </w:r>
    </w:p>
    <w:p>
      <w:pPr>
        <w:pStyle w:val="Heading1"/>
      </w:pPr>
      <w:r>
        <w:t>7. Functional implementation evidence</w:t>
      </w:r>
    </w:p>
    <w:tbl>
      <w:tblPr>
        <w:tblStyle w:val="TableGrid"/>
        <w:tblW w:type="auto" w:w="0"/>
        <w:tblLook w:firstColumn="1" w:firstRow="1" w:lastColumn="0" w:lastRow="0" w:noHBand="0" w:noVBand="1" w:val="04A0"/>
      </w:tblPr>
      <w:tblGrid>
        <w:gridCol w:w="3360"/>
        <w:gridCol w:w="3360"/>
        <w:gridCol w:w="3360"/>
      </w:tblGrid>
      <w:tr>
        <w:tc>
          <w:tcPr>
            <w:tcW w:type="dxa" w:w="3360"/>
            <w:vAlign w:val="center"/>
          </w:tcPr>
          <w:p>
            <w:r>
              <w:rPr>
                <w:b/>
              </w:rPr>
              <w:t>Requirement</w:t>
            </w:r>
          </w:p>
        </w:tc>
        <w:tc>
          <w:tcPr>
            <w:tcW w:type="dxa" w:w="3360"/>
            <w:vAlign w:val="center"/>
          </w:tcPr>
          <w:p>
            <w:r>
              <w:rPr>
                <w:b/>
              </w:rPr>
              <w:t>Implementation</w:t>
            </w:r>
          </w:p>
        </w:tc>
        <w:tc>
          <w:tcPr>
            <w:tcW w:type="dxa" w:w="3360"/>
            <w:vAlign w:val="center"/>
          </w:tcPr>
          <w:p>
            <w:r>
              <w:rPr>
                <w:b/>
              </w:rPr>
              <w:t>Evidence</w:t>
            </w:r>
          </w:p>
        </w:tc>
      </w:tr>
      <w:tr>
        <w:tc>
          <w:tcPr>
            <w:tcW w:type="dxa" w:w="3360"/>
          </w:tcPr>
          <w:p>
            <w:r>
              <w:t>Genre filtering</w:t>
            </w:r>
          </w:p>
        </w:tc>
        <w:tc>
          <w:tcPr>
            <w:tcW w:type="dxa" w:w="3360"/>
          </w:tcPr>
          <w:p>
            <w:r>
              <w:t>Exact Fantasy/Horror/Science Fiction matching</w:t>
            </w:r>
          </w:p>
        </w:tc>
        <w:tc>
          <w:tcPr>
            <w:tcW w:type="dxa" w:w="3360"/>
          </w:tcPr>
          <w:p>
            <w:r>
              <w:t>4,793 / 1,929 / 9,356 real records</w:t>
            </w:r>
          </w:p>
        </w:tc>
      </w:tr>
      <w:tr>
        <w:tc>
          <w:tcPr>
            <w:tcW w:type="dxa" w:w="3360"/>
          </w:tcPr>
          <w:p>
            <w:r>
              <w:t>Author grouping/search</w:t>
            </w:r>
          </w:p>
        </w:tc>
        <w:tc>
          <w:tcPr>
            <w:tcW w:type="dxa" w:w="3360"/>
          </w:tcPr>
          <w:p>
            <w:r>
              <w:t>Contributor role preservation + author strategy</w:t>
            </w:r>
          </w:p>
        </w:tc>
        <w:tc>
          <w:tcPr>
            <w:tcW w:type="dxa" w:w="3360"/>
          </w:tcPr>
          <w:p>
            <w:r>
              <w:t>Real author acceptance query passes</w:t>
            </w:r>
          </w:p>
        </w:tc>
      </w:tr>
      <w:tr>
        <w:tc>
          <w:tcPr>
            <w:tcW w:type="dxa" w:w="3360"/>
          </w:tcPr>
          <w:p>
            <w:r>
              <w:t>Year grouping</w:t>
            </w:r>
          </w:p>
        </w:tc>
        <w:tc>
          <w:tcPr>
            <w:tcW w:type="dxa" w:w="3360"/>
          </w:tcPr>
          <w:p>
            <w:r>
              <w:t>Publication-year token grouping</w:t>
            </w:r>
          </w:p>
        </w:tc>
        <w:tc>
          <w:tcPr>
            <w:tcW w:type="dxa" w:w="3360"/>
          </w:tcPr>
          <w:p>
            <w:r>
              <w:t>Unit and real-data acceptance</w:t>
            </w:r>
          </w:p>
        </w:tc>
      </w:tr>
      <w:tr>
        <w:tc>
          <w:tcPr>
            <w:tcW w:type="dxa" w:w="3360"/>
          </w:tcPr>
          <w:p>
            <w:r>
              <w:t>A–Z / Z–A</w:t>
            </w:r>
          </w:p>
        </w:tc>
        <w:tc>
          <w:tcPr>
            <w:tcW w:type="dxa" w:w="3360"/>
          </w:tcPr>
          <w:p>
            <w:r>
              <w:t>Case-folded stable title sort</w:t>
            </w:r>
          </w:p>
        </w:tc>
        <w:tc>
          <w:tcPr>
            <w:tcW w:type="dxa" w:w="3360"/>
          </w:tcPr>
          <w:p>
            <w:r>
              <w:t>Acceptance checks both directions + CLI E2E</w:t>
            </w:r>
          </w:p>
        </w:tc>
      </w:tr>
      <w:tr>
        <w:tc>
          <w:tcPr>
            <w:tcW w:type="dxa" w:w="3360"/>
          </w:tcPr>
          <w:p>
            <w:r>
              <w:t>Interactive group workflow</w:t>
            </w:r>
          </w:p>
        </w:tc>
        <w:tc>
          <w:tcPr>
            <w:tcW w:type="dxa" w:w="3360"/>
          </w:tcPr>
          <w:p>
            <w:r>
              <w:t>Genre → author/year → group selection → A–Z/Z–A</w:t>
            </w:r>
          </w:p>
        </w:tc>
        <w:tc>
          <w:tcPr>
            <w:tcW w:type="dxa" w:w="3360"/>
          </w:tcPr>
          <w:p>
            <w:r>
              <w:t>CLI E2E acceptance</w:t>
            </w:r>
          </w:p>
        </w:tc>
      </w:tr>
      <w:tr>
        <w:tc>
          <w:tcPr>
            <w:tcW w:type="dxa" w:w="3360"/>
          </w:tcPr>
          <w:p>
            <w:r>
              <w:t>Special characters</w:t>
            </w:r>
          </w:p>
        </w:tc>
        <w:tc>
          <w:tcPr>
            <w:tcW w:type="dxa" w:w="3360"/>
          </w:tcPr>
          <w:p>
            <w:r>
              <w:t>UTF-8 CSV + Unicode strings</w:t>
            </w:r>
          </w:p>
        </w:tc>
        <w:tc>
          <w:tcPr>
            <w:tcW w:type="dxa" w:w="3360"/>
          </w:tcPr>
          <w:p>
            <w:r>
              <w:t>Real Unicode title acceptance</w:t>
            </w:r>
          </w:p>
        </w:tc>
      </w:tr>
      <w:tr>
        <w:tc>
          <w:tcPr>
            <w:tcW w:type="dxa" w:w="3360"/>
          </w:tcPr>
          <w:p>
            <w:r>
              <w:t>Repeated values</w:t>
            </w:r>
          </w:p>
        </w:tc>
        <w:tc>
          <w:tcPr>
            <w:tcW w:type="dxa" w:w="3360"/>
          </w:tcPr>
          <w:p>
            <w:r>
              <w:t>Tokenisation of semicolon/slash/pipe-separated fields</w:t>
            </w:r>
          </w:p>
        </w:tc>
        <w:tc>
          <w:tcPr>
            <w:tcW w:type="dxa" w:w="3360"/>
          </w:tcPr>
          <w:p>
            <w:r>
              <w:t>Real multi-value acceptance</w:t>
            </w:r>
          </w:p>
        </w:tc>
      </w:tr>
      <w:tr>
        <w:tc>
          <w:tcPr>
            <w:tcW w:type="dxa" w:w="3360"/>
          </w:tcPr>
          <w:p>
            <w:r>
              <w:t>Multi-value display</w:t>
            </w:r>
          </w:p>
        </w:tc>
        <w:tc>
          <w:tcPr>
            <w:tcW w:type="dxa" w:w="3360"/>
          </w:tcPr>
          <w:p>
            <w:r>
              <w:t>Every delimiter-packed field is displayed as separate values</w:t>
            </w:r>
          </w:p>
        </w:tc>
        <w:tc>
          <w:tcPr>
            <w:tcW w:type="dxa" w:w="3360"/>
          </w:tcPr>
          <w:p>
            <w:r>
              <w:t>Unit + real-data display acceptance</w:t>
            </w:r>
          </w:p>
        </w:tc>
      </w:tr>
      <w:tr>
        <w:tc>
          <w:tcPr>
            <w:tcW w:type="dxa" w:w="3360"/>
          </w:tcPr>
          <w:p>
            <w:r>
              <w:t>Missing values</w:t>
            </w:r>
          </w:p>
        </w:tc>
        <w:tc>
          <w:tcPr>
            <w:tcW w:type="dxa" w:w="3360"/>
          </w:tcPr>
          <w:p>
            <w:r>
              <w:t>All blank display fields normalise to `missing`</w:t>
            </w:r>
          </w:p>
        </w:tc>
        <w:tc>
          <w:tcPr>
            <w:tcW w:type="dxa" w:w="3360"/>
          </w:tcPr>
          <w:p>
            <w:r>
              <w:t>Real missing-Publisher acceptance</w:t>
            </w:r>
          </w:p>
        </w:tc>
      </w:tr>
      <w:tr>
        <w:tc>
          <w:tcPr>
            <w:tcW w:type="dxa" w:w="3360"/>
          </w:tcPr>
          <w:p>
            <w:r>
              <w:t>Missing ISBN</w:t>
            </w:r>
          </w:p>
        </w:tc>
        <w:tc>
          <w:tcPr>
            <w:tcW w:type="dxa" w:w="3360"/>
          </w:tcPr>
          <w:p>
            <w:r>
              <w:t>Display normalised to `missing`</w:t>
            </w:r>
          </w:p>
        </w:tc>
        <w:tc>
          <w:tcPr>
            <w:tcW w:type="dxa" w:w="3360"/>
          </w:tcPr>
          <w:p>
            <w:r>
              <w:t>Real missing-ISBN acceptance</w:t>
            </w:r>
          </w:p>
        </w:tc>
      </w:tr>
      <w:tr>
        <w:tc>
          <w:tcPr>
            <w:tcW w:type="dxa" w:w="3360"/>
          </w:tcPr>
          <w:p>
            <w:r>
              <w:t>Multiple rows/titles</w:t>
            </w:r>
          </w:p>
        </w:tc>
        <w:tc>
          <w:tcPr>
            <w:tcW w:type="dxa" w:w="3360"/>
          </w:tcPr>
          <w:p>
            <w:r>
              <w:t>Aggregation by BL record ID</w:t>
            </w:r>
          </w:p>
        </w:tc>
        <w:tc>
          <w:tcPr>
            <w:tcW w:type="dxa" w:w="3360"/>
          </w:tcPr>
          <w:p>
            <w:r>
              <w:t>117,873 → 54,147 records</w:t>
            </w:r>
          </w:p>
        </w:tc>
      </w:tr>
      <w:tr>
        <w:tc>
          <w:tcPr>
            <w:tcW w:type="dxa" w:w="3360"/>
          </w:tcPr>
          <w:p>
            <w:r>
              <w:t>Search list</w:t>
            </w:r>
          </w:p>
        </w:tc>
        <w:tc>
          <w:tcPr>
            <w:tcW w:type="dxa" w:w="3360"/>
          </w:tcPr>
          <w:p>
            <w:r>
              <w:t>In-memory tuple</w:t>
            </w:r>
          </w:p>
        </w:tc>
        <w:tc>
          <w:tcPr>
            <w:tcW w:type="dxa" w:w="3360"/>
          </w:tcPr>
          <w:p>
            <w:r>
              <w:t>Unit test proves no disk persistence</w:t>
            </w:r>
          </w:p>
        </w:tc>
      </w:tr>
      <w:tr>
        <w:tc>
          <w:tcPr>
            <w:tcW w:type="dxa" w:w="3360"/>
          </w:tcPr>
          <w:p>
            <w:r>
              <w:t>Advanced search</w:t>
            </w:r>
          </w:p>
        </w:tc>
        <w:tc>
          <w:tcPr>
            <w:tcW w:type="dxa" w:w="3360"/>
          </w:tcPr>
          <w:p>
            <w:r>
              <w:t>Author/year/genre/edition/language/name-type/title</w:t>
            </w:r>
          </w:p>
        </w:tc>
        <w:tc>
          <w:tcPr>
            <w:tcW w:type="dxa" w:w="3360"/>
          </w:tcPr>
          <w:p>
            <w:r>
              <w:t>Unit + real acceptance</w:t>
            </w:r>
          </w:p>
        </w:tc>
      </w:tr>
      <w:tr>
        <w:tc>
          <w:tcPr>
            <w:tcW w:type="dxa" w:w="3360"/>
          </w:tcPr>
          <w:p>
            <w:r>
              <w:t>Phase 2 views</w:t>
            </w:r>
          </w:p>
        </w:tc>
        <w:tc>
          <w:tcPr>
            <w:tcW w:type="dxa" w:w="3360"/>
          </w:tcPr>
          <w:p>
            <w:r>
              <w:t>classification/names/titles/topics searches</w:t>
            </w:r>
          </w:p>
        </w:tc>
        <w:tc>
          <w:tcPr>
            <w:tcW w:type="dxa" w:w="3360"/>
          </w:tcPr>
          <w:p>
            <w:r>
              <w:t>Real acceptance samples</w:t>
            </w:r>
          </w:p>
        </w:tc>
      </w:tr>
      <w:tr>
        <w:tc>
          <w:tcPr>
            <w:tcW w:type="dxa" w:w="3360"/>
          </w:tcPr>
          <w:p>
            <w:r>
              <w:t>&gt;100 reporting</w:t>
            </w:r>
          </w:p>
        </w:tc>
        <w:tc>
          <w:tcPr>
            <w:tcW w:type="dxa" w:w="3360"/>
          </w:tcPr>
          <w:p>
            <w:r>
              <w:t>Threshold callback at 101</w:t>
            </w:r>
          </w:p>
        </w:tc>
        <w:tc>
          <w:tcPr>
            <w:tcW w:type="dxa" w:w="3360"/>
          </w:tcPr>
          <w:p>
            <w:r>
              <w:t>Deterministic real-comic acceptance</w:t>
            </w:r>
          </w:p>
        </w:tc>
      </w:tr>
    </w:tbl>
    <w:p>
      <w:pPr>
        <w:pStyle w:val="Heading1"/>
      </w:pPr>
      <w:r>
        <w:t>8. Testing design and verification</w:t>
      </w:r>
    </w:p>
    <w:p>
      <w:r>
        <w:t>The automated test regime is layered. Unit tests validate domain and strategy behaviour. Integration tests validate CSV/service boundaries and all five official views. CLI/end-to-end tests validate no-result output, result output and ordering. The real-data acceptance script validates requirements that synthetic fixtures cannot establish: official row counts, leading-zero identifiers, genre counts, contributor roles, Unicode, missing ISBN, multi-value metadata, aggregation, ordering and the &gt;100 notification.</w:t>
      </w:r>
    </w:p>
    <w:p>
      <w:r>
        <w:t>pytest documentation describes fixtures as explicit, modular and scalable test contexts (pytest, n.d.). Fowler’s Test Pyramid argues for many fast focused tests with fewer broad-stack tests (Fowler, 2012). The FBZ suite follows that principle. Katalon (2022) and SmartBear (n.d.) informed the comparison of data-driven, modular, hybrid and record/playback approaches. For this Python CLI, pytest is proportionate because the dominant risks are parsing, domain logic and service boundaries rather than browser rendering.</w:t>
      </w:r>
    </w:p>
    <w:p>
      <w:r>
        <w:t>The final suite contains 33 passing automated tests. The acceptance report records the five-view row counts, 54,147 aggregated records, exact genre counts, a real author query, a Unicode title, universal missing-value display, missing ISBN, multi-value field display, both sort directions and a deterministic threshold notification after 101 search inclusions. This evidence is stronger than a coverage number alone because each result is tied to an assignment requirement.</w:t>
      </w:r>
    </w:p>
    <w:p>
      <w:pPr>
        <w:pStyle w:val="Heading1"/>
      </w:pPr>
      <w:r>
        <w:t>9. Critical evaluation and conclusion</w:t>
      </w:r>
    </w:p>
    <w:p>
      <w:r>
        <w:t>The final design is more maintainable and testable than a procedural alternative because responsibilities and change boundaries are explicit. SOLID is effective here, but not universally free: it introduces abstractions and indirection. Strategy is justified by multiple search algorithms; Repository is justified by multiple data-source implementations; aggregation is justified by the facet structure of the real dataset. The most important refinement was semantic rather than cosmetic: preserving contributor name/role relationships prevents a technically working search algorithm from producing incorrect author results. The result is therefore a traceable design in which requirements lead to domain decisions, those decisions lead to implementation, and implementation is verified by automated and real-data acceptance evidence.</w:t>
      </w:r>
    </w:p>
    <w:p>
      <w:pPr>
        <w:pStyle w:val="Heading1"/>
      </w:pPr>
      <w:r>
        <w:t>References</w:t>
      </w:r>
    </w:p>
    <w:p>
      <w:r>
        <w:t>British Library (n.d.) Collection metadata services. Available at: https://www.bl.uk/services/collection-metadata-services (Accessed: 28 August 2026).</w:t>
      </w:r>
    </w:p>
    <w:p>
      <w:r>
        <w:t>Chebanyuk, E. and Markov, K. (2016) An Approach to Class Diagrams Verification According to SOLID Design Principles. Proceedings of MODELSWARD 2016, pp. 435–441. doi: 10.5220/0005830104350441.</w:t>
      </w:r>
    </w:p>
    <w:p>
      <w:r>
        <w:t>Cocca, G. (2023) How to Write Clean Code – Tips and Best Practices (Full Handbook). freeCodeCamp, 15 May. Available at: https://www.freecodecamp.org/news/how-to-write-clean-code/ (Accessed: 28 August 2026).</w:t>
      </w:r>
    </w:p>
    <w:p>
      <w:r>
        <w:t>Fowler, M. (2012) Test Pyramid. Martin Fowler, 1 May. Available at: https://martinfowler.com/bliki/TestPyramid.html (Accessed: 28 August 2026).</w:t>
      </w:r>
    </w:p>
    <w:p>
      <w:r>
        <w:t>Katalon (2022) Software Test Automation Frameworks | 6 Common Types. 28 November. Available at: https://medium.com/@katalon/test-automation-framework-e4e6cc09ea6d (Accessed: 28 August 2026).</w:t>
      </w:r>
    </w:p>
    <w:p>
      <w:r>
        <w:t>Khan, M.H. (2023) Understanding Object-Oriented Relationships: Inheritance, Association, Composition, and Aggregation. Medium, 14 October. Available at: https://medium.com/@humzakhalid94/understanding-object-oriented-relationships-inheritance-association-composition-and-aggregation-4d298494ac1c (Accessed: 28 August 2026).</w:t>
      </w:r>
    </w:p>
    <w:p>
      <w:r>
        <w:t>Mark, M. (2023) Writing Clean Code: Best Practices and Principles. DEV Community, 16 September. Available at: https://dev.to/favourmark05/writing-clean-code-best-practices-and-principles-3amh (Accessed: 28 August 2026).</w:t>
      </w:r>
    </w:p>
    <w:p>
      <w:r>
        <w:t>pytest (n.d.) About fixtures. Available at: https://docs.pytest.org/en/latest/explanation/fixtures.html (Accessed: 28 August 2026).</w:t>
      </w:r>
    </w:p>
    <w:p>
      <w:r>
        <w:t>Refactoring.Guru (n.d.) Design Patterns. Available at: https://refactoring.guru/design-patterns (Accessed: 28 August 2026).</w:t>
      </w:r>
    </w:p>
    <w:p>
      <w:r>
        <w:t>SmartBear (n.d.) Test Automation Frameworks. Available at: https://smartbear.com/learn/automated-testing/test-automation-frameworks/ (Accessed: 28 August 2026).</w:t>
      </w:r>
    </w:p>
    <w:p>
      <w:r>
        <w:t>Subburaj, R., Jekese, G. and Hwata, C. (2015) Impact of Object Oriented Design Patterns on Software Development. International Journal of Scientific &amp; Engineering Research, 6(2), pp. 961–966.</w:t>
      </w:r>
    </w:p>
    <w:p>
      <w:r>
        <w:t>Tutorialspoint (n.d.) Design Patterns – Overview. Available at: https://www.tutorialspoint.com/design_pattern/design_pattern_overview.htm (Accessed: 28 August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