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Unit 20 — Automated Testing Report</w:t>
      </w:r>
    </w:p>
    <w:p>
      <w:pPr>
        <w:jc w:val="center"/>
      </w:pPr>
      <w:r>
        <w:rPr>
          <w:i/>
          <w:sz w:val="22"/>
        </w:rPr>
        <w:t>FBZ Comics Unmasked Dataset Processing Application</w:t>
      </w:r>
    </w:p>
    <w:p>
      <w:pPr>
        <w:pStyle w:val="Heading1"/>
      </w:pPr>
      <w:r>
        <w:t>1. Testing Strategy</w:t>
      </w:r>
    </w:p>
    <w:p>
      <w:r>
        <w:t>The testing regime uses layered automated tests: unit tests for focused domain and service behaviours, integration tests for repository/service interactions, and CLI/end-to-end tests for user-visible command flows. The suite is designed around acceptance requirements rather than code coverage alone.</w:t>
      </w:r>
    </w:p>
    <w:p>
      <w:pPr>
        <w:pStyle w:val="Heading1"/>
      </w:pPr>
      <w:r>
        <w:t>2. Test Levels and Rationale</w:t>
      </w:r>
    </w:p>
    <w:tbl>
      <w:tblPr>
        <w:tblStyle w:val="TableGrid"/>
        <w:tblW w:type="auto" w:w="0"/>
        <w:tblLook w:firstColumn="1" w:firstRow="1" w:lastColumn="0" w:lastRow="0" w:noHBand="0" w:noVBand="1" w:val="04A0"/>
      </w:tblPr>
      <w:tblGrid>
        <w:gridCol w:w="2520"/>
        <w:gridCol w:w="2520"/>
        <w:gridCol w:w="2520"/>
        <w:gridCol w:w="2520"/>
      </w:tblGrid>
      <w:tr>
        <w:tc>
          <w:tcPr>
            <w:tcW w:type="dxa" w:w="2520"/>
            <w:vAlign w:val="center"/>
          </w:tcPr>
          <w:p>
            <w:r>
              <w:rPr>
                <w:b/>
              </w:rPr>
              <w:t>Level</w:t>
            </w:r>
          </w:p>
        </w:tc>
        <w:tc>
          <w:tcPr>
            <w:tcW w:type="dxa" w:w="2520"/>
            <w:vAlign w:val="center"/>
          </w:tcPr>
          <w:p>
            <w:r>
              <w:rPr>
                <w:b/>
              </w:rPr>
              <w:t>Scope</w:t>
            </w:r>
          </w:p>
        </w:tc>
        <w:tc>
          <w:tcPr>
            <w:tcW w:type="dxa" w:w="2520"/>
            <w:vAlign w:val="center"/>
          </w:tcPr>
          <w:p>
            <w:r>
              <w:rPr>
                <w:b/>
              </w:rPr>
              <w:t>Strength</w:t>
            </w:r>
          </w:p>
        </w:tc>
        <w:tc>
          <w:tcPr>
            <w:tcW w:type="dxa" w:w="2520"/>
            <w:vAlign w:val="center"/>
          </w:tcPr>
          <w:p>
            <w:r>
              <w:rPr>
                <w:b/>
              </w:rPr>
              <w:t>Limitation</w:t>
            </w:r>
          </w:p>
        </w:tc>
      </w:tr>
      <w:tr>
        <w:tc>
          <w:tcPr>
            <w:tcW w:type="dxa" w:w="2520"/>
          </w:tcPr>
          <w:p>
            <w:r>
              <w:t>Unit</w:t>
            </w:r>
          </w:p>
        </w:tc>
        <w:tc>
          <w:tcPr>
            <w:tcW w:type="dxa" w:w="2520"/>
          </w:tcPr>
          <w:p>
            <w:r>
              <w:t>Domain parsing, search strategies, factory, statistics, favourites</w:t>
            </w:r>
          </w:p>
        </w:tc>
        <w:tc>
          <w:tcPr>
            <w:tcW w:type="dxa" w:w="2520"/>
          </w:tcPr>
          <w:p>
            <w:r>
              <w:t>Fast and precise regression feedback</w:t>
            </w:r>
          </w:p>
        </w:tc>
        <w:tc>
          <w:tcPr>
            <w:tcW w:type="dxa" w:w="2520"/>
          </w:tcPr>
          <w:p>
            <w:r>
              <w:t>Can miss integration/wiring defects</w:t>
            </w:r>
          </w:p>
        </w:tc>
      </w:tr>
      <w:tr>
        <w:tc>
          <w:tcPr>
            <w:tcW w:type="dxa" w:w="2520"/>
          </w:tcPr>
          <w:p>
            <w:r>
              <w:t>Integration</w:t>
            </w:r>
          </w:p>
        </w:tc>
        <w:tc>
          <w:tcPr>
            <w:tcW w:type="dxa" w:w="2520"/>
          </w:tcPr>
          <w:p>
            <w:r>
              <w:t>CSV → repository → service → favourites</w:t>
            </w:r>
          </w:p>
        </w:tc>
        <w:tc>
          <w:tcPr>
            <w:tcW w:type="dxa" w:w="2520"/>
          </w:tcPr>
          <w:p>
            <w:r>
              <w:t>Catches boundary/interface problems</w:t>
            </w:r>
          </w:p>
        </w:tc>
        <w:tc>
          <w:tcPr>
            <w:tcW w:type="dxa" w:w="2520"/>
          </w:tcPr>
          <w:p>
            <w:r>
              <w:t>Slower and more data/setup dependent</w:t>
            </w:r>
          </w:p>
        </w:tc>
      </w:tr>
      <w:tr>
        <w:tc>
          <w:tcPr>
            <w:tcW w:type="dxa" w:w="2520"/>
          </w:tcPr>
          <w:p>
            <w:r>
              <w:t>End-to-end</w:t>
            </w:r>
          </w:p>
        </w:tc>
        <w:tc>
          <w:tcPr>
            <w:tcW w:type="dxa" w:w="2520"/>
          </w:tcPr>
          <w:p>
            <w:r>
              <w:t>CLI search/no-result workflows</w:t>
            </w:r>
          </w:p>
        </w:tc>
        <w:tc>
          <w:tcPr>
            <w:tcW w:type="dxa" w:w="2520"/>
          </w:tcPr>
          <w:p>
            <w:r>
              <w:t>Validates user-facing behaviour</w:t>
            </w:r>
          </w:p>
        </w:tc>
        <w:tc>
          <w:tcPr>
            <w:tcW w:type="dxa" w:w="2520"/>
          </w:tcPr>
          <w:p>
            <w:r>
              <w:t>Most expensive to maintain</w:t>
            </w:r>
          </w:p>
        </w:tc>
      </w:tr>
      <w:tr>
        <w:tc>
          <w:tcPr>
            <w:tcW w:type="dxa" w:w="2520"/>
          </w:tcPr>
          <w:p>
            <w:r>
              <w:t>Real-data acceptance</w:t>
            </w:r>
          </w:p>
        </w:tc>
        <w:tc>
          <w:tcPr>
            <w:tcW w:type="dxa" w:w="2520"/>
          </w:tcPr>
          <w:p>
            <w:r>
              <w:t>All five official CSV views + aggregated names view</w:t>
            </w:r>
          </w:p>
        </w:tc>
        <w:tc>
          <w:tcPr>
            <w:tcW w:type="dxa" w:w="2520"/>
          </w:tcPr>
          <w:p>
            <w:r>
              <w:t>Validates dataset scale/schema and assignment-specific data issues</w:t>
            </w:r>
          </w:p>
        </w:tc>
        <w:tc>
          <w:tcPr>
            <w:tcW w:type="dxa" w:w="2520"/>
          </w:tcPr>
          <w:p>
            <w:r>
              <w:t>Dependent on the external dataset package</w:t>
            </w:r>
          </w:p>
        </w:tc>
      </w:tr>
    </w:tbl>
    <w:p>
      <w:pPr>
        <w:pStyle w:val="Heading1"/>
      </w:pPr>
      <w:r>
        <w:t>3. Automated Test Matrix</w:t>
      </w:r>
    </w:p>
    <w:tbl>
      <w:tblPr>
        <w:tblStyle w:val="TableGrid"/>
        <w:tblW w:type="auto" w:w="0"/>
        <w:tblLook w:firstColumn="1" w:firstRow="1" w:lastColumn="0" w:lastRow="0" w:noHBand="0" w:noVBand="1" w:val="04A0"/>
      </w:tblPr>
      <w:tblGrid>
        <w:gridCol w:w="2520"/>
        <w:gridCol w:w="2520"/>
        <w:gridCol w:w="2520"/>
        <w:gridCol w:w="2520"/>
      </w:tblGrid>
      <w:tr>
        <w:tc>
          <w:tcPr>
            <w:tcW w:type="dxa" w:w="2520"/>
            <w:vAlign w:val="center"/>
          </w:tcPr>
          <w:p>
            <w:r>
              <w:rPr>
                <w:b/>
              </w:rPr>
              <w:t>ID</w:t>
            </w:r>
          </w:p>
        </w:tc>
        <w:tc>
          <w:tcPr>
            <w:tcW w:type="dxa" w:w="2520"/>
            <w:vAlign w:val="center"/>
          </w:tcPr>
          <w:p>
            <w:r>
              <w:rPr>
                <w:b/>
              </w:rPr>
              <w:t>Area</w:t>
            </w:r>
          </w:p>
        </w:tc>
        <w:tc>
          <w:tcPr>
            <w:tcW w:type="dxa" w:w="2520"/>
            <w:vAlign w:val="center"/>
          </w:tcPr>
          <w:p>
            <w:r>
              <w:rPr>
                <w:b/>
              </w:rPr>
              <w:t>Expectation</w:t>
            </w:r>
          </w:p>
        </w:tc>
        <w:tc>
          <w:tcPr>
            <w:tcW w:type="dxa" w:w="2520"/>
            <w:vAlign w:val="center"/>
          </w:tcPr>
          <w:p>
            <w:r>
              <w:rPr>
                <w:b/>
              </w:rPr>
              <w:t>Result</w:t>
            </w:r>
          </w:p>
        </w:tc>
      </w:tr>
      <w:tr>
        <w:tc>
          <w:tcPr>
            <w:tcW w:type="dxa" w:w="2520"/>
          </w:tcPr>
          <w:p>
            <w:r>
              <w:t>T01</w:t>
            </w:r>
          </w:p>
        </w:tc>
        <w:tc>
          <w:tcPr>
            <w:tcW w:type="dxa" w:w="2520"/>
          </w:tcPr>
          <w:p>
            <w:r>
              <w:t>Domain parse</w:t>
            </w:r>
          </w:p>
        </w:tc>
        <w:tc>
          <w:tcPr>
            <w:tcW w:type="dxa" w:w="2520"/>
          </w:tcPr>
          <w:p>
            <w:r>
              <w:t>Leading-zero IDs preserved</w:t>
            </w:r>
          </w:p>
        </w:tc>
        <w:tc>
          <w:tcPr>
            <w:tcW w:type="dxa" w:w="2520"/>
          </w:tcPr>
          <w:p>
            <w:r>
              <w:t>Pass</w:t>
            </w:r>
          </w:p>
        </w:tc>
      </w:tr>
      <w:tr>
        <w:tc>
          <w:tcPr>
            <w:tcW w:type="dxa" w:w="2520"/>
          </w:tcPr>
          <w:p>
            <w:r>
              <w:t>T02</w:t>
            </w:r>
          </w:p>
        </w:tc>
        <w:tc>
          <w:tcPr>
            <w:tcW w:type="dxa" w:w="2520"/>
          </w:tcPr>
          <w:p>
            <w:r>
              <w:t>Required fields</w:t>
            </w:r>
          </w:p>
        </w:tc>
        <w:tc>
          <w:tcPr>
            <w:tcW w:type="dxa" w:w="2520"/>
          </w:tcPr>
          <w:p>
            <w:r>
              <w:t>Missing Title rejected</w:t>
            </w:r>
          </w:p>
        </w:tc>
        <w:tc>
          <w:tcPr>
            <w:tcW w:type="dxa" w:w="2520"/>
          </w:tcPr>
          <w:p>
            <w:r>
              <w:t>Pass</w:t>
            </w:r>
          </w:p>
        </w:tc>
      </w:tr>
      <w:tr>
        <w:tc>
          <w:tcPr>
            <w:tcW w:type="dxa" w:w="2520"/>
          </w:tcPr>
          <w:p>
            <w:r>
              <w:t>T03</w:t>
            </w:r>
          </w:p>
        </w:tc>
        <w:tc>
          <w:tcPr>
            <w:tcW w:type="dxa" w:w="2520"/>
          </w:tcPr>
          <w:p>
            <w:r>
              <w:t>Multi-value fields</w:t>
            </w:r>
          </w:p>
        </w:tc>
        <w:tc>
          <w:tcPr>
            <w:tcW w:type="dxa" w:w="2520"/>
          </w:tcPr>
          <w:p>
            <w:r>
              <w:t>Genre/topics tokenised</w:t>
            </w:r>
          </w:p>
        </w:tc>
        <w:tc>
          <w:tcPr>
            <w:tcW w:type="dxa" w:w="2520"/>
          </w:tcPr>
          <w:p>
            <w:r>
              <w:t>Pass</w:t>
            </w:r>
          </w:p>
        </w:tc>
      </w:tr>
      <w:tr>
        <w:tc>
          <w:tcPr>
            <w:tcW w:type="dxa" w:w="2520"/>
          </w:tcPr>
          <w:p>
            <w:r>
              <w:t>T04</w:t>
            </w:r>
          </w:p>
        </w:tc>
        <w:tc>
          <w:tcPr>
            <w:tcW w:type="dxa" w:w="2520"/>
          </w:tcPr>
          <w:p>
            <w:r>
              <w:t>Title search</w:t>
            </w:r>
          </w:p>
        </w:tc>
        <w:tc>
          <w:tcPr>
            <w:tcW w:type="dxa" w:w="2520"/>
          </w:tcPr>
          <w:p>
            <w:r>
              <w:t>Case-insensitive matching</w:t>
            </w:r>
          </w:p>
        </w:tc>
        <w:tc>
          <w:tcPr>
            <w:tcW w:type="dxa" w:w="2520"/>
          </w:tcPr>
          <w:p>
            <w:r>
              <w:t>Pass</w:t>
            </w:r>
          </w:p>
        </w:tc>
      </w:tr>
      <w:tr>
        <w:tc>
          <w:tcPr>
            <w:tcW w:type="dxa" w:w="2520"/>
          </w:tcPr>
          <w:p>
            <w:r>
              <w:t>T05</w:t>
            </w:r>
          </w:p>
        </w:tc>
        <w:tc>
          <w:tcPr>
            <w:tcW w:type="dxa" w:w="2520"/>
          </w:tcPr>
          <w:p>
            <w:r>
              <w:t>Author search</w:t>
            </w:r>
          </w:p>
        </w:tc>
        <w:tc>
          <w:tcPr>
            <w:tcW w:type="dxa" w:w="2520"/>
          </w:tcPr>
          <w:p>
            <w:r>
              <w:t>Author matches returned</w:t>
            </w:r>
          </w:p>
        </w:tc>
        <w:tc>
          <w:tcPr>
            <w:tcW w:type="dxa" w:w="2520"/>
          </w:tcPr>
          <w:p>
            <w:r>
              <w:t>Pass</w:t>
            </w:r>
          </w:p>
        </w:tc>
      </w:tr>
      <w:tr>
        <w:tc>
          <w:tcPr>
            <w:tcW w:type="dxa" w:w="2520"/>
          </w:tcPr>
          <w:p>
            <w:r>
              <w:t>T06</w:t>
            </w:r>
          </w:p>
        </w:tc>
        <w:tc>
          <w:tcPr>
            <w:tcW w:type="dxa" w:w="2520"/>
          </w:tcPr>
          <w:p>
            <w:r>
              <w:t>Genre filter</w:t>
            </w:r>
          </w:p>
        </w:tc>
        <w:tc>
          <w:tcPr>
            <w:tcW w:type="dxa" w:w="2520"/>
          </w:tcPr>
          <w:p>
            <w:r>
              <w:t>Only requested genre returned</w:t>
            </w:r>
          </w:p>
        </w:tc>
        <w:tc>
          <w:tcPr>
            <w:tcW w:type="dxa" w:w="2520"/>
          </w:tcPr>
          <w:p>
            <w:r>
              <w:t>Pass</w:t>
            </w:r>
          </w:p>
        </w:tc>
      </w:tr>
      <w:tr>
        <w:tc>
          <w:tcPr>
            <w:tcW w:type="dxa" w:w="2520"/>
          </w:tcPr>
          <w:p>
            <w:r>
              <w:t>T07</w:t>
            </w:r>
          </w:p>
        </w:tc>
        <w:tc>
          <w:tcPr>
            <w:tcW w:type="dxa" w:w="2520"/>
          </w:tcPr>
          <w:p>
            <w:r>
              <w:t>Year grouping</w:t>
            </w:r>
          </w:p>
        </w:tc>
        <w:tc>
          <w:tcPr>
            <w:tcW w:type="dxa" w:w="2520"/>
          </w:tcPr>
          <w:p>
            <w:r>
              <w:t>Year groups correct</w:t>
            </w:r>
          </w:p>
        </w:tc>
        <w:tc>
          <w:tcPr>
            <w:tcW w:type="dxa" w:w="2520"/>
          </w:tcPr>
          <w:p>
            <w:r>
              <w:t>Pass</w:t>
            </w:r>
          </w:p>
        </w:tc>
      </w:tr>
      <w:tr>
        <w:tc>
          <w:tcPr>
            <w:tcW w:type="dxa" w:w="2520"/>
          </w:tcPr>
          <w:p>
            <w:r>
              <w:t>T08</w:t>
            </w:r>
          </w:p>
        </w:tc>
        <w:tc>
          <w:tcPr>
            <w:tcW w:type="dxa" w:w="2520"/>
          </w:tcPr>
          <w:p>
            <w:r>
              <w:t>A–Z/Z–A</w:t>
            </w:r>
          </w:p>
        </w:tc>
        <w:tc>
          <w:tcPr>
            <w:tcW w:type="dxa" w:w="2520"/>
          </w:tcPr>
          <w:p>
            <w:r>
              <w:t>Ordering correct</w:t>
            </w:r>
          </w:p>
        </w:tc>
        <w:tc>
          <w:tcPr>
            <w:tcW w:type="dxa" w:w="2520"/>
          </w:tcPr>
          <w:p>
            <w:r>
              <w:t>Pass</w:t>
            </w:r>
          </w:p>
        </w:tc>
      </w:tr>
      <w:tr>
        <w:tc>
          <w:tcPr>
            <w:tcW w:type="dxa" w:w="2520"/>
          </w:tcPr>
          <w:p>
            <w:r>
              <w:t>T09</w:t>
            </w:r>
          </w:p>
        </w:tc>
        <w:tc>
          <w:tcPr>
            <w:tcW w:type="dxa" w:w="2520"/>
          </w:tcPr>
          <w:p>
            <w:r>
              <w:t>Advanced search</w:t>
            </w:r>
          </w:p>
        </w:tc>
        <w:tc>
          <w:tcPr>
            <w:tcW w:type="dxa" w:w="2520"/>
          </w:tcPr>
          <w:p>
            <w:r>
              <w:t>Author/year/genre/edition/language/name type combination</w:t>
            </w:r>
          </w:p>
        </w:tc>
        <w:tc>
          <w:tcPr>
            <w:tcW w:type="dxa" w:w="2520"/>
          </w:tcPr>
          <w:p>
            <w:r>
              <w:t>Pass</w:t>
            </w:r>
          </w:p>
        </w:tc>
      </w:tr>
      <w:tr>
        <w:tc>
          <w:tcPr>
            <w:tcW w:type="dxa" w:w="2520"/>
          </w:tcPr>
          <w:p>
            <w:r>
              <w:t>T10</w:t>
            </w:r>
          </w:p>
        </w:tc>
        <w:tc>
          <w:tcPr>
            <w:tcW w:type="dxa" w:w="2520"/>
          </w:tcPr>
          <w:p>
            <w:r>
              <w:t>Search list</w:t>
            </w:r>
          </w:p>
        </w:tc>
        <w:tc>
          <w:tcPr>
            <w:tcW w:type="dxa" w:w="2520"/>
          </w:tcPr>
          <w:p>
            <w:r>
              <w:t>In-memory add/reset</w:t>
            </w:r>
          </w:p>
        </w:tc>
        <w:tc>
          <w:tcPr>
            <w:tcW w:type="dxa" w:w="2520"/>
          </w:tcPr>
          <w:p>
            <w:r>
              <w:t>Pass</w:t>
            </w:r>
          </w:p>
        </w:tc>
      </w:tr>
      <w:tr>
        <w:tc>
          <w:tcPr>
            <w:tcW w:type="dxa" w:w="2520"/>
          </w:tcPr>
          <w:p>
            <w:r>
              <w:t>T11</w:t>
            </w:r>
          </w:p>
        </w:tc>
        <w:tc>
          <w:tcPr>
            <w:tcW w:type="dxa" w:w="2520"/>
          </w:tcPr>
          <w:p>
            <w:r>
              <w:t>Popular telemetry</w:t>
            </w:r>
          </w:p>
        </w:tc>
        <w:tc>
          <w:tcPr>
            <w:tcW w:type="dxa" w:w="2520"/>
          </w:tcPr>
          <w:p>
            <w:r>
              <w:t>Counts and &gt;100 threshold</w:t>
            </w:r>
          </w:p>
        </w:tc>
        <w:tc>
          <w:tcPr>
            <w:tcW w:type="dxa" w:w="2520"/>
          </w:tcPr>
          <w:p>
            <w:r>
              <w:t>Pass</w:t>
            </w:r>
          </w:p>
        </w:tc>
      </w:tr>
      <w:tr>
        <w:tc>
          <w:tcPr>
            <w:tcW w:type="dxa" w:w="2520"/>
          </w:tcPr>
          <w:p>
            <w:r>
              <w:t>T12</w:t>
            </w:r>
          </w:p>
        </w:tc>
        <w:tc>
          <w:tcPr>
            <w:tcW w:type="dxa" w:w="2520"/>
          </w:tcPr>
          <w:p>
            <w:r>
              <w:t>Phase 2 fields</w:t>
            </w:r>
          </w:p>
        </w:tc>
        <w:tc>
          <w:tcPr>
            <w:tcW w:type="dxa" w:w="2520"/>
          </w:tcPr>
          <w:p>
            <w:r>
              <w:t>classification/names/titles/topics</w:t>
            </w:r>
          </w:p>
        </w:tc>
        <w:tc>
          <w:tcPr>
            <w:tcW w:type="dxa" w:w="2520"/>
          </w:tcPr>
          <w:p>
            <w:r>
              <w:t>Pass</w:t>
            </w:r>
          </w:p>
        </w:tc>
      </w:tr>
      <w:tr>
        <w:tc>
          <w:tcPr>
            <w:tcW w:type="dxa" w:w="2520"/>
          </w:tcPr>
          <w:p>
            <w:r>
              <w:t>T13</w:t>
            </w:r>
          </w:p>
        </w:tc>
        <w:tc>
          <w:tcPr>
            <w:tcW w:type="dxa" w:w="2520"/>
          </w:tcPr>
          <w:p>
            <w:r>
              <w:t>XML adapter</w:t>
            </w:r>
          </w:p>
        </w:tc>
        <w:tc>
          <w:tcPr>
            <w:tcW w:type="dxa" w:w="2520"/>
          </w:tcPr>
          <w:p>
            <w:r>
              <w:t>XML rows mapped to domain objects</w:t>
            </w:r>
          </w:p>
        </w:tc>
        <w:tc>
          <w:tcPr>
            <w:tcW w:type="dxa" w:w="2520"/>
          </w:tcPr>
          <w:p>
            <w:r>
              <w:t>Pass</w:t>
            </w:r>
          </w:p>
        </w:tc>
      </w:tr>
      <w:tr>
        <w:tc>
          <w:tcPr>
            <w:tcW w:type="dxa" w:w="2520"/>
          </w:tcPr>
          <w:p>
            <w:r>
              <w:t>T14</w:t>
            </w:r>
          </w:p>
        </w:tc>
        <w:tc>
          <w:tcPr>
            <w:tcW w:type="dxa" w:w="2520"/>
          </w:tcPr>
          <w:p>
            <w:r>
              <w:t>All five views</w:t>
            </w:r>
          </w:p>
        </w:tc>
        <w:tc>
          <w:tcPr>
            <w:tcW w:type="dxa" w:w="2520"/>
          </w:tcPr>
          <w:p>
            <w:r>
              <w:t>Observed row counts validated</w:t>
            </w:r>
          </w:p>
        </w:tc>
        <w:tc>
          <w:tcPr>
            <w:tcW w:type="dxa" w:w="2520"/>
          </w:tcPr>
          <w:p>
            <w:r>
              <w:t>Pass</w:t>
            </w:r>
          </w:p>
        </w:tc>
      </w:tr>
      <w:tr>
        <w:tc>
          <w:tcPr>
            <w:tcW w:type="dxa" w:w="2520"/>
          </w:tcPr>
          <w:p>
            <w:r>
              <w:t>T15</w:t>
            </w:r>
          </w:p>
        </w:tc>
        <w:tc>
          <w:tcPr>
            <w:tcW w:type="dxa" w:w="2520"/>
          </w:tcPr>
          <w:p>
            <w:r>
              <w:t>Real data genre filter</w:t>
            </w:r>
          </w:p>
        </w:tc>
        <w:tc>
          <w:tcPr>
            <w:tcW w:type="dxa" w:w="2520"/>
          </w:tcPr>
          <w:p>
            <w:r>
              <w:t>4,793 / 1,929 / 9,356 records</w:t>
            </w:r>
          </w:p>
        </w:tc>
        <w:tc>
          <w:tcPr>
            <w:tcW w:type="dxa" w:w="2520"/>
          </w:tcPr>
          <w:p>
            <w:r>
              <w:t>Pass</w:t>
            </w:r>
          </w:p>
        </w:tc>
      </w:tr>
      <w:tr>
        <w:tc>
          <w:tcPr>
            <w:tcW w:type="dxa" w:w="2520"/>
          </w:tcPr>
          <w:p>
            <w:r>
              <w:t>T16</w:t>
            </w:r>
          </w:p>
        </w:tc>
        <w:tc>
          <w:tcPr>
            <w:tcW w:type="dxa" w:w="2520"/>
          </w:tcPr>
          <w:p>
            <w:r>
              <w:t>CLI</w:t>
            </w:r>
          </w:p>
        </w:tc>
        <w:tc>
          <w:tcPr>
            <w:tcW w:type="dxa" w:w="2520"/>
          </w:tcPr>
          <w:p>
            <w:r>
              <w:t>Results/no-result paths</w:t>
            </w:r>
          </w:p>
        </w:tc>
        <w:tc>
          <w:tcPr>
            <w:tcW w:type="dxa" w:w="2520"/>
          </w:tcPr>
          <w:p>
            <w:r>
              <w:t>Pass</w:t>
            </w:r>
          </w:p>
        </w:tc>
      </w:tr>
    </w:tbl>
    <w:p>
      <w:pPr>
        <w:pStyle w:val="Heading1"/>
      </w:pPr>
      <w:r>
        <w:t>4. Tooling Comparison</w:t>
      </w:r>
    </w:p>
    <w:p>
      <w:r>
        <w:t>Developer-produced tests encode FBZ-specific business requirements and edge cases. Framework-provided tooling such as pytest supplies discovery, assertions, fixtures and plugin integration. The developer tests therefore answer “is this FBZ behaviour correct?”, while the framework provides the repeatable execution machinery. Neither replaces the other.</w:t>
      </w:r>
    </w:p>
    <w:p>
      <w:pPr>
        <w:pStyle w:val="Heading1"/>
      </w:pPr>
      <w:r>
        <w:t>5. Benefits and Drawbacks</w:t>
      </w:r>
    </w:p>
    <w:p>
      <w:r>
        <w:t>Benefits include regression protection, repeatability, rapid feedback and safer refactoring. Drawbacks include test maintenance, execution time as the suite grows, flaky end-to-end tests when poorly isolated, and the possibility of false confidence when high coverage is paired with weak assertions. Coverage is treated as a diagnostic rather than a quality guarantee.</w:t>
      </w:r>
    </w:p>
    <w:p>
      <w:pPr>
        <w:pStyle w:val="Heading1"/>
      </w:pPr>
      <w:r>
        <w:t>6. Real Dataset Results</w:t>
      </w:r>
    </w:p>
    <w:tbl>
      <w:tblPr>
        <w:tblStyle w:val="TableGrid"/>
        <w:tblW w:type="auto" w:w="0"/>
        <w:tblLook w:firstColumn="1" w:firstRow="1" w:lastColumn="0" w:lastRow="0" w:noHBand="0" w:noVBand="1" w:val="04A0"/>
      </w:tblPr>
      <w:tblGrid>
        <w:gridCol w:w="2016"/>
        <w:gridCol w:w="2016"/>
        <w:gridCol w:w="2016"/>
        <w:gridCol w:w="2016"/>
        <w:gridCol w:w="2016"/>
      </w:tblGrid>
      <w:tr>
        <w:tc>
          <w:tcPr>
            <w:tcW w:type="dxa" w:w="2016"/>
            <w:vAlign w:val="center"/>
          </w:tcPr>
          <w:p>
            <w:r>
              <w:rPr>
                <w:b/>
              </w:rPr>
              <w:t>View</w:t>
            </w:r>
          </w:p>
        </w:tc>
        <w:tc>
          <w:tcPr>
            <w:tcW w:type="dxa" w:w="2016"/>
            <w:vAlign w:val="center"/>
          </w:tcPr>
          <w:p>
            <w:r>
              <w:rPr>
                <w:b/>
              </w:rPr>
              <w:t>Rows</w:t>
            </w:r>
          </w:p>
        </w:tc>
        <w:tc>
          <w:tcPr>
            <w:tcW w:type="dxa" w:w="2016"/>
            <w:vAlign w:val="center"/>
          </w:tcPr>
          <w:p>
            <w:r>
              <w:rPr>
                <w:b/>
              </w:rPr>
              <w:t>Columns</w:t>
            </w:r>
          </w:p>
        </w:tc>
        <w:tc>
          <w:tcPr>
            <w:tcW w:type="dxa" w:w="2016"/>
            <w:vAlign w:val="center"/>
          </w:tcPr>
          <w:p>
            <w:r>
              <w:rPr>
                <w:b/>
              </w:rPr>
              <w:t>Missing titles</w:t>
            </w:r>
          </w:p>
        </w:tc>
        <w:tc>
          <w:tcPr>
            <w:tcW w:type="dxa" w:w="2016"/>
            <w:vAlign w:val="center"/>
          </w:tcPr>
          <w:p>
            <w:r>
              <w:rPr>
                <w:b/>
              </w:rPr>
              <w:t>IDs beginning with 0</w:t>
            </w:r>
          </w:p>
        </w:tc>
      </w:tr>
      <w:tr>
        <w:tc>
          <w:tcPr>
            <w:tcW w:type="dxa" w:w="2016"/>
          </w:tcPr>
          <w:p>
            <w:r>
              <w:t>records.csv</w:t>
            </w:r>
          </w:p>
        </w:tc>
        <w:tc>
          <w:tcPr>
            <w:tcW w:type="dxa" w:w="2016"/>
          </w:tcPr>
          <w:p>
            <w:r>
              <w:t>57746</w:t>
            </w:r>
          </w:p>
        </w:tc>
        <w:tc>
          <w:tcPr>
            <w:tcW w:type="dxa" w:w="2016"/>
          </w:tcPr>
          <w:p>
            <w:r>
              <w:t>27</w:t>
            </w:r>
          </w:p>
        </w:tc>
        <w:tc>
          <w:tcPr>
            <w:tcW w:type="dxa" w:w="2016"/>
          </w:tcPr>
          <w:p>
            <w:r>
              <w:t>0</w:t>
            </w:r>
          </w:p>
        </w:tc>
        <w:tc>
          <w:tcPr>
            <w:tcW w:type="dxa" w:w="2016"/>
          </w:tcPr>
          <w:p>
            <w:r>
              <w:t>57746</w:t>
            </w:r>
          </w:p>
        </w:tc>
      </w:tr>
      <w:tr>
        <w:tc>
          <w:tcPr>
            <w:tcW w:type="dxa" w:w="2016"/>
          </w:tcPr>
          <w:p>
            <w:r>
              <w:t>names.csv</w:t>
            </w:r>
          </w:p>
        </w:tc>
        <w:tc>
          <w:tcPr>
            <w:tcW w:type="dxa" w:w="2016"/>
          </w:tcPr>
          <w:p>
            <w:r>
              <w:t>117873</w:t>
            </w:r>
          </w:p>
        </w:tc>
        <w:tc>
          <w:tcPr>
            <w:tcW w:type="dxa" w:w="2016"/>
          </w:tcPr>
          <w:p>
            <w:r>
              <w:t>27</w:t>
            </w:r>
          </w:p>
        </w:tc>
        <w:tc>
          <w:tcPr>
            <w:tcW w:type="dxa" w:w="2016"/>
          </w:tcPr>
          <w:p>
            <w:r>
              <w:t>0</w:t>
            </w:r>
          </w:p>
        </w:tc>
        <w:tc>
          <w:tcPr>
            <w:tcW w:type="dxa" w:w="2016"/>
          </w:tcPr>
          <w:p>
            <w:r>
              <w:t>117873</w:t>
            </w:r>
          </w:p>
        </w:tc>
      </w:tr>
      <w:tr>
        <w:tc>
          <w:tcPr>
            <w:tcW w:type="dxa" w:w="2016"/>
          </w:tcPr>
          <w:p>
            <w:r>
              <w:t>titles.csv</w:t>
            </w:r>
          </w:p>
        </w:tc>
        <w:tc>
          <w:tcPr>
            <w:tcW w:type="dxa" w:w="2016"/>
          </w:tcPr>
          <w:p>
            <w:r>
              <w:t>77280</w:t>
            </w:r>
          </w:p>
        </w:tc>
        <w:tc>
          <w:tcPr>
            <w:tcW w:type="dxa" w:w="2016"/>
          </w:tcPr>
          <w:p>
            <w:r>
              <w:t>27</w:t>
            </w:r>
          </w:p>
        </w:tc>
        <w:tc>
          <w:tcPr>
            <w:tcW w:type="dxa" w:w="2016"/>
          </w:tcPr>
          <w:p>
            <w:r>
              <w:t>0</w:t>
            </w:r>
          </w:p>
        </w:tc>
        <w:tc>
          <w:tcPr>
            <w:tcW w:type="dxa" w:w="2016"/>
          </w:tcPr>
          <w:p>
            <w:r>
              <w:t>77280</w:t>
            </w:r>
          </w:p>
        </w:tc>
      </w:tr>
      <w:tr>
        <w:tc>
          <w:tcPr>
            <w:tcW w:type="dxa" w:w="2016"/>
          </w:tcPr>
          <w:p>
            <w:r>
              <w:t>topics.csv</w:t>
            </w:r>
          </w:p>
        </w:tc>
        <w:tc>
          <w:tcPr>
            <w:tcW w:type="dxa" w:w="2016"/>
          </w:tcPr>
          <w:p>
            <w:r>
              <w:t>77919</w:t>
            </w:r>
          </w:p>
        </w:tc>
        <w:tc>
          <w:tcPr>
            <w:tcW w:type="dxa" w:w="2016"/>
          </w:tcPr>
          <w:p>
            <w:r>
              <w:t>28</w:t>
            </w:r>
          </w:p>
        </w:tc>
        <w:tc>
          <w:tcPr>
            <w:tcW w:type="dxa" w:w="2016"/>
          </w:tcPr>
          <w:p>
            <w:r>
              <w:t>0</w:t>
            </w:r>
          </w:p>
        </w:tc>
        <w:tc>
          <w:tcPr>
            <w:tcW w:type="dxa" w:w="2016"/>
          </w:tcPr>
          <w:p>
            <w:r>
              <w:t>77919</w:t>
            </w:r>
          </w:p>
        </w:tc>
      </w:tr>
      <w:tr>
        <w:tc>
          <w:tcPr>
            <w:tcW w:type="dxa" w:w="2016"/>
          </w:tcPr>
          <w:p>
            <w:r>
              <w:t>classification.csv</w:t>
            </w:r>
          </w:p>
        </w:tc>
        <w:tc>
          <w:tcPr>
            <w:tcW w:type="dxa" w:w="2016"/>
          </w:tcPr>
          <w:p>
            <w:r>
              <w:t>57844</w:t>
            </w:r>
          </w:p>
        </w:tc>
        <w:tc>
          <w:tcPr>
            <w:tcW w:type="dxa" w:w="2016"/>
          </w:tcPr>
          <w:p>
            <w:r>
              <w:t>27</w:t>
            </w:r>
          </w:p>
        </w:tc>
        <w:tc>
          <w:tcPr>
            <w:tcW w:type="dxa" w:w="2016"/>
          </w:tcPr>
          <w:p>
            <w:r>
              <w:t>0</w:t>
            </w:r>
          </w:p>
        </w:tc>
        <w:tc>
          <w:tcPr>
            <w:tcW w:type="dxa" w:w="2016"/>
          </w:tcPr>
          <w:p>
            <w:r>
              <w:t>57844</w:t>
            </w:r>
          </w:p>
        </w:tc>
      </w:tr>
    </w:tbl>
    <w:p>
      <w:r>
        <w:t>The actual names.csv contains 117,873 rows but only 54,147 unique BL record IDs. This validates the need for aggregation when the user-facing encyclopedia must show multiple title/name rows as one record. The project keeps the raw views intact and performs aggregation through a repository decorator rather than mutating the source dataset.</w:t>
      </w:r>
    </w:p>
    <w:p>
      <w:pPr>
        <w:pStyle w:val="Heading1"/>
      </w:pPr>
      <w:r>
        <w:t>7. Reporting Outputs</w:t>
      </w:r>
    </w:p>
    <w:p>
      <w:r>
        <w:t>reports/real_dataset_analysis.json and reports/final_acceptance_report.json contain machine-readable validation facts and sample real-data searches. The final acceptance report records the top search queries/results observed during the demonstration run and identifies any comics appearing in more than 100 search result sets. In the current demonstration run no comic crossed the &gt;100 threshold; the application nonetheless detects and reports that condition during actual use.</w:t>
      </w:r>
    </w:p>
    <w:p>
      <w:pPr>
        <w:pStyle w:val="Heading1"/>
      </w:pPr>
      <w:r>
        <w:t>8. References</w:t>
      </w:r>
    </w:p>
    <w:p>
      <w:r>
        <w:t>pytest Documentation. https://docs.pytest.org/en/latest/reference/reference.html</w:t>
      </w:r>
    </w:p>
    <w:p>
      <w:r>
        <w:t>Python Software Foundation. csv documentation. https://docs.python.org/3/library/csv.html</w:t>
      </w:r>
    </w:p>
    <w:p>
      <w:r>
        <w:t>British Library. Collection Metadata Services. https://www.bl.uk/services/collection-metadata-services</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