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Unit 20 — Design and Programming Report</w:t>
      </w:r>
    </w:p>
    <w:p>
      <w:pPr>
        <w:jc w:val="center"/>
      </w:pPr>
      <w:r>
        <w:rPr>
          <w:i/>
          <w:sz w:val="22"/>
        </w:rPr>
        <w:t>Fantasy Bazaar (FBZ) Comics Unmasked Dataset Processing Application</w:t>
      </w:r>
    </w:p>
    <w:p>
      <w:r>
        <w:t>Submission document aligned to the supplied Unit 20 assignment brief. It combines the OOP/SOLID analysis, application design, implementation evidence, dataset validation and higher-grade evaluation.</w:t>
      </w:r>
    </w:p>
    <w:p>
      <w:pPr>
        <w:pStyle w:val="Heading1"/>
      </w:pPr>
      <w:r>
        <w:t>1. Assignment and Scenario</w:t>
      </w:r>
    </w:p>
    <w:p>
      <w:r>
        <w:t>The brief asks for a large dataset-processing application for Fantasy Bazaar using the British Library Comics Unmasked data. Required behaviour includes loading the data into memory, filtering by Fantasy/Horror/Science Fiction, grouping by author or publication year, sorting titles, title search, robust handling of special characters and multiple values, an in-memory search list, advanced search, and reporting of popular searches/results. The design also needs OOP/SOLID, clean coding, design patterns and an appropriate test regime.</w:t>
      </w:r>
    </w:p>
    <w:p>
      <w:r>
        <w:t>The brief states that the dataset has five CSV views and that BL record IDs begin with leading zeroes; it also explains that repeated values may be separated by semicolons and that multi-facet values can contain “--”. The implementation preserves these characteristics instead of coercing identifiers to numbers.</w:t>
      </w:r>
    </w:p>
    <w:p>
      <w:pPr>
        <w:pStyle w:val="Heading1"/>
      </w:pPr>
      <w:r>
        <w:t>2. Real Dataset Acquisition and Validation</w:t>
      </w:r>
    </w:p>
    <w:p>
      <w:r>
        <w:t>The exact 2022 Researcher Format package referenced by the assignment was recovered from an Internet Archive snapshot of the original British Library download URL after the old direct URL returned 404. The project stores the downloaded archive and all extracted files under data/raw/extracted/. The current British Library metadata service now states that Researcher Format CSV datasets are available from the British Library Research Repository.</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vAlign w:val="center"/>
          </w:tcPr>
          <w:p>
            <w:r>
              <w:rPr>
                <w:b/>
              </w:rPr>
              <w:t>CSV view</w:t>
            </w:r>
          </w:p>
        </w:tc>
        <w:tc>
          <w:tcPr>
            <w:tcW w:type="dxa" w:w="2016"/>
            <w:vAlign w:val="center"/>
          </w:tcPr>
          <w:p>
            <w:r>
              <w:rPr>
                <w:b/>
              </w:rPr>
              <w:t>Rows</w:t>
            </w:r>
          </w:p>
        </w:tc>
        <w:tc>
          <w:tcPr>
            <w:tcW w:type="dxa" w:w="2016"/>
            <w:vAlign w:val="center"/>
          </w:tcPr>
          <w:p>
            <w:r>
              <w:rPr>
                <w:b/>
              </w:rPr>
              <w:t>Columns</w:t>
            </w:r>
          </w:p>
        </w:tc>
        <w:tc>
          <w:tcPr>
            <w:tcW w:type="dxa" w:w="2016"/>
            <w:vAlign w:val="center"/>
          </w:tcPr>
          <w:p>
            <w:r>
              <w:rPr>
                <w:b/>
              </w:rPr>
              <w:t>Missing titles</w:t>
            </w:r>
          </w:p>
        </w:tc>
        <w:tc>
          <w:tcPr>
            <w:tcW w:type="dxa" w:w="2016"/>
            <w:vAlign w:val="center"/>
          </w:tcPr>
          <w:p>
            <w:r>
              <w:rPr>
                <w:b/>
              </w:rPr>
              <w:t>Leading-zero IDs</w:t>
            </w:r>
          </w:p>
        </w:tc>
      </w:tr>
      <w:tr>
        <w:tc>
          <w:tcPr>
            <w:tcW w:type="dxa" w:w="2016"/>
          </w:tcPr>
          <w:p>
            <w:r>
              <w:t>records.csv</w:t>
            </w:r>
          </w:p>
        </w:tc>
        <w:tc>
          <w:tcPr>
            <w:tcW w:type="dxa" w:w="2016"/>
          </w:tcPr>
          <w:p>
            <w:r>
              <w:t>57746</w:t>
            </w:r>
          </w:p>
        </w:tc>
        <w:tc>
          <w:tcPr>
            <w:tcW w:type="dxa" w:w="2016"/>
          </w:tcPr>
          <w:p>
            <w:r>
              <w:t>27</w:t>
            </w:r>
          </w:p>
        </w:tc>
        <w:tc>
          <w:tcPr>
            <w:tcW w:type="dxa" w:w="2016"/>
          </w:tcPr>
          <w:p>
            <w:r>
              <w:t>0</w:t>
            </w:r>
          </w:p>
        </w:tc>
        <w:tc>
          <w:tcPr>
            <w:tcW w:type="dxa" w:w="2016"/>
          </w:tcPr>
          <w:p>
            <w:r>
              <w:t>57746</w:t>
            </w:r>
          </w:p>
        </w:tc>
      </w:tr>
      <w:tr>
        <w:tc>
          <w:tcPr>
            <w:tcW w:type="dxa" w:w="2016"/>
          </w:tcPr>
          <w:p>
            <w:r>
              <w:t>names.csv</w:t>
            </w:r>
          </w:p>
        </w:tc>
        <w:tc>
          <w:tcPr>
            <w:tcW w:type="dxa" w:w="2016"/>
          </w:tcPr>
          <w:p>
            <w:r>
              <w:t>117873</w:t>
            </w:r>
          </w:p>
        </w:tc>
        <w:tc>
          <w:tcPr>
            <w:tcW w:type="dxa" w:w="2016"/>
          </w:tcPr>
          <w:p>
            <w:r>
              <w:t>27</w:t>
            </w:r>
          </w:p>
        </w:tc>
        <w:tc>
          <w:tcPr>
            <w:tcW w:type="dxa" w:w="2016"/>
          </w:tcPr>
          <w:p>
            <w:r>
              <w:t>0</w:t>
            </w:r>
          </w:p>
        </w:tc>
        <w:tc>
          <w:tcPr>
            <w:tcW w:type="dxa" w:w="2016"/>
          </w:tcPr>
          <w:p>
            <w:r>
              <w:t>117873</w:t>
            </w:r>
          </w:p>
        </w:tc>
      </w:tr>
      <w:tr>
        <w:tc>
          <w:tcPr>
            <w:tcW w:type="dxa" w:w="2016"/>
          </w:tcPr>
          <w:p>
            <w:r>
              <w:t>titles.csv</w:t>
            </w:r>
          </w:p>
        </w:tc>
        <w:tc>
          <w:tcPr>
            <w:tcW w:type="dxa" w:w="2016"/>
          </w:tcPr>
          <w:p>
            <w:r>
              <w:t>77280</w:t>
            </w:r>
          </w:p>
        </w:tc>
        <w:tc>
          <w:tcPr>
            <w:tcW w:type="dxa" w:w="2016"/>
          </w:tcPr>
          <w:p>
            <w:r>
              <w:t>27</w:t>
            </w:r>
          </w:p>
        </w:tc>
        <w:tc>
          <w:tcPr>
            <w:tcW w:type="dxa" w:w="2016"/>
          </w:tcPr>
          <w:p>
            <w:r>
              <w:t>0</w:t>
            </w:r>
          </w:p>
        </w:tc>
        <w:tc>
          <w:tcPr>
            <w:tcW w:type="dxa" w:w="2016"/>
          </w:tcPr>
          <w:p>
            <w:r>
              <w:t>77280</w:t>
            </w:r>
          </w:p>
        </w:tc>
      </w:tr>
      <w:tr>
        <w:tc>
          <w:tcPr>
            <w:tcW w:type="dxa" w:w="2016"/>
          </w:tcPr>
          <w:p>
            <w:r>
              <w:t>topics.csv</w:t>
            </w:r>
          </w:p>
        </w:tc>
        <w:tc>
          <w:tcPr>
            <w:tcW w:type="dxa" w:w="2016"/>
          </w:tcPr>
          <w:p>
            <w:r>
              <w:t>77919</w:t>
            </w:r>
          </w:p>
        </w:tc>
        <w:tc>
          <w:tcPr>
            <w:tcW w:type="dxa" w:w="2016"/>
          </w:tcPr>
          <w:p>
            <w:r>
              <w:t>28</w:t>
            </w:r>
          </w:p>
        </w:tc>
        <w:tc>
          <w:tcPr>
            <w:tcW w:type="dxa" w:w="2016"/>
          </w:tcPr>
          <w:p>
            <w:r>
              <w:t>0</w:t>
            </w:r>
          </w:p>
        </w:tc>
        <w:tc>
          <w:tcPr>
            <w:tcW w:type="dxa" w:w="2016"/>
          </w:tcPr>
          <w:p>
            <w:r>
              <w:t>77919</w:t>
            </w:r>
          </w:p>
        </w:tc>
      </w:tr>
      <w:tr>
        <w:tc>
          <w:tcPr>
            <w:tcW w:type="dxa" w:w="2016"/>
          </w:tcPr>
          <w:p>
            <w:r>
              <w:t>classification.csv</w:t>
            </w:r>
          </w:p>
        </w:tc>
        <w:tc>
          <w:tcPr>
            <w:tcW w:type="dxa" w:w="2016"/>
          </w:tcPr>
          <w:p>
            <w:r>
              <w:t>57844</w:t>
            </w:r>
          </w:p>
        </w:tc>
        <w:tc>
          <w:tcPr>
            <w:tcW w:type="dxa" w:w="2016"/>
          </w:tcPr>
          <w:p>
            <w:r>
              <w:t>27</w:t>
            </w:r>
          </w:p>
        </w:tc>
        <w:tc>
          <w:tcPr>
            <w:tcW w:type="dxa" w:w="2016"/>
          </w:tcPr>
          <w:p>
            <w:r>
              <w:t>0</w:t>
            </w:r>
          </w:p>
        </w:tc>
        <w:tc>
          <w:tcPr>
            <w:tcW w:type="dxa" w:w="2016"/>
          </w:tcPr>
          <w:p>
            <w:r>
              <w:t>57844</w:t>
            </w:r>
          </w:p>
        </w:tc>
      </w:tr>
    </w:tbl>
    <w:p>
      <w:r>
        <w:t>names.csv contains 117,873 rows and 54,147 unique BL record IDs. That duplicate-row structure is important: the application aggregates rows by BL record ID so a resource with multiple name/title/facet rows is presented as one record, with variant metadata retained as list-like semicolon-separated values.</w:t>
      </w:r>
    </w:p>
    <w:p>
      <w:r>
        <w:t>After exact genre filtering, the aggregated names view contains 4,793 Fantasy records, 1,929 Horror records and 9,356 Science Fiction records. The project also keeps the full unfiltered views for Phase 2 field searches.</w:t>
      </w:r>
    </w:p>
    <w:p>
      <w:r>
        <w:drawing>
          <wp:inline xmlns:a="http://schemas.openxmlformats.org/drawingml/2006/main" xmlns:pic="http://schemas.openxmlformats.org/drawingml/2006/picture">
            <wp:extent cx="6035040" cy="335280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035040" cy="3352800"/>
                    </a:xfrm>
                    <a:prstGeom prst="rect"/>
                  </pic:spPr>
                </pic:pic>
              </a:graphicData>
            </a:graphic>
          </wp:inline>
        </w:drawing>
      </w:r>
    </w:p>
    <w:p>
      <w:pPr>
        <w:jc w:val="center"/>
      </w:pPr>
      <w:r>
        <w:t>Figure 1. Layered architecture.</w:t>
      </w:r>
    </w:p>
    <w:p>
      <w:pPr>
        <w:pStyle w:val="Heading1"/>
      </w:pPr>
      <w:r>
        <w:t>3. Functional Design</w:t>
      </w:r>
    </w:p>
    <w:tbl>
      <w:tblPr>
        <w:tblStyle w:val="TableGrid"/>
        <w:tblW w:type="auto" w:w="0"/>
        <w:tblLook w:firstColumn="1" w:firstRow="1" w:lastColumn="0" w:lastRow="0" w:noHBand="0" w:noVBand="1" w:val="04A0"/>
      </w:tblPr>
      <w:tblGrid>
        <w:gridCol w:w="3360"/>
        <w:gridCol w:w="3360"/>
        <w:gridCol w:w="3360"/>
      </w:tblGrid>
      <w:tr>
        <w:tc>
          <w:tcPr>
            <w:tcW w:type="dxa" w:w="3360"/>
            <w:vAlign w:val="center"/>
          </w:tcPr>
          <w:p>
            <w:r>
              <w:rPr>
                <w:b/>
              </w:rPr>
              <w:t>Requirement</w:t>
            </w:r>
          </w:p>
        </w:tc>
        <w:tc>
          <w:tcPr>
            <w:tcW w:type="dxa" w:w="3360"/>
            <w:vAlign w:val="center"/>
          </w:tcPr>
          <w:p>
            <w:r>
              <w:rPr>
                <w:b/>
              </w:rPr>
              <w:t>Implemented design</w:t>
            </w:r>
          </w:p>
        </w:tc>
        <w:tc>
          <w:tcPr>
            <w:tcW w:type="dxa" w:w="3360"/>
            <w:vAlign w:val="center"/>
          </w:tcPr>
          <w:p>
            <w:r>
              <w:rPr>
                <w:b/>
              </w:rPr>
              <w:t>Evidence</w:t>
            </w:r>
          </w:p>
        </w:tc>
      </w:tr>
      <w:tr>
        <w:tc>
          <w:tcPr>
            <w:tcW w:type="dxa" w:w="3360"/>
          </w:tcPr>
          <w:p>
            <w:r>
              <w:t>Load dataset into memory</w:t>
            </w:r>
          </w:p>
        </w:tc>
        <w:tc>
          <w:tcPr>
            <w:tcW w:type="dxa" w:w="3360"/>
          </w:tcPr>
          <w:p>
            <w:r>
              <w:t>CSV repository using csv.DictReader; aggregated names view for one-record presentation</w:t>
            </w:r>
          </w:p>
        </w:tc>
        <w:tc>
          <w:tcPr>
            <w:tcW w:type="dxa" w:w="3360"/>
          </w:tcPr>
          <w:p>
            <w:r>
              <w:t>src/fbz/repositories/</w:t>
            </w:r>
          </w:p>
        </w:tc>
      </w:tr>
      <w:tr>
        <w:tc>
          <w:tcPr>
            <w:tcW w:type="dxa" w:w="3360"/>
          </w:tcPr>
          <w:p>
            <w:r>
              <w:t>Allowed genres</w:t>
            </w:r>
          </w:p>
        </w:tc>
        <w:tc>
          <w:tcPr>
            <w:tcW w:type="dxa" w:w="3360"/>
          </w:tcPr>
          <w:p>
            <w:r>
              <w:t>Exact Fantasy/Horror/Science Fiction matching</w:t>
            </w:r>
          </w:p>
        </w:tc>
        <w:tc>
          <w:tcPr>
            <w:tcW w:type="dxa" w:w="3360"/>
          </w:tcPr>
          <w:p>
            <w:r>
              <w:t>EncyclopediaService.filter_genre</w:t>
            </w:r>
          </w:p>
        </w:tc>
      </w:tr>
      <w:tr>
        <w:tc>
          <w:tcPr>
            <w:tcW w:type="dxa" w:w="3360"/>
          </w:tcPr>
          <w:p>
            <w:r>
              <w:t>Group by author/year</w:t>
            </w:r>
          </w:p>
        </w:tc>
        <w:tc>
          <w:tcPr>
            <w:tcW w:type="dxa" w:w="3360"/>
          </w:tcPr>
          <w:p>
            <w:r>
              <w:t>Grouping over tokenised aggregated fields</w:t>
            </w:r>
          </w:p>
        </w:tc>
        <w:tc>
          <w:tcPr>
            <w:tcW w:type="dxa" w:w="3360"/>
          </w:tcPr>
          <w:p>
            <w:r>
              <w:t>EncyclopediaService.group_by_*</w:t>
            </w:r>
          </w:p>
        </w:tc>
      </w:tr>
      <w:tr>
        <w:tc>
          <w:tcPr>
            <w:tcW w:type="dxa" w:w="3360"/>
          </w:tcPr>
          <w:p>
            <w:r>
              <w:t>A–Z / Z–A titles</w:t>
            </w:r>
          </w:p>
        </w:tc>
        <w:tc>
          <w:tcPr>
            <w:tcW w:type="dxa" w:w="3360"/>
          </w:tcPr>
          <w:p>
            <w:r>
              <w:t>Stable sort by case-folded title</w:t>
            </w:r>
          </w:p>
        </w:tc>
        <w:tc>
          <w:tcPr>
            <w:tcW w:type="dxa" w:w="3360"/>
          </w:tcPr>
          <w:p>
            <w:r>
              <w:t>sorted_titles</w:t>
            </w:r>
          </w:p>
        </w:tc>
      </w:tr>
      <w:tr>
        <w:tc>
          <w:tcPr>
            <w:tcW w:type="dxa" w:w="3360"/>
          </w:tcPr>
          <w:p>
            <w:r>
              <w:t>Manual title search</w:t>
            </w:r>
          </w:p>
        </w:tc>
        <w:tc>
          <w:tcPr>
            <w:tcW w:type="dxa" w:w="3360"/>
          </w:tcPr>
          <w:p>
            <w:r>
              <w:t>Case-insensitive title substring search</w:t>
            </w:r>
          </w:p>
        </w:tc>
        <w:tc>
          <w:tcPr>
            <w:tcW w:type="dxa" w:w="3360"/>
          </w:tcPr>
          <w:p>
            <w:r>
              <w:t>search_title + CLI</w:t>
            </w:r>
          </w:p>
        </w:tc>
      </w:tr>
      <w:tr>
        <w:tc>
          <w:tcPr>
            <w:tcW w:type="dxa" w:w="3360"/>
          </w:tcPr>
          <w:p>
            <w:r>
              <w:t>Special characters</w:t>
            </w:r>
          </w:p>
        </w:tc>
        <w:tc>
          <w:tcPr>
            <w:tcW w:type="dxa" w:w="3360"/>
          </w:tcPr>
          <w:p>
            <w:r>
              <w:t>Unicode preserved; strings are not narrowed to ASCII</w:t>
            </w:r>
          </w:p>
        </w:tc>
        <w:tc>
          <w:tcPr>
            <w:tcW w:type="dxa" w:w="3360"/>
          </w:tcPr>
          <w:p>
            <w:r>
              <w:t>CSV UTF-8 handling + tests</w:t>
            </w:r>
          </w:p>
        </w:tc>
      </w:tr>
      <w:tr>
        <w:tc>
          <w:tcPr>
            <w:tcW w:type="dxa" w:w="3360"/>
          </w:tcPr>
          <w:p>
            <w:r>
              <w:t>Repeated values</w:t>
            </w:r>
          </w:p>
        </w:tc>
        <w:tc>
          <w:tcPr>
            <w:tcW w:type="dxa" w:w="3360"/>
          </w:tcPr>
          <w:p>
            <w:r>
              <w:t>Semicolon-separated values tokenised and displayed individually</w:t>
            </w:r>
          </w:p>
        </w:tc>
        <w:tc>
          <w:tcPr>
            <w:tcW w:type="dxa" w:w="3360"/>
          </w:tcPr>
          <w:p>
            <w:r>
              <w:t>Comic.tokens + format_record</w:t>
            </w:r>
          </w:p>
        </w:tc>
      </w:tr>
      <w:tr>
        <w:tc>
          <w:tcPr>
            <w:tcW w:type="dxa" w:w="3360"/>
          </w:tcPr>
          <w:p>
            <w:r>
              <w:t>Missing ISBN</w:t>
            </w:r>
          </w:p>
        </w:tc>
        <w:tc>
          <w:tcPr>
            <w:tcW w:type="dxa" w:w="3360"/>
          </w:tcPr>
          <w:p>
            <w:r>
              <w:t>Missing ISBN rendered as “missing”</w:t>
            </w:r>
          </w:p>
        </w:tc>
        <w:tc>
          <w:tcPr>
            <w:tcW w:type="dxa" w:w="3360"/>
          </w:tcPr>
          <w:p>
            <w:r>
              <w:t>format_record</w:t>
            </w:r>
          </w:p>
        </w:tc>
      </w:tr>
      <w:tr>
        <w:tc>
          <w:tcPr>
            <w:tcW w:type="dxa" w:w="3360"/>
          </w:tcPr>
          <w:p>
            <w:r>
              <w:t>Multiple titles</w:t>
            </w:r>
          </w:p>
        </w:tc>
        <w:tc>
          <w:tcPr>
            <w:tcW w:type="dxa" w:w="3360"/>
          </w:tcPr>
          <w:p>
            <w:r>
              <w:t>Rows aggregated by BL record ID and variants retained</w:t>
            </w:r>
          </w:p>
        </w:tc>
        <w:tc>
          <w:tcPr>
            <w:tcW w:type="dxa" w:w="3360"/>
          </w:tcPr>
          <w:p>
            <w:r>
              <w:t>AggregatingComicRepository</w:t>
            </w:r>
          </w:p>
        </w:tc>
      </w:tr>
      <w:tr>
        <w:tc>
          <w:tcPr>
            <w:tcW w:type="dxa" w:w="3360"/>
          </w:tcPr>
          <w:p>
            <w:r>
              <w:t>Search list</w:t>
            </w:r>
          </w:p>
        </w:tc>
        <w:tc>
          <w:tcPr>
            <w:tcW w:type="dxa" w:w="3360"/>
          </w:tcPr>
          <w:p>
            <w:r>
              <w:t>In-memory tuple; no account/persistent account state</w:t>
            </w:r>
          </w:p>
        </w:tc>
        <w:tc>
          <w:tcPr>
            <w:tcW w:type="dxa" w:w="3360"/>
          </w:tcPr>
          <w:p>
            <w:r>
              <w:t>save_to_search_list/reset</w:t>
            </w:r>
          </w:p>
        </w:tc>
      </w:tr>
      <w:tr>
        <w:tc>
          <w:tcPr>
            <w:tcW w:type="dxa" w:w="3360"/>
          </w:tcPr>
          <w:p>
            <w:r>
              <w:t>Advanced search</w:t>
            </w:r>
          </w:p>
        </w:tc>
        <w:tc>
          <w:tcPr>
            <w:tcW w:type="dxa" w:w="3360"/>
          </w:tcPr>
          <w:p>
            <w:r>
              <w:t>Author/year/genre/edition/languages/name type/title</w:t>
            </w:r>
          </w:p>
        </w:tc>
        <w:tc>
          <w:tcPr>
            <w:tcW w:type="dxa" w:w="3360"/>
          </w:tcPr>
          <w:p>
            <w:r>
              <w:t>advanced_search</w:t>
            </w:r>
          </w:p>
        </w:tc>
      </w:tr>
      <w:tr>
        <w:tc>
          <w:tcPr>
            <w:tcW w:type="dxa" w:w="3360"/>
          </w:tcPr>
          <w:p>
            <w:r>
              <w:t>Phase 2 views</w:t>
            </w:r>
          </w:p>
        </w:tc>
        <w:tc>
          <w:tcPr>
            <w:tcW w:type="dxa" w:w="3360"/>
          </w:tcPr>
          <w:p>
            <w:r>
              <w:t>Classification/names/titles/topics search + generic CSV repository</w:t>
            </w:r>
          </w:p>
        </w:tc>
        <w:tc>
          <w:tcPr>
            <w:tcW w:type="dxa" w:w="3360"/>
          </w:tcPr>
          <w:p>
            <w:r>
              <w:t>search_field</w:t>
            </w:r>
          </w:p>
        </w:tc>
      </w:tr>
      <w:tr>
        <w:tc>
          <w:tcPr>
            <w:tcW w:type="dxa" w:w="3360"/>
          </w:tcPr>
          <w:p>
            <w:r>
              <w:t>Future XML</w:t>
            </w:r>
          </w:p>
        </w:tc>
        <w:tc>
          <w:tcPr>
            <w:tcW w:type="dxa" w:w="3360"/>
          </w:tcPr>
          <w:p>
            <w:r>
              <w:t>XML repository adapter</w:t>
            </w:r>
          </w:p>
        </w:tc>
        <w:tc>
          <w:tcPr>
            <w:tcW w:type="dxa" w:w="3360"/>
          </w:tcPr>
          <w:p>
            <w:r>
              <w:t>XmlComicRepository</w:t>
            </w:r>
          </w:p>
        </w:tc>
      </w:tr>
      <w:tr>
        <w:tc>
          <w:tcPr>
            <w:tcW w:type="dxa" w:w="3360"/>
          </w:tcPr>
          <w:p>
            <w:r>
              <w:t>Popular reporting</w:t>
            </w:r>
          </w:p>
        </w:tc>
        <w:tc>
          <w:tcPr>
            <w:tcW w:type="dxa" w:w="3360"/>
          </w:tcPr>
          <w:p>
            <w:r>
              <w:t>Search query/result telemetry and &gt;100 threshold reporting</w:t>
            </w:r>
          </w:p>
        </w:tc>
        <w:tc>
          <w:tcPr>
            <w:tcW w:type="dxa" w:w="3360"/>
          </w:tcPr>
          <w:p>
            <w:r>
              <w:t>top_search_queries/top_search_results/comics_over_threshold</w:t>
            </w:r>
          </w:p>
        </w:tc>
      </w:tr>
    </w:tbl>
    <w:p>
      <w:pPr>
        <w:pStyle w:val="Heading1"/>
      </w:pPr>
      <w:r>
        <w:t>4. OOP and SOLID Design</w:t>
      </w:r>
    </w:p>
    <w:p>
      <w:r>
        <w:drawing>
          <wp:inline xmlns:a="http://schemas.openxmlformats.org/drawingml/2006/main" xmlns:pic="http://schemas.openxmlformats.org/drawingml/2006/picture">
            <wp:extent cx="6035040" cy="3688080"/>
            <wp:docPr id="2" name="Picture 2"/>
            <wp:cNvGraphicFramePr>
              <a:graphicFrameLocks noChangeAspect="1"/>
            </wp:cNvGraphicFramePr>
            <a:graphic>
              <a:graphicData uri="http://schemas.openxmlformats.org/drawingml/2006/picture">
                <pic:pic>
                  <pic:nvPicPr>
                    <pic:cNvPr id="0" name="class_diagram.png"/>
                    <pic:cNvPicPr/>
                  </pic:nvPicPr>
                  <pic:blipFill>
                    <a:blip r:embed="rId10"/>
                    <a:stretch>
                      <a:fillRect/>
                    </a:stretch>
                  </pic:blipFill>
                  <pic:spPr>
                    <a:xfrm>
                      <a:off x="0" y="0"/>
                      <a:ext cx="6035040" cy="3688080"/>
                    </a:xfrm>
                    <a:prstGeom prst="rect"/>
                  </pic:spPr>
                </pic:pic>
              </a:graphicData>
            </a:graphic>
          </wp:inline>
        </w:drawing>
      </w:r>
    </w:p>
    <w:p>
      <w:pPr>
        <w:jc w:val="center"/>
      </w:pPr>
      <w:r>
        <w:t>Figure 2. Main class/pattern relationships.</w:t>
      </w:r>
    </w:p>
    <w:p>
      <w:pPr>
        <w:pStyle w:val="Heading2"/>
      </w:pPr>
      <w:r>
        <w:t>Encapsulation</w:t>
      </w:r>
    </w:p>
    <w:p>
      <w:r>
        <w:t>Comic owns the representation and tokenisation behaviour of a catalogue record; callers do not manipulate raw CSV rows.</w:t>
      </w:r>
    </w:p>
    <w:p>
      <w:pPr>
        <w:pStyle w:val="Heading2"/>
      </w:pPr>
      <w:r>
        <w:t>Abstraction</w:t>
      </w:r>
    </w:p>
    <w:p>
      <w:r>
        <w:t>ComicRepository and SearchStrategy define focused contracts; services use the contracts rather than concrete storage/search classes.</w:t>
      </w:r>
    </w:p>
    <w:p>
      <w:pPr>
        <w:pStyle w:val="Heading2"/>
      </w:pPr>
      <w:r>
        <w:t>Polymorphism</w:t>
      </w:r>
    </w:p>
    <w:p>
      <w:r>
        <w:t>Title, Author, Genre and Year strategies implement the same SearchStrategy contract and are interchangeable.</w:t>
      </w:r>
    </w:p>
    <w:p>
      <w:pPr>
        <w:pStyle w:val="Heading2"/>
      </w:pPr>
      <w:r>
        <w:t>Inheritance</w:t>
      </w:r>
    </w:p>
    <w:p>
      <w:r>
        <w:t>Abstract repository/strategy contracts provide purposeful inheritance for interchangeable behaviours rather than using inheritance only for code reuse.</w:t>
      </w:r>
    </w:p>
    <w:p>
      <w:pPr>
        <w:pStyle w:val="Heading2"/>
      </w:pPr>
      <w:r>
        <w:t>Single Responsibility</w:t>
      </w:r>
    </w:p>
    <w:p>
      <w:r>
        <w:t>CSV parsing, domain modelling, business search, favourites, telemetry and presentation are separate responsibilities.</w:t>
      </w:r>
    </w:p>
    <w:p>
      <w:pPr>
        <w:pStyle w:val="Heading2"/>
      </w:pPr>
      <w:r>
        <w:t>Open/Closed</w:t>
      </w:r>
    </w:p>
    <w:p>
      <w:r>
        <w:t>New search algorithms can be added as strategies without changing SearchService.</w:t>
      </w:r>
    </w:p>
    <w:p>
      <w:pPr>
        <w:pStyle w:val="Heading2"/>
      </w:pPr>
      <w:r>
        <w:t>Liskov Substitution</w:t>
      </w:r>
    </w:p>
    <w:p>
      <w:r>
        <w:t>Any SearchStrategy or ComicRepository implementation can fulfil the contract expected by consumers.</w:t>
      </w:r>
    </w:p>
    <w:p>
      <w:pPr>
        <w:pStyle w:val="Heading2"/>
      </w:pPr>
      <w:r>
        <w:t>Interface Segregation</w:t>
      </w:r>
    </w:p>
    <w:p>
      <w:r>
        <w:t>Interfaces are small: repository access and search strategy are not combined into one large interface.</w:t>
      </w:r>
    </w:p>
    <w:p>
      <w:pPr>
        <w:pStyle w:val="Heading2"/>
      </w:pPr>
      <w:r>
        <w:t>Dependency Inversion</w:t>
      </w:r>
    </w:p>
    <w:p>
      <w:r>
        <w:t>SearchService and EncyclopediaService depend on ComicRepository, which enables in-memory repositories for tests and alternative data sources.</w:t>
      </w:r>
    </w:p>
    <w:p>
      <w:pPr>
        <w:pStyle w:val="Heading1"/>
      </w:pPr>
      <w:r>
        <w:t>5. Clean Coding and Algorithms</w:t>
      </w:r>
    </w:p>
    <w:p>
      <w:r>
        <w:t>The application uses explicit names, type hints, immutable dataclasses, small focused methods, validation near input boundaries, and dependency injection. Search is O(n) over the in-memory sequence. Alphabetical sorting is O(n log n). Token-frequency aggregation uses Counter-style counting. The chosen algorithms are intentionally simple and deterministic for an in-memory educational dataset processor; indexed/database search would be a sensible future optimisation for much larger or frequently updated data.</w:t>
      </w:r>
    </w:p>
    <w:p>
      <w:pPr>
        <w:pStyle w:val="Heading1"/>
      </w:pPr>
      <w:r>
        <w:t>6. Design Patterns</w:t>
      </w:r>
    </w:p>
    <w:tbl>
      <w:tblPr>
        <w:tblStyle w:val="TableGrid"/>
        <w:tblW w:type="auto" w:w="0"/>
        <w:tblLook w:firstColumn="1" w:firstRow="1" w:lastColumn="0" w:lastRow="0" w:noHBand="0" w:noVBand="1" w:val="04A0"/>
      </w:tblPr>
      <w:tblGrid>
        <w:gridCol w:w="3360"/>
        <w:gridCol w:w="3360"/>
        <w:gridCol w:w="3360"/>
      </w:tblGrid>
      <w:tr>
        <w:tc>
          <w:tcPr>
            <w:tcW w:type="dxa" w:w="3360"/>
            <w:vAlign w:val="center"/>
          </w:tcPr>
          <w:p>
            <w:r>
              <w:rPr>
                <w:b/>
              </w:rPr>
              <w:t>Pattern family</w:t>
            </w:r>
          </w:p>
        </w:tc>
        <w:tc>
          <w:tcPr>
            <w:tcW w:type="dxa" w:w="3360"/>
            <w:vAlign w:val="center"/>
          </w:tcPr>
          <w:p>
            <w:r>
              <w:rPr>
                <w:b/>
              </w:rPr>
              <w:t>Pattern/technique</w:t>
            </w:r>
          </w:p>
        </w:tc>
        <w:tc>
          <w:tcPr>
            <w:tcW w:type="dxa" w:w="3360"/>
            <w:vAlign w:val="center"/>
          </w:tcPr>
          <w:p>
            <w:r>
              <w:rPr>
                <w:b/>
              </w:rPr>
              <w:t>Why used</w:t>
            </w:r>
          </w:p>
        </w:tc>
      </w:tr>
      <w:tr>
        <w:tc>
          <w:tcPr>
            <w:tcW w:type="dxa" w:w="3360"/>
          </w:tcPr>
          <w:p>
            <w:r>
              <w:t>Behavioural</w:t>
            </w:r>
          </w:p>
        </w:tc>
        <w:tc>
          <w:tcPr>
            <w:tcW w:type="dxa" w:w="3360"/>
          </w:tcPr>
          <w:p>
            <w:r>
              <w:t>Strategy</w:t>
            </w:r>
          </w:p>
        </w:tc>
        <w:tc>
          <w:tcPr>
            <w:tcW w:type="dxa" w:w="3360"/>
          </w:tcPr>
          <w:p>
            <w:r>
              <w:t>Title/author/genre/year searches are interchangeable algorithms.</w:t>
            </w:r>
          </w:p>
        </w:tc>
      </w:tr>
      <w:tr>
        <w:tc>
          <w:tcPr>
            <w:tcW w:type="dxa" w:w="3360"/>
          </w:tcPr>
          <w:p>
            <w:r>
              <w:t>Creational</w:t>
            </w:r>
          </w:p>
        </w:tc>
        <w:tc>
          <w:tcPr>
            <w:tcW w:type="dxa" w:w="3360"/>
          </w:tcPr>
          <w:p>
            <w:r>
              <w:t>Simple Factory</w:t>
            </w:r>
          </w:p>
        </w:tc>
        <w:tc>
          <w:tcPr>
            <w:tcW w:type="dxa" w:w="3360"/>
          </w:tcPr>
          <w:p>
            <w:r>
              <w:t>Centralises construction of the concrete strategy selected by the search type.</w:t>
            </w:r>
          </w:p>
        </w:tc>
      </w:tr>
      <w:tr>
        <w:tc>
          <w:tcPr>
            <w:tcW w:type="dxa" w:w="3360"/>
          </w:tcPr>
          <w:p>
            <w:r>
              <w:t>Structural / architectural</w:t>
            </w:r>
          </w:p>
        </w:tc>
        <w:tc>
          <w:tcPr>
            <w:tcW w:type="dxa" w:w="3360"/>
          </w:tcPr>
          <w:p>
            <w:r>
              <w:t>Repository</w:t>
            </w:r>
          </w:p>
        </w:tc>
        <w:tc>
          <w:tcPr>
            <w:tcW w:type="dxa" w:w="3360"/>
          </w:tcPr>
          <w:p>
            <w:r>
              <w:t>Separates CSV/XML persistence from application logic and enables test doubles.</w:t>
            </w:r>
          </w:p>
        </w:tc>
      </w:tr>
    </w:tbl>
    <w:p>
      <w:r>
        <w:t>The project intentionally describes SearchStrategyFactory as a simple factory rather than incorrectly labelling it the formal GoF Factory Method pattern. This distinction improves technical accuracy while still demonstrating the creational design objective. Strategy is classified as a behavioural pattern in the standard design-pattern catalogue.</w:t>
      </w:r>
    </w:p>
    <w:p>
      <w:pPr>
        <w:pStyle w:val="Heading1"/>
      </w:pPr>
      <w:r>
        <w:t>7. Implementation</w:t>
      </w:r>
    </w:p>
    <w:p>
      <w:r>
        <w:t>The implementation is under src/fbz/. The command-line entry point supports both direct command usage and an interactive nine-option encyclopedia menu. The default path points to the supplied names.csv view and aggregates repeated rows by BL record ID, while any of the five CSV views can be passed explicitly for Phase 2 searching.</w:t>
      </w:r>
    </w:p>
    <w:p>
      <w:pPr>
        <w:pStyle w:val="Heading1"/>
      </w:pPr>
      <w:r>
        <w:t>8. Verification Results</w:t>
      </w:r>
    </w:p>
    <w:p>
      <w:r>
        <w:t>The final automated suite includes unit, integration and CLI/end-to-end tests. The real dataset acceptance tests load all five official CSV views and verify their observed row counts and leading-zero IDs.</w:t>
      </w:r>
    </w:p>
    <w:tbl>
      <w:tblPr>
        <w:tblStyle w:val="TableGrid"/>
        <w:tblW w:type="auto" w:w="0"/>
        <w:tblLook w:firstColumn="1" w:firstRow="1" w:lastColumn="0" w:lastRow="0" w:noHBand="0" w:noVBand="1" w:val="04A0"/>
      </w:tblPr>
      <w:tblGrid>
        <w:gridCol w:w="5040"/>
        <w:gridCol w:w="5040"/>
      </w:tblGrid>
      <w:tr>
        <w:tc>
          <w:tcPr>
            <w:tcW w:type="dxa" w:w="5040"/>
            <w:vAlign w:val="center"/>
          </w:tcPr>
          <w:p>
            <w:r>
              <w:rPr>
                <w:b/>
              </w:rPr>
              <w:t>Verification</w:t>
            </w:r>
          </w:p>
        </w:tc>
        <w:tc>
          <w:tcPr>
            <w:tcW w:type="dxa" w:w="5040"/>
            <w:vAlign w:val="center"/>
          </w:tcPr>
          <w:p>
            <w:r>
              <w:rPr>
                <w:b/>
              </w:rPr>
              <w:t>Result</w:t>
            </w:r>
          </w:p>
        </w:tc>
      </w:tr>
      <w:tr>
        <w:tc>
          <w:tcPr>
            <w:tcW w:type="dxa" w:w="5040"/>
          </w:tcPr>
          <w:p>
            <w:r>
              <w:t>Automated tests</w:t>
            </w:r>
          </w:p>
        </w:tc>
        <w:tc>
          <w:tcPr>
            <w:tcW w:type="dxa" w:w="5040"/>
          </w:tcPr>
          <w:p>
            <w:r>
              <w:t>26 passed</w:t>
            </w:r>
          </w:p>
        </w:tc>
      </w:tr>
      <w:tr>
        <w:tc>
          <w:tcPr>
            <w:tcW w:type="dxa" w:w="5040"/>
          </w:tcPr>
          <w:p>
            <w:r>
              <w:t>Real five-view load test</w:t>
            </w:r>
          </w:p>
        </w:tc>
        <w:tc>
          <w:tcPr>
            <w:tcW w:type="dxa" w:w="5040"/>
          </w:tcPr>
          <w:p>
            <w:r>
              <w:t>Passed</w:t>
            </w:r>
          </w:p>
        </w:tc>
      </w:tr>
      <w:tr>
        <w:tc>
          <w:tcPr>
            <w:tcW w:type="dxa" w:w="5040"/>
          </w:tcPr>
          <w:p>
            <w:r>
              <w:t>Real names.csv scale</w:t>
            </w:r>
          </w:p>
        </w:tc>
        <w:tc>
          <w:tcPr>
            <w:tcW w:type="dxa" w:w="5040"/>
          </w:tcPr>
          <w:p>
            <w:r>
              <w:t>117,873 raw rows</w:t>
            </w:r>
          </w:p>
        </w:tc>
      </w:tr>
      <w:tr>
        <w:tc>
          <w:tcPr>
            <w:tcW w:type="dxa" w:w="5040"/>
          </w:tcPr>
          <w:p>
            <w:r>
              <w:t>Aggregated unique records</w:t>
            </w:r>
          </w:p>
        </w:tc>
        <w:tc>
          <w:tcPr>
            <w:tcW w:type="dxa" w:w="5040"/>
          </w:tcPr>
          <w:p>
            <w:r>
              <w:t>54,147</w:t>
            </w:r>
          </w:p>
        </w:tc>
      </w:tr>
      <w:tr>
        <w:tc>
          <w:tcPr>
            <w:tcW w:type="dxa" w:w="5040"/>
          </w:tcPr>
          <w:p>
            <w:r>
              <w:t>Coverage before final added acceptance-only paths</w:t>
            </w:r>
          </w:p>
        </w:tc>
        <w:tc>
          <w:tcPr>
            <w:tcW w:type="dxa" w:w="5040"/>
          </w:tcPr>
          <w:p>
            <w:r>
              <w:t>93% reported on the earlier application suite; final coverage should be read from the latest run in reports/</w:t>
            </w:r>
          </w:p>
        </w:tc>
      </w:tr>
    </w:tbl>
    <w:p>
      <w:pPr>
        <w:pStyle w:val="Heading1"/>
      </w:pPr>
      <w:r>
        <w:t>9. References</w:t>
      </w:r>
    </w:p>
    <w:p>
      <w:r>
        <w:t>British Library. Collection Metadata Services. https://www.bl.uk/services/collection-metadata-services</w:t>
      </w:r>
    </w:p>
    <w:p>
      <w:r>
        <w:t>British Library. Sharing British Library Open Metadata with Our Communities. https://www.bl.uk/about/governance/policies/sharing-british-library-open-metadata-with-our-communities</w:t>
      </w:r>
    </w:p>
    <w:p>
      <w:r>
        <w:t>Python Software Foundation. csv — CSV File Reading and Writing. https://docs.python.org/3/library/csv.html</w:t>
      </w:r>
    </w:p>
    <w:p>
      <w:r>
        <w:t>pytest Documentation. API Reference / Fixtures. https://docs.pytest.org/en/latest/reference/reference.html</w:t>
      </w:r>
    </w:p>
    <w:p>
      <w:r>
        <w:t>Refactoring.Guru. Strategy. https://refactoring.guru/design-patterns/strategy</w:t>
      </w:r>
    </w:p>
    <w:p>
      <w:r>
        <w:t>Refactoring.Guru. Design Patterns Catalogue. https://refactoring.guru/design-patterns/catalog</w:t>
      </w:r>
    </w:p>
    <w:p>
      <w:r>
        <w:t>British Library. Researcher Format package used by the supplied brief; exact 2022 ZIP recovered from the Internet Archive snapshot cited in project evidence.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