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center"/>
      </w:pPr>
      <w:r>
        <w:rPr>
          <w:rFonts w:ascii="Times New Roman" w:cs="Times New Roman" w:eastAsia="Times New Roman" w:hAnsi="Times New Roman"/>
          <w:b/>
          <w:bCs/>
          <w:color w:val="990000"/>
          <w:sz w:val="20"/>
          <w:szCs w:val="20"/>
        </w:rPr>
        <w:t xml:space="preserve">DRAFT PROPOSAL — FOR INTERNAL DEVELOPMENT</w:t>
      </w:r>
    </w:p>
    <w:p>
      <w:pPr>
        <w:spacing w:after="120"/>
        <w:jc w:val="center"/>
      </w:pPr>
      <w:r>
        <w:rPr>
          <w:rFonts w:ascii="Times New Roman" w:cs="Times New Roman" w:eastAsia="Times New Roman" w:hAnsi="Times New Roman"/>
          <w:b/>
          <w:bCs/>
          <w:sz w:val="32"/>
          <w:szCs w:val="32"/>
        </w:rPr>
        <w:t xml:space="preserve">SIM2FIELD: Simulation-Driven Development of an Autonomous</w:t>
      </w:r>
    </w:p>
    <w:p>
      <w:pPr>
        <w:spacing w:after="240"/>
        <w:jc w:val="center"/>
      </w:pPr>
      <w:r>
        <w:rPr>
          <w:rFonts w:ascii="Times New Roman" w:cs="Times New Roman" w:eastAsia="Times New Roman" w:hAnsi="Times New Roman"/>
          <w:b/>
          <w:bCs/>
          <w:sz w:val="32"/>
          <w:szCs w:val="32"/>
        </w:rPr>
        <w:t xml:space="preserve">Watermelon Harvesting System on the Open-Source Amiga Platform</w:t>
      </w:r>
    </w:p>
    <w:p>
      <w:pPr>
        <w:spacing w:after="120" w:line="276"/>
        <w:jc w:val="center"/>
      </w:pPr>
      <w:r>
        <w:rPr>
          <w:rFonts w:ascii="Times New Roman" w:cs="Times New Roman" w:eastAsia="Times New Roman" w:hAnsi="Times New Roman"/>
          <w:b/>
          <w:bCs/>
          <w:sz w:val="20"/>
          <w:szCs w:val="20"/>
        </w:rPr>
        <w:t xml:space="preserve">Target program: </w:t>
      </w:r>
      <w:r>
        <w:rPr>
          <w:rFonts w:ascii="Times New Roman" w:cs="Times New Roman" w:eastAsia="Times New Roman" w:hAnsi="Times New Roman"/>
          <w:sz w:val="20"/>
          <w:szCs w:val="20"/>
        </w:rPr>
        <w:t xml:space="preserve">USDA NIFA AFRI Foundational and Applied Science — A1521, Engineering for Agricultural Production Systems (Standard Grant, 36 months). Program cap $650,000 including indirect costs; confirm against the current RFA before submission.</w:t>
      </w:r>
    </w:p>
    <w:p>
      <w:pPr>
        <w:spacing w:after="120" w:line="276"/>
        <w:jc w:val="center"/>
      </w:pPr>
      <w:r>
        <w:rPr>
          <w:rFonts w:ascii="Times New Roman" w:cs="Times New Roman" w:eastAsia="Times New Roman" w:hAnsi="Times New Roman"/>
          <w:b/>
          <w:bCs/>
          <w:sz w:val="20"/>
          <w:szCs w:val="20"/>
        </w:rPr>
        <w:t xml:space="preserve">Project Director: </w:t>
      </w:r>
      <w:r>
        <w:rPr>
          <w:rFonts w:ascii="Times New Roman" w:cs="Times New Roman" w:eastAsia="Times New Roman" w:hAnsi="Times New Roman"/>
          <w:sz w:val="20"/>
          <w:szCs w:val="20"/>
        </w:rPr>
        <w:t xml:space="preserve">[PI Name], Ph.D. — Agricultural &amp; Biosystems Engineering, Clemson University</w:t>
      </w:r>
    </w:p>
    <w:p>
      <w:pPr>
        <w:spacing w:after="300" w:line="276"/>
        <w:jc w:val="center"/>
      </w:pPr>
      <w:r>
        <w:rPr>
          <w:rFonts w:ascii="Times New Roman" w:cs="Times New Roman" w:eastAsia="Times New Roman" w:hAnsi="Times New Roman"/>
          <w:b/>
          <w:bCs/>
          <w:sz w:val="20"/>
          <w:szCs w:val="20"/>
        </w:rPr>
        <w:t xml:space="preserve">Total federal request: </w:t>
      </w:r>
      <w:r>
        <w:rPr>
          <w:rFonts w:ascii="Times New Roman" w:cs="Times New Roman" w:eastAsia="Times New Roman" w:hAnsi="Times New Roman"/>
          <w:sz w:val="20"/>
          <w:szCs w:val="20"/>
        </w:rPr>
        <w:t xml:space="preserve">$649,315 of $650,000 cap  •  Prototype hardware BOM capped at $50,000</w:t>
      </w:r>
    </w:p>
    <w:p>
      <w:pPr>
        <w:pStyle w:val="Heading1"/>
        <w:spacing w:after="140" w:before="260"/>
      </w:pPr>
      <w:r>
        <w:rPr>
          <w:rFonts w:ascii="Times New Roman" w:cs="Times New Roman" w:eastAsia="Times New Roman" w:hAnsi="Times New Roman"/>
          <w:b/>
          <w:bCs/>
          <w:color w:val="1F3864"/>
          <w:sz w:val="26"/>
          <w:szCs w:val="26"/>
        </w:rPr>
        <w:t xml:space="preserve">Project Summary</w:t>
      </w:r>
    </w:p>
    <w:p>
      <w:pPr>
        <w:spacing w:after="120" w:line="276"/>
        <w:jc w:val="both"/>
      </w:pPr>
      <w:r>
        <w:rPr>
          <w:rFonts w:ascii="Times New Roman" w:cs="Times New Roman" w:eastAsia="Times New Roman" w:hAnsi="Times New Roman"/>
          <w:sz w:val="22"/>
          <w:szCs w:val="22"/>
        </w:rPr>
        <w:t xml:space="preserve">Watermelon remains one of the last major U.S. specialty crops harvested entirely by hand. Crews walk each row, judge ripeness by eye and by ear, cut and lift fruit that commonly weighs 5–10 kg, and pass melons hand-to-hand to a trailing vehicle — physically punishing work performed under increasingly scarce and expensive seasonal labor. This project develops and field-validates an autonomous, row-following watermelon harvesting system built on the open-source farm-ng Amiga platform. The system integrates front-toolbar stereo vision for melon detection and localization, a rail-mounted planar parallel manipulator — two frame-mounted telescopic cylinders converging on a single gripper node, sized for heavy fruit and fitted with a compliant paddle gripper — that picks each fruit at a fixed station inside the rover wheelbase, and a supervisory controller that sequences detection, drive-over approach, grasp, and gentle in-plane placement into a side-towed collection trailer.</w:t>
      </w:r>
    </w:p>
    <w:p>
      <w:pPr>
        <w:spacing w:after="120" w:line="276"/>
        <w:jc w:val="both"/>
      </w:pPr>
      <w:r>
        <w:rPr>
          <w:rFonts w:ascii="Times New Roman" w:cs="Times New Roman" w:eastAsia="Times New Roman" w:hAnsi="Times New Roman"/>
          <w:sz w:val="22"/>
          <w:szCs w:val="22"/>
        </w:rPr>
        <w:t xml:space="preserve">The technical approach is built on adaptive, next-generation AI rather than rules-based automation, organized around five threads: generative synthetic data for rare field edge cases; multi-modal perception that fuses RGB, stereo depth, 3D structure, and near-infrared reflectance to find fruit the same color as its canopy; a deep-reinforcement-learning grasp policy that modulates grip force from tactile feedback in real time; a live digital twin that remains connected to the fielded robot; and fully offline edge inference on robot-mounted NVIDIA Jetson hardware. A browser-based kinematic digital twin of the complete system — vision cone, drive controller, closed-form manipulator kinematics, and trailer logistics — has already been developed by the PI and is used to co-design hardware before any metal is cut, to seed the synthetic-data pipeline, and to serve as a public education and extension artifact. All hardware designs, software, and datasets will be released open source on the Amiga ecosystem, lowering the barrier for other researchers, extension programs, and small and mid-sized growers to adapt the system. Expected outcomes include a field-validated prototype achieving selective harvest at walking pace with less than 5% fruit damage, a public melon detection dataset, a techno-economic analysis for Southeastern production systems, and curriculum modules that carry the digital twin into undergraduate robotics instruction.</w:t>
      </w:r>
    </w:p>
    <w:p>
      <w:pPr>
        <w:pStyle w:val="Heading1"/>
        <w:spacing w:after="140" w:before="260"/>
      </w:pPr>
      <w:r>
        <w:rPr>
          <w:rFonts w:ascii="Times New Roman" w:cs="Times New Roman" w:eastAsia="Times New Roman" w:hAnsi="Times New Roman"/>
          <w:b/>
          <w:bCs/>
          <w:color w:val="1F3864"/>
          <w:sz w:val="26"/>
          <w:szCs w:val="26"/>
        </w:rPr>
        <w:t xml:space="preserve">1. Introduction and Justification of Need</w:t>
      </w:r>
    </w:p>
    <w:p>
      <w:pPr>
        <w:spacing w:after="120" w:line="276"/>
        <w:jc w:val="both"/>
      </w:pPr>
      <w:r>
        <w:rPr>
          <w:rFonts w:ascii="Times New Roman" w:cs="Times New Roman" w:eastAsia="Times New Roman" w:hAnsi="Times New Roman"/>
          <w:sz w:val="22"/>
          <w:szCs w:val="22"/>
        </w:rPr>
        <w:t xml:space="preserve">Harvest is the dominant labor cost in watermelon production, and the work itself is among the most strenuous in specialty agriculture: fruit is heavy, low to the ground, and easily bruised, and harvest windows compress decision-making into a few high-pressure weeks. Growers across the Southeast report chronic difficulty assembling harvest crews, rising H-2A costs, and fruit left in the field when labor is unavailable at peak ripeness. [Insert current state/regional acreage, farm-gate value, and labor-cost citations here — SC, GA, FL production statistics strengthen the regional case.]</w:t>
      </w:r>
    </w:p>
    <w:p>
      <w:pPr>
        <w:spacing w:after="120" w:line="276"/>
        <w:jc w:val="both"/>
      </w:pPr>
      <w:r>
        <w:rPr>
          <w:rFonts w:ascii="Times New Roman" w:cs="Times New Roman" w:eastAsia="Times New Roman" w:hAnsi="Times New Roman"/>
          <w:sz w:val="22"/>
          <w:szCs w:val="22"/>
        </w:rPr>
        <w:t xml:space="preserve">Mechanization efforts for melons have historically stalled for three reasons. First, the fruit is an order of magnitude heavier than the specialty crops targeted by most robotic harvesting research, which pushes commercial cobot arms past their payload ratings and demands purpose-built manipulators. Second, ripeness cues are subtle and partially occluded by canopy, requiring close-range perception rather than orchard-style long-range detection. Third, one-off research platforms rarely survive contact with commercial fields and are nearly impossible for other groups to reproduce. This project addresses all three: a purpose-built parallel-cylinder manipulator designed for the payload, close-range stereo perception on an adjustable-track rover that straddles production beds, and an open, commercially supported base platform — the farm-ng Amiga — that any land-grant program can purchase and replicate.</w:t>
      </w:r>
    </w:p>
    <w:p>
      <w:pPr>
        <w:pStyle w:val="Heading1"/>
        <w:spacing w:after="140" w:before="260"/>
      </w:pPr>
      <w:r>
        <w:rPr>
          <w:rFonts w:ascii="Times New Roman" w:cs="Times New Roman" w:eastAsia="Times New Roman" w:hAnsi="Times New Roman"/>
          <w:b/>
          <w:bCs/>
          <w:color w:val="1F3864"/>
          <w:sz w:val="26"/>
          <w:szCs w:val="26"/>
        </w:rPr>
        <w:t xml:space="preserve">2. Objectives</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Simulation-driven co-design. </w:t>
      </w:r>
      <w:r>
        <w:rPr>
          <w:rFonts w:ascii="Times New Roman" w:cs="Times New Roman" w:eastAsia="Times New Roman" w:hAnsi="Times New Roman"/>
          <w:sz w:val="22"/>
          <w:szCs w:val="22"/>
        </w:rPr>
        <w:t xml:space="preserve">Extend the existing kinematic digital twin into a calibrated design tool and a generative synthetic-data engine: finalize manipulator geometry, actuator sizing, and cycle-time budgets before fabrication, and use diffusion-based augmentation over twin renders and neural field reconstructions of real rows to mass-produce rare edge cases — buried, vine-occluded, and mud-splattered fruit — for perception pre-training.</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Perception and selective-harvest decision. </w:t>
      </w:r>
      <w:r>
        <w:rPr>
          <w:rFonts w:ascii="Times New Roman" w:cs="Times New Roman" w:eastAsia="Times New Roman" w:hAnsi="Times New Roman"/>
          <w:sz w:val="22"/>
          <w:szCs w:val="22"/>
        </w:rPr>
        <w:t xml:space="preserve">Pair deterministic sweep-and-segment active canopy management — a torque-limited soft-brush sweeper that opens a clearance corridor ahead of the harvest head — with a gated multi-modal perception pipeline fusing RGB, stereo depth, 3D canopy structure, and near-infrared reflectance, targeting ≥95% detection of harvest-ready fruit and ≤2 cm localization error at grasp range, with all inference running offline on robot-mounted edge hardware.</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System integration on the Amiga. </w:t>
      </w:r>
      <w:r>
        <w:rPr>
          <w:rFonts w:ascii="Times New Roman" w:cs="Times New Roman" w:eastAsia="Times New Roman" w:hAnsi="Times New Roman"/>
          <w:sz w:val="22"/>
          <w:szCs w:val="22"/>
        </w:rPr>
        <w:t xml:space="preserve">Fabricate a minimal-DOF two-cylinder planar parallel manipulator — all rotary joint drives eliminated through drive-over co-design; the rail-mounted cylinder pair directly spans the pick-to-trailer workspace, with motion planning that explicitly enforces stroke limits, chassis keep-out volumes, and a transmission-angle bound that keeps the mechanism away from its parallel singularities — with a tactile-instrumented compliant gripper; train a deep-reinforcement-learning grasp policy that adapts grip force in real time from tactile and load-cell feedback; and integrate drive, vision, and manipulation under a ROS 2 / CAN supervisory controller executing the DRIVE → STAGE → ALIGN → GRAB → LIFT → SWING → LOWER → RELEASE cycle into a side-towed collection trailer.</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Field validation, economics, and extension. </w:t>
      </w:r>
      <w:r>
        <w:rPr>
          <w:rFonts w:ascii="Times New Roman" w:cs="Times New Roman" w:eastAsia="Times New Roman" w:hAnsi="Times New Roman"/>
          <w:sz w:val="22"/>
          <w:szCs w:val="22"/>
        </w:rPr>
        <w:t xml:space="preserve">Operate the twin as a live digital twin during two seasons of on-farm trials with grower cooperators — edge-first in the field, synchronizing telemetry opportunistically to refine models and trajectories between missions; quantify throughput, damage rate, and miss rate against hand crews; deliver a techno-economic analysis; and release all designs, code, data, and the digital twin as open educational resources.</w:t>
      </w:r>
    </w:p>
    <w:p>
      <w:pPr>
        <w:pStyle w:val="Heading2"/>
        <w:spacing w:after="100" w:before="200"/>
      </w:pPr>
      <w:r>
        <w:rPr>
          <w:rFonts w:ascii="Times New Roman" w:cs="Times New Roman" w:eastAsia="Times New Roman" w:hAnsi="Times New Roman"/>
          <w:b/>
          <w:bCs/>
          <w:color w:val="355E3B"/>
          <w:sz w:val="23"/>
          <w:szCs w:val="23"/>
        </w:rPr>
        <w:t xml:space="preserve">Intellectual merit</w:t>
      </w:r>
    </w:p>
    <w:p>
      <w:pPr>
        <w:spacing w:after="120" w:line="276"/>
        <w:jc w:val="both"/>
      </w:pPr>
      <w:r>
        <w:rPr>
          <w:rFonts w:ascii="Times New Roman" w:cs="Times New Roman" w:eastAsia="Times New Roman" w:hAnsi="Times New Roman"/>
          <w:sz w:val="22"/>
          <w:szCs w:val="22"/>
        </w:rPr>
        <w:t xml:space="preserve">The intellectual contribution is not another bounding-box detector on a rover: it is an integrated demonstration of adaptive intelligence for heavy-payload selective harvest. Specifically: (i) generative augmentation — diffusion models conditioned on digital-twin renders and neural radiance/Gaussian-splat field reconstructions — as a principled route to edge-case robustness for a crop whose failure modes (burial, occlusion, soiling) are rare in any collectible dataset; (ii) multi-modal fusion that recovers fruit from structure and reflectance when color is uninformative; (iii) sim-to-real deep reinforcement learning for compliant, force-adaptive grasping of bruise-prone 5–10 kg fruit; and (iv) a quantified account of how faithfully a lightweight, open, browser-based digital twin — kept live against the fielded robot — predicts and improves field performance. Each thread is evaluated against the milestone gates in Section 4 and each is publishable independent of full-system success, which bounds project risk.</w:t>
      </w:r>
    </w:p>
    <w:p>
      <w:pPr>
        <w:pStyle w:val="Heading1"/>
        <w:spacing w:after="140" w:before="260"/>
      </w:pPr>
      <w:r>
        <w:rPr>
          <w:rFonts w:ascii="Times New Roman" w:cs="Times New Roman" w:eastAsia="Times New Roman" w:hAnsi="Times New Roman"/>
          <w:b/>
          <w:bCs/>
          <w:color w:val="1F3864"/>
          <w:sz w:val="26"/>
          <w:szCs w:val="26"/>
        </w:rPr>
        <w:t xml:space="preserve">3. Approach</w:t>
      </w:r>
    </w:p>
    <w:p>
      <w:pPr>
        <w:pStyle w:val="Heading2"/>
        <w:spacing w:after="100" w:before="200"/>
      </w:pPr>
      <w:r>
        <w:rPr>
          <w:rFonts w:ascii="Times New Roman" w:cs="Times New Roman" w:eastAsia="Times New Roman" w:hAnsi="Times New Roman"/>
          <w:b/>
          <w:bCs/>
          <w:color w:val="355E3B"/>
          <w:sz w:val="23"/>
          <w:szCs w:val="23"/>
        </w:rPr>
        <w:t xml:space="preserve">3.1 Objective 1 — Simulation-driven co-design</w:t>
      </w:r>
    </w:p>
    <w:p>
      <w:pPr>
        <w:spacing w:after="120" w:line="276"/>
        <w:jc w:val="both"/>
      </w:pPr>
      <w:r>
        <w:rPr>
          <w:rFonts w:ascii="Times New Roman" w:cs="Times New Roman" w:eastAsia="Times New Roman" w:hAnsi="Times New Roman"/>
          <w:sz w:val="22"/>
          <w:szCs w:val="22"/>
        </w:rPr>
        <w:t xml:space="preserve">The PI has developed a complete browser-based digital twin of the proposed system in which every subsystem is already represented: the drive-over Amiga chassis with adjustable stance towing a side collection trailer, an aimable stereo detection cone with occlusion-gated range logic, sweep-and-segment canopy clearing on the front toolbar, a proportional drive controller (v = Kp(x* − x)) that stages each fruit at the mid-frame pick station, and a rail-mounted planar parallel manipulator whose behavior is governed by closed-form kinematics rather than animation. The two telescopic struts converge on a directly draggable gripper node, so the actuator lengths are themselves the task coordinates — Lᵢ = |G − Bᵢ| = √(Δz² + Δy²) — and each cylinder is solved every cycle as a two-point member pinned to both pivots. The twin also enforces the constraints a fielded machine must respect: stroke-annulus workspace limits, a collision keep-out volume at the trailer bin wall, a flat-singularity ceiling below the rail line, and a live transmission-angle metric γ that flags approach to the parallel singularity. Because the gripper head hangs gravity-plumb from the node, tool orientation is passively maintained — a deliberate mechanical simplification that removes actuated degrees of freedom and their failure modes.</w:t>
      </w:r>
    </w:p>
    <w:p>
      <w:pPr>
        <w:spacing w:after="120" w:line="276"/>
        <w:jc w:val="both"/>
      </w:pPr>
      <w:r>
        <w:rPr>
          <w:rFonts w:ascii="Times New Roman" w:cs="Times New Roman" w:eastAsia="Times New Roman" w:hAnsi="Times New Roman"/>
          <w:sz w:val="22"/>
          <w:szCs w:val="22"/>
        </w:rPr>
        <w:t xml:space="preserve">In Year 1 the twin will be promoted from concept demonstrator to calibrated engineering tool: rail base spacing (the Amiga track width itself), rail height, telescopic stroke limits, and keep-out margins become free design variables optimized against reach envelope, transmission angle, cycle time, and peak actuator load with melon mass applied at the tip; candidate geometries are then verified against manufacturability constraints. The twin then becomes the front end of a generative synthetic-data engine: rendered scenes are expanded with diffusion-based augmentation (photorealistic re-texturing, soil splatter, lighting and weather shifts) and with neural field reconstructions (NeRF / Gaussian splatting) of real Clemson rows captured by the PI's UAV remote-sensing program, so that thousands of rare anomalies — partially buried fruit, dense vine occlusion, mud-obscured rind — exist in the training corpus before the physical robot ever enters a field. The environment is retained throughout the project as the regression test bed: every field anomaly is reproduced in simulation, added to the corpus, and closed out before a hardware fix is attempted.</w:t>
      </w:r>
    </w:p>
    <w:p>
      <w:pPr>
        <w:pStyle w:val="Heading2"/>
        <w:spacing w:after="100" w:before="200"/>
      </w:pPr>
      <w:r>
        <w:rPr>
          <w:rFonts w:ascii="Times New Roman" w:cs="Times New Roman" w:eastAsia="Times New Roman" w:hAnsi="Times New Roman"/>
          <w:b/>
          <w:bCs/>
          <w:color w:val="355E3B"/>
          <w:sz w:val="23"/>
          <w:szCs w:val="23"/>
        </w:rPr>
        <w:t xml:space="preserve">3.2 Objective 2 — Active canopy management and selective-harvest perception</w:t>
      </w:r>
    </w:p>
    <w:p>
      <w:pPr>
        <w:spacing w:after="120" w:line="276"/>
        <w:jc w:val="both"/>
      </w:pPr>
      <w:r>
        <w:rPr>
          <w:rFonts w:ascii="Times New Roman" w:cs="Times New Roman" w:eastAsia="Times New Roman" w:hAnsi="Times New Roman"/>
          <w:sz w:val="22"/>
          <w:szCs w:val="22"/>
        </w:rPr>
        <w:t xml:space="preserve">Green-on-green occlusion is attacked mechanically before it is attacked statistically. A sweep-and-segment module — a 12 V soft-nylon rotary brush on a spring-loaded floating mount, positioned roughly 30 cm ahead of the harvest head on the Amiga's front rails, with a 3D-printed air-knife nozzle as a non-contact alternative for fragile late-season vines — opens a temporary clearance corridor along the bed as the rover advances. This is targeted lift-and-look, not defoliation: vines are displaced, not cut, preserving canopy and yield. Three corridor modalities will be bench-compared in Year 1 — the rotary brush (widest corridor, entanglement-managed), the air knife (non-contact, no mechanical fruit or vine damage, highest power draw), and passive spring-steel lifter fingers (zero power, zero entanglement risk, narrowest corridor) — selecting per growth stage rather than assuming one is universally best. A second, wrist-mounted air-puff nozzle then provides point clearing at the grasp site: when the corridor stage leaves residual leaves on a locked target, or when an occluded fruit is approached from an RTK-GNSS prior, the manipulator clears the rind with a directed burst during final alignment — so a missed sweep degrades to a one-second delay rather than a missed fruit. Perception is trigger-gated rather than continuous: frames are processed only when the clearance zone behind the brush is in view; depth clustering rejects flat leaf surfaces and accepts hemispherical blobs with a distinct depth discontinuity from the soil plane; and on target lock the drive controller halts and — because the exposure point lies inside the manipulator's minimum-reach annulus — backs the rover to the computed pick station, a maneuver already implemented and validated in the digital twin. The known vine-wrap hazard of rotary sweepers is mitigated in hardware and software: a mechanical slip clutch plus a software current limit that instantly reverses the brush to shed a wound vine before it uproots the plant or stalls the drive motors, with every jam event logged as telemetry into the live twin. This division of labor is deliberate systems engineering: a deterministic mechanical stage converts most occlusion cases into computationally light exposed-fruit detection — cutting training-data demand and edge compute load — while the learned stack below covers what the sweeper cannot expose.</w:t>
      </w:r>
    </w:p>
    <w:p>
      <w:pPr>
        <w:spacing w:after="120" w:line="276"/>
        <w:jc w:val="both"/>
      </w:pPr>
      <w:r>
        <w:rPr>
          <w:rFonts w:ascii="Times New Roman" w:cs="Times New Roman" w:eastAsia="Times New Roman" w:hAnsi="Times New Roman"/>
          <w:sz w:val="22"/>
          <w:szCs w:val="22"/>
        </w:rPr>
        <w:t xml:space="preserve">Watermelon defeats color-only vision by design: the fruit matches its canopy. For the residual cases — deep-set fruit the sweeper cannot expose, dense mid-season canopy, and maturity assessment on exposed rind — the perception stack fuses four modalities — RGB and stereo depth from two OAK-D Pro W cameras on a front-toolbar mast looking down into the clearance corridor — with the manipulator at the rear, the sight line is clear by construction, canopy structure from a solid-state 3D lidar, and near-infrared reflectance from a rind-facing NIR module — through a multi-modal backbone fine-tuned from a pretrained vision foundation model on the synthetic corpus of Objective 1 plus field-collected imagery. The model is trained to infer fruit presence from structural cues (vine convergence, ground-spot geometry, canopy displacement) rather than color alone, recovering occluded melons that bounding-box detectors miss; maturity is screened from NIR rind reflectance, ground-spot color, and size class, with tap-response audio at the gripper as an exploratory modality. A wrist-mounted RealSense D405 verifies grasp geometry at close range. Detection triggers the same geometric gate implemented in the twin — range and bearing within the calibrated field of view — so simulated and fielded behavior remain directly comparable. Annotated multi-modal imagery from both seasons will be curated into a public field-scale watermelon dataset, which does not currently exist.</w:t>
      </w:r>
    </w:p>
    <w:p>
      <w:pPr>
        <w:pStyle w:val="Heading2"/>
        <w:spacing w:after="100" w:before="200"/>
      </w:pPr>
      <w:r>
        <w:rPr>
          <w:rFonts w:ascii="Times New Roman" w:cs="Times New Roman" w:eastAsia="Times New Roman" w:hAnsi="Times New Roman"/>
          <w:b/>
          <w:bCs/>
          <w:color w:val="355E3B"/>
          <w:sz w:val="23"/>
          <w:szCs w:val="23"/>
        </w:rPr>
        <w:t xml:space="preserve">3.3 Objective 3 — Integration and control</w:t>
      </w:r>
    </w:p>
    <w:p>
      <w:pPr>
        <w:spacing w:after="120" w:line="276"/>
        <w:jc w:val="both"/>
      </w:pPr>
      <w:r>
        <w:rPr>
          <w:rFonts w:ascii="Times New Roman" w:cs="Times New Roman" w:eastAsia="Times New Roman" w:hAnsi="Times New Roman"/>
          <w:sz w:val="22"/>
          <w:szCs w:val="22"/>
        </w:rPr>
        <w:t xml:space="preserve">The system adopts a drive-over architecture that exploits the Amiga's defining feature — an adjustable track (36–90 in.) and wheelbase with an open tool space beneath the frame. The rover straddles the bed; the sweeper and vision mast occupy the front toolbar; each fruit passes through the tool space as the rover advances; and the manipulator picks it at a fixed mid-frame station at the center of the rover's own wheelbase. This front-to-back workflow means the camera's downward sight line into the clearance corridor is permanently clear of the manipulator by construction, no reversing maneuver is required (the drive controller simply advances until the locked target reaches the pick station), and pick geometry is identical for every fruit, which tightens cycle-time variance. This architecture also drives a deliberate degree-of-freedom reduction, a co-design result produced in the digital twin: because the vehicle itself supplies the x axis, every rotary manipulator joint is eliminated. The picker is a planar PARALLEL mechanism working in the transverse plane at mid-wheelbase: the portal frame's side rails are raised to strut height, each of two multi-stage telescopic cylinders mounts its base clevis directly on its own rail, and the pair converges on a single gravity-plumb gripper node, so the actuator lengths are themselves the task coordinates — Lᵢ = |G − Bᵢ| = √(Δz² + Δy²) — and the inverse kinematics is the identity. This buys four things at once: both actuators ground to the frame, minimizing moving mass and maximizing stiffness under a 5–10 kg payload; lateral (z) fruit scatter is positioned out actively in-plane rather than absorbed by gripper compliance; the same in-plane stroke that picks at the bed centerline places directly into the side-towed trailer, eliminating the transfer chute; and the workspace — the intersection of the two stroke annuli — scales with the Amiga's adjustable track, since the base pivots are the rails themselves — widening the stance directly improves the mechanism's transmission angle. Two prismatic drives plus a grip: fewer drives to fail in the field, trivial control, lower cost, and — because pick and place are fixed poses every cycle — highly repeatable cycle times. The manipulator will be fabricated from the Objective 1 geometry using electric linear actuators in place of the simulated hydraulics — identical two-point kinematics, simpler field maintenance. The paddle gripper closes compliant jaws — instrumented with load cells and a piezoresistive tactile array — around the fruit's equator. Grip force is governed by a deep-reinforcement-learning policy trained in the contact-augmented digital twin under domain randomization over fruit mass, rind stiffness, and surface friction, then transferred to hardware: the policy modulates clamping pressure and lift trajectory in real time from tactile feedback, tightening on incipient slip and easing before bruising thresholds, with a conservative rule-based force controller retained as a verified safety fallback. Damage-threshold labels come from instrumented firmness audits, so the reward function is grounded in post-harvest quality rather than proxy metrics. All inference — detection, fusion, and the grasp policy — is optimized (quantization and TensorRT compilation) to run entirely on the robot-mounted NVIDIA Jetson Orin NX and Amiga Brain, with no cloud dependency in the control loop: the system harvests at full capability with zero connectivity, the operating reality of rural fields. The supervisory controller runs on the Amiga Brain, communicating over the platform's native CAN bus and ROS 2 bridge; the mission state machine validated in simulation transfers directly, with each melon placed into indexed padded slots in the collection trailer. Safety interlocks — e-stops, bumper lidar, and a geofenced operating envelope — are designed in from first fabrication, not retrofitted.</w:t>
      </w:r>
    </w:p>
    <w:p>
      <w:pPr>
        <w:pStyle w:val="Heading2"/>
        <w:spacing w:after="100" w:before="200"/>
      </w:pPr>
      <w:r>
        <w:rPr>
          <w:rFonts w:ascii="Times New Roman" w:cs="Times New Roman" w:eastAsia="Times New Roman" w:hAnsi="Times New Roman"/>
          <w:b/>
          <w:bCs/>
          <w:color w:val="355E3B"/>
          <w:sz w:val="23"/>
          <w:szCs w:val="23"/>
        </w:rPr>
        <w:t xml:space="preserve">3.4 Live digital twin and edge-first autonomy</w:t>
      </w:r>
    </w:p>
    <w:p>
      <w:pPr>
        <w:spacing w:after="120" w:line="276"/>
        <w:jc w:val="both"/>
      </w:pPr>
      <w:r>
        <w:rPr>
          <w:rFonts w:ascii="Times New Roman" w:cs="Times New Roman" w:eastAsia="Times New Roman" w:hAnsi="Times New Roman"/>
          <w:sz w:val="22"/>
          <w:szCs w:val="22"/>
        </w:rPr>
        <w:t xml:space="preserve">The design-phase twin is not discarded at fabrication; it is promoted to a live digital twin that persists alongside the fielded robot. Operation is edge-first: every picking decision executes offline on-robot. Telemetry — poses, cycle times, actuator loads, detection confidences, battery state, and imagery of every anomaly — is logged locally and synchronized opportunistically whenever connectivity exists (farm Wi-Fi at the charger, or the field radio link). Between missions the twin replays logged rows against its predictions, flags divergences, retrains perception and grasp models on the accumulated corpus, and re-optimizes approach trajectories and drive-speed schedules against measured energy consumption; validated updates are pushed back to the edge as versioned deployments. This closes the loop the twin opened in Objective 1 and produces one of the project's methodological contributions: a measured account of simulation-to-field fidelity and of how much field performance improves per synchronization cycle.</w:t>
      </w:r>
    </w:p>
    <w:p>
      <w:pPr>
        <w:pStyle w:val="Heading2"/>
        <w:spacing w:after="100" w:before="200"/>
      </w:pPr>
      <w:r>
        <w:rPr>
          <w:rFonts w:ascii="Times New Roman" w:cs="Times New Roman" w:eastAsia="Times New Roman" w:hAnsi="Times New Roman"/>
          <w:b/>
          <w:bCs/>
          <w:color w:val="355E3B"/>
          <w:sz w:val="23"/>
          <w:szCs w:val="23"/>
        </w:rPr>
        <w:t xml:space="preserve">3.5 Objective 4 — Field validation, economics, and extension</w:t>
      </w:r>
    </w:p>
    <w:p>
      <w:pPr>
        <w:spacing w:after="120" w:line="276"/>
        <w:jc w:val="both"/>
      </w:pPr>
      <w:r>
        <w:rPr>
          <w:rFonts w:ascii="Times New Roman" w:cs="Times New Roman" w:eastAsia="Times New Roman" w:hAnsi="Times New Roman"/>
          <w:sz w:val="22"/>
          <w:szCs w:val="22"/>
        </w:rPr>
        <w:t xml:space="preserve">Trials proceed from a campus research farm (Year 2) to commercial grower-cooperator fields (Year 3), harvesting instrumented rows against matched hand-crew controls. Primary metrics are picks per hour, harvest-ready recall, false-pick rate, and post-harvest damage assessed by firmness and shelf-life audit. The techno-economic analysis models ownership and operating cost per acre across Southeastern farm-size classes and identifies the throughput threshold at which the system competes with crew labor. All CAD, control software, trained models, the dataset, and the digital twin will be released under permissive licenses in the Amiga ecosystem; the twin additionally becomes a laboratory module in the PI's undergraduate robotics instruction and a centerpiece of field days hosted with cooperating growers and Clemson Extension.</w:t>
      </w:r>
    </w:p>
    <w:p>
      <w:pPr>
        <w:pStyle w:val="Heading1"/>
        <w:spacing w:after="140" w:before="260"/>
      </w:pPr>
      <w:r>
        <w:rPr>
          <w:rFonts w:ascii="Times New Roman" w:cs="Times New Roman" w:eastAsia="Times New Roman" w:hAnsi="Times New Roman"/>
          <w:b/>
          <w:bCs/>
          <w:color w:val="1F3864"/>
          <w:sz w:val="26"/>
          <w:szCs w:val="26"/>
        </w:rPr>
        <w:t xml:space="preserve">4. Timeline and Milestones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1560"/>
        <w:gridCol w:w="1560"/>
      </w:tblGrid>
      <w:tr>
        <w:tc>
          <w:tcPr>
            <w:tcW w:type="dxa" w:w="42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Activity</w:t>
            </w:r>
          </w:p>
        </w:tc>
        <w:tc>
          <w:tcPr>
            <w:tcW w:type="dxa" w:w="156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1</w:t>
            </w:r>
          </w:p>
        </w:tc>
        <w:tc>
          <w:tcPr>
            <w:tcW w:type="dxa" w:w="156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2</w:t>
            </w:r>
          </w:p>
        </w:tc>
        <w:tc>
          <w:tcPr>
            <w:tcW w:type="dxa" w:w="156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3</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Digital-twin calibration; design optimization; synthetic data</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Manipulator, gripper, and leaf-sweeper fabrication; bench validation</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Multi-modal perception: generative corpus, fusion model training</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DRL grasp policy: contact sim, sim-to-real transfer, tactile tuning</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Amiga integration: CAN/ROS 2 controller, trailer logistics, safety</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Research-farm trials (Season 1)</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Grower-cooperator field trials (Season 2)</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Techno-economic analysis; dataset and open-source release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r>
        <w:tc>
          <w:tcPr>
            <w:tcW w:type="dxa" w:w="42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Extension field days; curriculum modules; publications</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t>
            </w:r>
          </w:p>
        </w:tc>
      </w:tr>
    </w:tbl>
    <w:p>
      <w:pPr>
        <w:spacing w:after="120" w:line="276"/>
        <w:jc w:val="both"/>
      </w:pPr>
      <w:r>
        <w:rPr>
          <w:rFonts w:ascii="Times New Roman" w:cs="Times New Roman" w:eastAsia="Times New Roman" w:hAnsi="Times New Roman"/>
          <w:b/>
          <w:bCs/>
          <w:sz w:val="20"/>
          <w:szCs w:val="20"/>
        </w:rPr>
        <w:t xml:space="preserve">Milestones: </w:t>
      </w:r>
      <w:r>
        <w:rPr>
          <w:rFonts w:ascii="Times New Roman" w:cs="Times New Roman" w:eastAsia="Times New Roman" w:hAnsi="Times New Roman"/>
          <w:sz w:val="20"/>
          <w:szCs w:val="20"/>
        </w:rPr>
        <w:t xml:space="preserve">M1 (Mo 9) frozen manipulator geometry from calibrated twin; M2 (Mo 15) bench pick-place at target cycle time; M3 (Mo 21) integrated system completes autonomous row on research farm; M4 (Mo 30) Season-2 commercial trials meet ≥90% recall, &lt;5% damage; M5 (Mo 36) public release of designs, code, dataset, and analysis.</w:t>
      </w:r>
    </w:p>
    <w:p>
      <w:pPr>
        <w:pStyle w:val="Heading1"/>
        <w:spacing w:after="140" w:before="260"/>
      </w:pPr>
      <w:r>
        <w:rPr>
          <w:rFonts w:ascii="Times New Roman" w:cs="Times New Roman" w:eastAsia="Times New Roman" w:hAnsi="Times New Roman"/>
          <w:b/>
          <w:bCs/>
          <w:color w:val="1F3864"/>
          <w:sz w:val="26"/>
          <w:szCs w:val="26"/>
        </w:rPr>
        <w:t xml:space="preserve">5. Expected Outcomes and Evaluation</w:t>
      </w:r>
    </w:p>
    <w:p>
      <w:pPr>
        <w:spacing w:after="120" w:line="276"/>
        <w:jc w:val="both"/>
      </w:pPr>
      <w:r>
        <w:rPr>
          <w:rFonts w:ascii="Times New Roman" w:cs="Times New Roman" w:eastAsia="Times New Roman" w:hAnsi="Times New Roman"/>
          <w:sz w:val="22"/>
          <w:szCs w:val="22"/>
        </w:rPr>
        <w:t xml:space="preserve">The project will deliver: a field-validated autonomous watermelon harvesting prototype on a commercially available open platform; the first public field-scale watermelon detection dataset; peer-reviewed publications in ASABE and IEEE agricultural-robotics venues; a techno-economic adoption analysis for Southeastern growers; and open educational resources — including the digital twin — adopted into undergraduate instruction and extension programming. Progress is evaluated against the quantitative milestone gates above, with the simulation-to-field comparison itself reported as a methodological contribution: how faithfully a lightweight browser-based twin predicts fielded cycle times and reach envelopes.</w:t>
      </w:r>
    </w:p>
    <w:p>
      <w:r>
        <w:br w:type="page"/>
      </w:r>
    </w:p>
    <w:p>
      <w:pPr>
        <w:pStyle w:val="Heading1"/>
        <w:spacing w:after="140" w:before="260"/>
      </w:pPr>
      <w:r>
        <w:rPr>
          <w:rFonts w:ascii="Times New Roman" w:cs="Times New Roman" w:eastAsia="Times New Roman" w:hAnsi="Times New Roman"/>
          <w:b/>
          <w:bCs/>
          <w:color w:val="1F3864"/>
          <w:sz w:val="26"/>
          <w:szCs w:val="26"/>
        </w:rPr>
        <w:t xml:space="preserve">6. Bill of Materials — Prototype Hardware (cap $50,000)</w:t>
      </w:r>
    </w:p>
    <w:p>
      <w:pPr>
        <w:spacing w:after="120" w:line="276"/>
        <w:jc w:val="both"/>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Unit prices are budgetary estimates for planning; vendor quotes will be obtained at submission. The BOM is capped at $50,000 and is carried as the Equipment line in the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1500"/>
        <w:gridCol w:w="1560"/>
      </w:tblGrid>
      <w:tr>
        <w:tc>
          <w:tcPr>
            <w:tcW w:type="dxa" w:w="54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Item</w:t>
            </w:r>
          </w:p>
        </w:tc>
        <w:tc>
          <w:tcPr>
            <w:tcW w:type="dxa" w:w="9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Qty</w:t>
            </w:r>
          </w:p>
        </w:tc>
        <w:tc>
          <w:tcPr>
            <w:tcW w:type="dxa" w:w="15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Est. cost</w:t>
            </w:r>
          </w:p>
        </w:tc>
        <w:tc>
          <w:tcPr>
            <w:tcW w:type="dxa" w:w="156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Subsystem</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farm-ng Amiga rover, research configuration (adjustable 36–90 in. track, 4WD hub motors)</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$21,000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Mobility</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Amiga Intelligence Kit (Brain compute, RTK-GNSS, dashboard, CAN microcontroller kit)</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$6,500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Mobility</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Luxonis OAK-D Pro W PoE stereo depth cameras (row detection head)</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Intel RealSense D405 close-range wrist camera (grasp verification)</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$450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IP66 multi-stage telescopic linear actuators with encoders (rail-mounted strut pair)</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$4,050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Manipulation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Servo drives, CAN nodes, and motion-control microcontrollers</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Manipulation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Portal-rail strut mounts, gripper head, and node hardware fabrication (6061/7075 stock, machining, clevises, pins, bearings)</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$3,150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Manipulation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Compliant paddle gripper with load cells and piezoresistive tactile array (DRL grasp control)</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$2,600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Manipulation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Canopy-mgmt module: rotary brush, air-knife blower, lifter fingers, wrist puff nozzle, slip clutch, floating mount, current-sensing driver</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Canopy</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Side-towed collection trailer: padded slotted bin, offset drawbar hitch, encoder wheels</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$2,000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Logistics</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NVIDIA Jetson Orin NX edge-AI compute (offline inference), PoE switch, field radio link</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$1,600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Compute</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Solid-state 3D lidar (canopy structure + bumper safety), e-stops, beacons, guarding</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$1,350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Vision</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Batteries, chargers, cabling, connectors, and field spares</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$1,300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Field instrumentation: fruit firmness tester, scales, data-logging weather node</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w:t>
            </w:r>
          </w:p>
        </w:tc>
      </w:tr>
      <w:tr>
        <w:tc>
          <w:tcPr>
            <w:tcW w:type="dxa" w:w="5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Near-infrared (NIR) rind-reflectance imaging module (maturity spectra)</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$1,800</w:t>
            </w:r>
          </w:p>
        </w:tc>
        <w:tc>
          <w:tcPr>
            <w:tcW w:type="dxa" w:w="156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Vision</w:t>
            </w:r>
          </w:p>
        </w:tc>
      </w:tr>
      <w:tr>
        <w:tc>
          <w:tcPr>
            <w:tcW w:type="dxa" w:w="54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Total</w:t>
            </w:r>
          </w:p>
        </w:tc>
        <w:tc>
          <w:tcPr>
            <w:tcW w:type="dxa" w:w="900"/>
            <w:shd w:fill="DDE6DD" w:val="clear"/>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
            </w:r>
          </w:p>
        </w:tc>
        <w:tc>
          <w:tcPr>
            <w:tcW w:type="dxa" w:w="1500"/>
            <w:shd w:fill="DDE6DD" w:val="clear"/>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$50,000</w:t>
            </w:r>
          </w:p>
        </w:tc>
        <w:tc>
          <w:tcPr>
            <w:tcW w:type="dxa" w:w="1560"/>
            <w:shd w:fill="DDE6DD" w:val="clear"/>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
            </w:r>
          </w:p>
        </w:tc>
      </w:tr>
    </w:tbl>
    <w:p>
      <w:pPr>
        <w:pStyle w:val="Heading1"/>
        <w:spacing w:after="140" w:before="260"/>
      </w:pPr>
      <w:r>
        <w:rPr>
          <w:rFonts w:ascii="Times New Roman" w:cs="Times New Roman" w:eastAsia="Times New Roman" w:hAnsi="Times New Roman"/>
          <w:b/>
          <w:bCs/>
          <w:color w:val="1F3864"/>
          <w:sz w:val="26"/>
          <w:szCs w:val="26"/>
        </w:rPr>
        <w:t xml:space="preserve">7. Budget — Federal Request (36 months)</w:t>
      </w:r>
    </w:p>
    <w:p>
      <w:pPr>
        <w:spacing w:after="120" w:line="276"/>
        <w:jc w:val="both"/>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Assumed rates for drafting: PI academic base implying $14,000/summer month; fringe 31% faculty, 8% graduate, 2% undergraduate; tuition $12,000/student/year; F&amp;A 52.5% of MTDC (equipment and tuition excluded). Confirm all rates with the Office of Sponsored Programs.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400"/>
        <w:gridCol w:w="1480"/>
        <w:gridCol w:w="1480"/>
        <w:gridCol w:w="1480"/>
        <w:gridCol w:w="1520"/>
      </w:tblGrid>
      <w:tr>
        <w:tc>
          <w:tcPr>
            <w:tcW w:type="dxa" w:w="44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Category</w:t>
            </w:r>
          </w:p>
        </w:tc>
        <w:tc>
          <w:tcPr>
            <w:tcW w:type="dxa" w:w="148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1</w:t>
            </w:r>
          </w:p>
        </w:tc>
        <w:tc>
          <w:tcPr>
            <w:tcW w:type="dxa" w:w="148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2</w:t>
            </w:r>
          </w:p>
        </w:tc>
        <w:tc>
          <w:tcPr>
            <w:tcW w:type="dxa" w:w="148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Year 3</w:t>
            </w:r>
          </w:p>
        </w:tc>
        <w:tc>
          <w:tcPr>
            <w:tcW w:type="dxa" w:w="152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Total</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Senior personnel — PI, 1 summer month/yr</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$14,000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$42,000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Fringe benefits — PI (31%)</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$4,340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$4,340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$4,340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$13,020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Graduate research assistants — 2 Ph.D., 50% CY</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$180,000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Fringe benefits — GRA (8%)</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$4,800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$4,800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$4,800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$14,400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Undergraduate research assistants (hourly)</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$18,000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Fringe benefits — UG (2%)</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$120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$360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Graduate tuition remission (2 × $12,000/yr)</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$24,000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$72,000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Equipment — harvesting system BOM (Table 2)</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$50,000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$50,000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Materials and supplies (fabrication stock, sensors, spare parts)</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$10,000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$30,000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Travel (field sites, ASABE and IEEE venues, PD meeting)</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$5,000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$15,000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Field trials and grower-cooperator agreements</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$4,000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$10,000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$10,000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$24,000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Publication, open-source release, and extension materials</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$3,000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$5,000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$9,000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Total direct costs</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$186,260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$141,260</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$140,260</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$467,780</w:t>
            </w:r>
          </w:p>
        </w:tc>
      </w:tr>
      <w:tr>
        <w:tc>
          <w:tcPr>
            <w:tcW w:type="dxa" w:w="4400"/>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Indirect costs (52.5% MTDC)</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$58,937</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$61,561</w:t>
            </w:r>
          </w:p>
        </w:tc>
        <w:tc>
          <w:tcPr>
            <w:tcW w:type="dxa" w:w="148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$61,037</w:t>
            </w:r>
          </w:p>
        </w:tc>
        <w:tc>
          <w:tcPr>
            <w:tcW w:type="dxa" w:w="1520"/>
            <w:tcMar>
              <w:top w:type="dxa" w:w="60"/>
              <w:left w:type="dxa" w:w="90"/>
              <w:bottom w:type="dxa" w:w="60"/>
              <w:right w:type="dxa" w:w="90"/>
            </w:tcMar>
          </w:tcPr>
          <w:p>
            <w:pPr>
              <w:jc w:val="right"/>
            </w:pPr>
            <w:r>
              <w:rPr>
                <w:rFonts w:ascii="Times New Roman" w:cs="Times New Roman" w:eastAsia="Times New Roman" w:hAnsi="Times New Roman"/>
                <w:b w:val="false"/>
                <w:bCs w:val="false"/>
                <w:sz w:val="19"/>
                <w:szCs w:val="19"/>
              </w:rPr>
              <w:t xml:space="preserve">$181,535</w:t>
            </w:r>
          </w:p>
        </w:tc>
      </w:tr>
      <w:tr>
        <w:tc>
          <w:tcPr>
            <w:tcW w:type="dxa" w:w="4400"/>
            <w:shd w:fill="DDE6DD"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Total federal request</w:t>
            </w:r>
          </w:p>
        </w:tc>
        <w:tc>
          <w:tcPr>
            <w:tcW w:type="dxa" w:w="1480"/>
            <w:shd w:fill="DDE6DD" w:val="clear"/>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$245,197</w:t>
            </w:r>
          </w:p>
        </w:tc>
        <w:tc>
          <w:tcPr>
            <w:tcW w:type="dxa" w:w="1480"/>
            <w:shd w:fill="DDE6DD" w:val="clear"/>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$202,821</w:t>
            </w:r>
          </w:p>
        </w:tc>
        <w:tc>
          <w:tcPr>
            <w:tcW w:type="dxa" w:w="1480"/>
            <w:shd w:fill="DDE6DD" w:val="clear"/>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$201,297</w:t>
            </w:r>
          </w:p>
        </w:tc>
        <w:tc>
          <w:tcPr>
            <w:tcW w:type="dxa" w:w="1520"/>
            <w:shd w:fill="DDE6DD" w:val="clear"/>
            <w:tcMar>
              <w:top w:type="dxa" w:w="60"/>
              <w:left w:type="dxa" w:w="90"/>
              <w:bottom w:type="dxa" w:w="60"/>
              <w:right w:type="dxa" w:w="90"/>
            </w:tcMar>
          </w:tcPr>
          <w:p>
            <w:pPr>
              <w:jc w:val="right"/>
            </w:pPr>
            <w:r>
              <w:rPr>
                <w:rFonts w:ascii="Times New Roman" w:cs="Times New Roman" w:eastAsia="Times New Roman" w:hAnsi="Times New Roman"/>
                <w:b/>
                <w:bCs/>
                <w:sz w:val="19"/>
                <w:szCs w:val="19"/>
              </w:rPr>
              <w:t xml:space="preserve">$649,315</w:t>
            </w:r>
          </w:p>
        </w:tc>
      </w:tr>
    </w:tbl>
    <w:p>
      <w:pPr>
        <w:pStyle w:val="Heading2"/>
        <w:spacing w:after="100" w:before="200"/>
      </w:pPr>
      <w:r>
        <w:rPr>
          <w:rFonts w:ascii="Times New Roman" w:cs="Times New Roman" w:eastAsia="Times New Roman" w:hAnsi="Times New Roman"/>
          <w:b/>
          <w:bCs/>
          <w:color w:val="355E3B"/>
          <w:sz w:val="23"/>
          <w:szCs w:val="23"/>
        </w:rPr>
        <w:t xml:space="preserve">Budget justification</w:t>
      </w:r>
    </w:p>
    <w:p>
      <w:pPr>
        <w:spacing w:after="120" w:line="276"/>
        <w:jc w:val="both"/>
      </w:pPr>
      <w:r>
        <w:rPr>
          <w:rFonts w:ascii="Times New Roman" w:cs="Times New Roman" w:eastAsia="Times New Roman" w:hAnsi="Times New Roman"/>
          <w:sz w:val="22"/>
          <w:szCs w:val="22"/>
        </w:rPr>
        <w:t xml:space="preserve">Personnel. One month of PI summer salary per year supports project direction, grower-cooperator coordination, and field-trial leadership. Two Ph.D. research assistants at 50% calendar-year effort own the two technical thrusts — one in perception and autonomy, one in mechanism design and integration — with tuition remission budgeted per university policy. Undergraduate hourly researchers support fabrication, data annotation, and field trials, extending the project's training footprint.</w:t>
      </w:r>
    </w:p>
    <w:p>
      <w:pPr>
        <w:spacing w:after="120" w:line="276"/>
        <w:jc w:val="both"/>
      </w:pPr>
      <w:r>
        <w:rPr>
          <w:rFonts w:ascii="Times New Roman" w:cs="Times New Roman" w:eastAsia="Times New Roman" w:hAnsi="Times New Roman"/>
          <w:sz w:val="22"/>
          <w:szCs w:val="22"/>
        </w:rPr>
        <w:t xml:space="preserve">Equipment. The $50,000 equipment line is the itemized prototype BOM in Table 2, anchored by the farm-ng Amiga research configuration and Intelligence Kit; purchasing a commercially supported open platform rather than fabricating a one-off chassis is what makes the resulting system replicable by other programs. Materials and supplies fund fabrication stock, replacement sensors, consumables across three build-test cycles, and GPU compute allocations for generative-data production and reinforcement-learning training, front-loaded to Year 1. Travel supports field-site visits, one national ASABE or IEEE venue per year, and the required NIFA project directors meeting. Field-trial funds compensate grower cooperators for row access, crop, and crew-comparison time in Years 2–3. Publication and outreach funds cover open-access fees, dataset hosting, and extension field-day materials.</w:t>
      </w:r>
    </w:p>
    <w:p>
      <w:pPr>
        <w:spacing w:after="120" w:line="276"/>
        <w:jc w:val="both"/>
      </w:pPr>
      <w:r>
        <w:rPr>
          <w:rFonts w:ascii="Times New Roman" w:cs="Times New Roman" w:eastAsia="Times New Roman" w:hAnsi="Times New Roman"/>
          <w:sz w:val="22"/>
          <w:szCs w:val="22"/>
        </w:rPr>
        <w:t xml:space="preserve">Indirect costs are computed at the institutional research rate of 52.5% of modified total direct costs, excluding equipment and tuition. The resulting indirect total of $181,535 is 28.0% of the total award, within the AFRI statutory limit of 30% of total federal funds. The total request of $649,315 is within the $650,000 program cap.</w:t>
      </w:r>
    </w:p>
    <w:p>
      <w:pPr>
        <w:pStyle w:val="Heading1"/>
        <w:spacing w:after="140" w:before="260"/>
      </w:pPr>
      <w:r>
        <w:rPr>
          <w:rFonts w:ascii="Times New Roman" w:cs="Times New Roman" w:eastAsia="Times New Roman" w:hAnsi="Times New Roman"/>
          <w:b/>
          <w:bCs/>
          <w:color w:val="1F3864"/>
          <w:sz w:val="26"/>
          <w:szCs w:val="26"/>
        </w:rPr>
        <w:t xml:space="preserve">8. Notes for Submission</w:t>
      </w:r>
    </w:p>
    <w:p>
      <w:pPr>
        <w:spacing w:after="120" w:line="276"/>
        <w:jc w:val="both"/>
      </w:pPr>
      <w:r>
        <w:rPr>
          <w:rFonts w:ascii="Times New Roman" w:cs="Times New Roman" w:eastAsia="Times New Roman" w:hAnsi="Times New Roman"/>
          <w:sz w:val="22"/>
          <w:szCs w:val="22"/>
        </w:rPr>
        <w:t xml:space="preserve">This draft is structured for AFRI A1521 but converts readily to the NSF FRR or NSF–USDA/NIFA joint program by reframing Section 3 around the research questions (simulation-to-field transfer, heavy-payload manipulation) rather than the production system. Before submission: verify the current RFA page limits, cap, and duration; replace bracketed statistics with cited state and national production data; obtain vendor quotes for Table 2; confirm all salary, fringe, tuition, and F&amp;A rates with Sponsored Programs; and add the required Data Management Plan, mentoring plan, and letters of support from grower cooperators — the stakeholder contacts developed at upcoming conferences are the natural source for those letters.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Objective %1."/>
      <w:lvlJc w:val="left"/>
      <w:pPr>
        <w:ind w:left="360" w:hanging="360"/>
      </w:pPr>
      <w:rPr>
        <w:b/>
        <w:bCs/>
      </w:r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2026-07-18T19:40:11.665Z</dcterms:created>
  <dcterms:modified xsi:type="dcterms:W3CDTF">2026-07-18T19:40:11.666Z</dcterms:modified>
</cp:coreProperties>
</file>

<file path=docProps/custom.xml><?xml version="1.0" encoding="utf-8"?>
<Properties xmlns="http://schemas.openxmlformats.org/officeDocument/2006/custom-properties" xmlns:vt="http://schemas.openxmlformats.org/officeDocument/2006/docPropsVTypes"/>
</file>