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9E5B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60" w:afterAutospacing="0" w:line="36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6"/>
          <w:szCs w:val="26"/>
        </w:rPr>
        <w:t>投资合作协议</w:t>
      </w:r>
    </w:p>
    <w:p w14:paraId="0BF9108C">
      <w:pPr>
        <w:keepNext w:val="0"/>
        <w:keepLines w:val="0"/>
        <w:widowControl/>
        <w:suppressLineNumbers w:val="0"/>
        <w:jc w:val="left"/>
      </w:pPr>
    </w:p>
    <w:p w14:paraId="68E5E77F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甲方（投资方）：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姓名 / 名称：[投资方姓名或公司全称]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法定代表人 / 负责人：[姓名]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身份证号 / 统一社会信用代码：[号码]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联系地址：[地址]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联系电话：[电话]</w:t>
      </w:r>
    </w:p>
    <w:p w14:paraId="09587753">
      <w:pPr>
        <w:keepNext w:val="0"/>
        <w:keepLines w:val="0"/>
        <w:widowControl/>
        <w:suppressLineNumbers w:val="0"/>
        <w:jc w:val="left"/>
      </w:pPr>
    </w:p>
    <w:p w14:paraId="272B8A3F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乙方（项目方）：长远数科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法定代表人：[长远数科法定代表人姓名]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统一社会信用代码：[长远数科代码]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联系地址：[长远数科地址]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联系电话：[长远数科电话]</w:t>
      </w:r>
    </w:p>
    <w:p w14:paraId="632F643C">
      <w:pPr>
        <w:keepNext w:val="0"/>
        <w:keepLines w:val="0"/>
        <w:widowControl/>
        <w:suppressLineNumbers w:val="0"/>
        <w:jc w:val="left"/>
      </w:pPr>
    </w:p>
    <w:p w14:paraId="2C8C4514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鉴于乙方拥有 “法帮邦” 项目（以下简称 “本项目”），致力于以 AI 为核心重构企业法律服务，具有良好的市场前景和发展潜力；甲方认可本项目的商业价值和发展前景，愿意对本项目进行投资。双方经友好协商，依据《中华人民共和国民法典》等相关法律法规，达成以下投资合作协议：</w:t>
      </w:r>
    </w:p>
    <w:p w14:paraId="18FD2CF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一、项目概述</w:t>
      </w:r>
    </w:p>
    <w:p w14:paraId="241D8B4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（一）项目名称</w:t>
      </w:r>
    </w:p>
    <w:p w14:paraId="51EB5E28">
      <w:pPr>
        <w:keepNext w:val="0"/>
        <w:keepLines w:val="0"/>
        <w:widowControl/>
        <w:suppressLineNumbers w:val="0"/>
        <w:jc w:val="left"/>
      </w:pPr>
    </w:p>
    <w:p w14:paraId="4ECB09B4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“法帮邦” 项目</w:t>
      </w:r>
    </w:p>
    <w:p w14:paraId="0AAACB9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（二）项目简介</w:t>
      </w:r>
    </w:p>
    <w:p w14:paraId="1C6868D5">
      <w:pPr>
        <w:keepNext w:val="0"/>
        <w:keepLines w:val="0"/>
        <w:widowControl/>
        <w:suppressLineNumbers w:val="0"/>
        <w:jc w:val="left"/>
      </w:pPr>
    </w:p>
    <w:p w14:paraId="03FA6D11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“法帮邦” 以 AI 为核心重构企业法律服务，助力法务工作者跳出高强度重复性的文字类事务、聚焦高价值战略，破解法律行业高质量发展阶段的三重核心困境。该项目打造了三大 AI 功能，包括 AI 合同审查、AI 合同生成和 AI 法律问答，能有效提升法务工作效率和质量。</w:t>
      </w:r>
    </w:p>
    <w:p w14:paraId="117DA96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（三）核心研发技术团队</w:t>
      </w:r>
    </w:p>
    <w:p w14:paraId="1777EF93">
      <w:pPr>
        <w:keepNext w:val="0"/>
        <w:keepLines w:val="0"/>
        <w:widowControl/>
        <w:suppressLineNumbers w:val="0"/>
        <w:jc w:val="left"/>
      </w:pPr>
    </w:p>
    <w:p w14:paraId="3A11535E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本项目拥有专业的核心研发技术团队，包括顾问、算法专家、算法工程师和法务审核负责人等，具体人员信息见附件一。</w:t>
      </w:r>
    </w:p>
    <w:p w14:paraId="29D6B18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二、项目公司组建及股权方案</w:t>
      </w:r>
    </w:p>
    <w:p w14:paraId="29E86B2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（一）项目公司信息</w:t>
      </w:r>
    </w:p>
    <w:p w14:paraId="59BE37D4">
      <w:pPr>
        <w:keepNext w:val="0"/>
        <w:keepLines w:val="0"/>
        <w:widowControl/>
        <w:suppressLineNumbers w:val="0"/>
        <w:jc w:val="left"/>
      </w:pPr>
    </w:p>
    <w:p w14:paraId="127BDC2A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项目公司注册地为北京、东莞，具体公司名称待确定。</w:t>
      </w:r>
    </w:p>
    <w:p w14:paraId="00DEC55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（二）股权结构</w:t>
      </w:r>
    </w:p>
    <w:p w14:paraId="0A5C3C84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1980"/>
        <w:gridCol w:w="2986"/>
      </w:tblGrid>
      <w:tr w14:paraId="7F6B0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67C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股东类型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FEC14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股东名称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CEE4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股权比例</w:t>
            </w:r>
          </w:p>
        </w:tc>
      </w:tr>
      <w:tr w14:paraId="4FC8A9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957A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E171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唐小钧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0DB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</w:tr>
      <w:tr w14:paraId="2E2616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D55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3B5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华南集团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B54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</w:tr>
      <w:tr w14:paraId="581DF8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B1C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82F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律所主任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B4F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</w:tr>
      <w:tr w14:paraId="2FA224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814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联合发起人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DF1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蓝光储存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C43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</w:tr>
      <w:tr w14:paraId="67560A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B8A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联合发起人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A63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深圳怡通数科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94C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</w:tr>
      <w:tr w14:paraId="0F2630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71A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顾问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454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顾问团队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424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15%（配送，不出资）</w:t>
            </w:r>
          </w:p>
        </w:tc>
      </w:tr>
    </w:tbl>
    <w:p w14:paraId="6451C58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（三）出资要求</w:t>
      </w:r>
    </w:p>
    <w:p w14:paraId="0658F6F9">
      <w:pPr>
        <w:keepNext w:val="0"/>
        <w:keepLines w:val="0"/>
        <w:widowControl/>
        <w:suppressLineNumbers w:val="0"/>
        <w:jc w:val="left"/>
      </w:pPr>
    </w:p>
    <w:p w14:paraId="143DE556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所有出资人按各持股权的 1.15 倍实际出资。</w:t>
      </w:r>
    </w:p>
    <w:p w14:paraId="0E751C1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（四）期权池</w:t>
      </w:r>
    </w:p>
    <w:p w14:paraId="04C56380">
      <w:pPr>
        <w:keepNext w:val="0"/>
        <w:keepLines w:val="0"/>
        <w:widowControl/>
        <w:suppressLineNumbers w:val="0"/>
        <w:jc w:val="left"/>
      </w:pPr>
    </w:p>
    <w:p w14:paraId="5797DAAF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设立 5% 的期权池，未来由各发起人稀释给有能力有资源方。</w:t>
      </w:r>
    </w:p>
    <w:p w14:paraId="2049BD8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三、投资金额及方式</w:t>
      </w:r>
    </w:p>
    <w:p w14:paraId="2EDA16C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（一）投资金额</w:t>
      </w:r>
    </w:p>
    <w:p w14:paraId="1DE88F8F">
      <w:pPr>
        <w:keepNext w:val="0"/>
        <w:keepLines w:val="0"/>
        <w:widowControl/>
        <w:suppressLineNumbers w:val="0"/>
        <w:jc w:val="left"/>
      </w:pPr>
    </w:p>
    <w:p w14:paraId="3213BDC6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甲方同意向本项目投资人民币 [X] 元（大写：[大写金额]）。</w:t>
      </w:r>
    </w:p>
    <w:p w14:paraId="51140D7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（二）投资方式</w:t>
      </w:r>
    </w:p>
    <w:p w14:paraId="6A93616A">
      <w:pPr>
        <w:keepNext w:val="0"/>
        <w:keepLines w:val="0"/>
        <w:widowControl/>
        <w:suppressLineNumbers w:val="0"/>
        <w:jc w:val="left"/>
      </w:pPr>
    </w:p>
    <w:p w14:paraId="01D3B8A8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甲方应在本协议签订后 [X] 个工作日内，将投资款一次性汇入乙方指定的银行账户。</w:t>
      </w:r>
    </w:p>
    <w:p w14:paraId="5A3F89E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四、项目进程安排</w:t>
      </w:r>
    </w:p>
    <w:p w14:paraId="3CD1DEA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（一）2025 年 11 月 1 日</w:t>
      </w:r>
    </w:p>
    <w:p w14:paraId="53A8EA40">
      <w:pPr>
        <w:keepNext w:val="0"/>
        <w:keepLines w:val="0"/>
        <w:widowControl/>
        <w:suppressLineNumbers w:val="0"/>
        <w:jc w:val="left"/>
      </w:pPr>
    </w:p>
    <w:p w14:paraId="50E6828A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南华数理学院算法人力介入开发模型。</w:t>
      </w:r>
    </w:p>
    <w:p w14:paraId="033A29C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（二）2025 年 11 月 20 日</w:t>
      </w:r>
    </w:p>
    <w:p w14:paraId="7F6894B5">
      <w:pPr>
        <w:keepNext w:val="0"/>
        <w:keepLines w:val="0"/>
        <w:widowControl/>
        <w:suppressLineNumbers w:val="0"/>
        <w:jc w:val="left"/>
      </w:pPr>
    </w:p>
    <w:p w14:paraId="79CFF673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APP、网页版完成内测进入市场应用。</w:t>
      </w:r>
    </w:p>
    <w:p w14:paraId="7FE6C8C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（三）2025 年 12 月 13 日前</w:t>
      </w:r>
    </w:p>
    <w:p w14:paraId="37D56D8D">
      <w:pPr>
        <w:keepNext w:val="0"/>
        <w:keepLines w:val="0"/>
        <w:widowControl/>
        <w:suppressLineNumbers w:val="0"/>
        <w:jc w:val="left"/>
      </w:pPr>
    </w:p>
    <w:p w14:paraId="68586B6E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南华算力介入模型，实现第一阶段客户测试。</w:t>
      </w:r>
    </w:p>
    <w:p w14:paraId="37F60EF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（四）2025 年 12 月 25 日前</w:t>
      </w:r>
    </w:p>
    <w:p w14:paraId="7CA6BC13">
      <w:pPr>
        <w:keepNext w:val="0"/>
        <w:keepLines w:val="0"/>
        <w:widowControl/>
        <w:suppressLineNumbers w:val="0"/>
        <w:jc w:val="left"/>
      </w:pPr>
    </w:p>
    <w:p w14:paraId="4D5FA815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律法大模型完成市场投放完成项目。</w:t>
      </w:r>
    </w:p>
    <w:p w14:paraId="3101349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（五）2025 年 12 月 26 日</w:t>
      </w:r>
    </w:p>
    <w:p w14:paraId="13BECFA1">
      <w:pPr>
        <w:keepNext w:val="0"/>
        <w:keepLines w:val="0"/>
        <w:widowControl/>
        <w:suppressLineNumbers w:val="0"/>
        <w:jc w:val="left"/>
      </w:pPr>
    </w:p>
    <w:p w14:paraId="3B983FCE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在各大主流自媒体平台进行精准投流，全面线上推广。</w:t>
      </w:r>
    </w:p>
    <w:p w14:paraId="7F049C9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五、定价策略</w:t>
      </w:r>
    </w:p>
    <w:p w14:paraId="7069FA6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（一）体验版</w:t>
      </w:r>
    </w:p>
    <w:p w14:paraId="794BD8EB">
      <w:pPr>
        <w:keepNext w:val="0"/>
        <w:keepLines w:val="0"/>
        <w:widowControl/>
        <w:suppressLineNumbers w:val="0"/>
        <w:jc w:val="left"/>
      </w:pPr>
    </w:p>
    <w:p w14:paraId="032042C8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用户支付 9.9 元可获取一次 2 小时体验版服务。</w:t>
      </w:r>
    </w:p>
    <w:p w14:paraId="67AB693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（二）年费版</w:t>
      </w:r>
    </w:p>
    <w:p w14:paraId="45D1B67B">
      <w:pPr>
        <w:keepNext w:val="0"/>
        <w:keepLines w:val="0"/>
        <w:widowControl/>
        <w:suppressLineNumbers w:val="0"/>
        <w:jc w:val="left"/>
      </w:pPr>
    </w:p>
    <w:p w14:paraId="01F6F2B5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企业用户可选择年费 1999 元的服务。</w:t>
      </w:r>
    </w:p>
    <w:p w14:paraId="2969A94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（三）企业定制版</w:t>
      </w:r>
    </w:p>
    <w:p w14:paraId="49913E61">
      <w:pPr>
        <w:keepNext w:val="0"/>
        <w:keepLines w:val="0"/>
        <w:widowControl/>
        <w:suppressLineNumbers w:val="0"/>
        <w:jc w:val="left"/>
      </w:pPr>
    </w:p>
    <w:p w14:paraId="2ADE4C86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企业定制版服务按需报价。</w:t>
      </w:r>
    </w:p>
    <w:p w14:paraId="274FEC5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六、财务估算</w:t>
      </w:r>
    </w:p>
    <w:p w14:paraId="359A40F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（一）项目估值</w:t>
      </w:r>
    </w:p>
    <w:p w14:paraId="2D197185">
      <w:pPr>
        <w:keepNext w:val="0"/>
        <w:keepLines w:val="0"/>
        <w:widowControl/>
        <w:suppressLineNumbers w:val="0"/>
        <w:jc w:val="left"/>
      </w:pPr>
    </w:p>
    <w:p w14:paraId="798D3086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本项目估值为 2000 万元，第一阶段接入清华智谱大模型研发成本为 200 万元。</w:t>
      </w:r>
    </w:p>
    <w:p w14:paraId="168AD857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（二）营收预期</w:t>
      </w:r>
    </w:p>
    <w:p w14:paraId="62EEDE09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1842"/>
        <w:gridCol w:w="1819"/>
      </w:tblGrid>
      <w:tr w14:paraId="101F5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28D3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DD8A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营收预期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B538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市值预期</w:t>
            </w:r>
          </w:p>
        </w:tc>
      </w:tr>
      <w:tr w14:paraId="7318F2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309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7A7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1000 万元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B85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亿元</w:t>
            </w:r>
          </w:p>
        </w:tc>
      </w:tr>
      <w:tr w14:paraId="024770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E30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2027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A88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6000 万元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189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 亿元</w:t>
            </w:r>
          </w:p>
        </w:tc>
      </w:tr>
      <w:tr w14:paraId="6E1CB7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031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2028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0F4B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亿元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B1F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 亿元</w:t>
            </w:r>
          </w:p>
        </w:tc>
      </w:tr>
      <w:tr w14:paraId="01B1F2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1B6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2029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558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59D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港交所 IPO</w:t>
            </w:r>
          </w:p>
        </w:tc>
      </w:tr>
    </w:tbl>
    <w:p w14:paraId="1D3A496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七、双方权利与义务</w:t>
      </w:r>
    </w:p>
    <w:p w14:paraId="7B65533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（一）甲方权利与义务</w:t>
      </w:r>
    </w:p>
    <w:p w14:paraId="20FD2163">
      <w:pPr>
        <w:keepNext w:val="0"/>
        <w:keepLines w:val="0"/>
        <w:widowControl/>
        <w:suppressLineNumbers w:val="0"/>
        <w:jc w:val="left"/>
      </w:pPr>
    </w:p>
    <w:p w14:paraId="1D639E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Style w:val="8"/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权利</w:t>
      </w:r>
    </w:p>
    <w:p w14:paraId="52D4880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按照股权比例享有项目公司的利润分配权。</w:t>
      </w:r>
    </w:p>
    <w:p w14:paraId="5E8E9D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有权查阅项目公司的财务报表和相关经营资料，了解项目的运营情况。</w:t>
      </w:r>
    </w:p>
    <w:p w14:paraId="52ACF326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对项目公司的重大决策享有表决权。</w:t>
      </w:r>
    </w:p>
    <w:p w14:paraId="3FD1E3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Style w:val="8"/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义务</w:t>
      </w:r>
    </w:p>
    <w:p w14:paraId="7E817EA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按照本协议的约定及时足额支付投资款。</w:t>
      </w:r>
    </w:p>
    <w:p w14:paraId="15D2267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不得泄露项目公司的商业秘密和技术秘密。</w:t>
      </w:r>
    </w:p>
    <w:p w14:paraId="17B1CE4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配合乙方完成项目的相关工作。</w:t>
      </w:r>
    </w:p>
    <w:p w14:paraId="6DF57205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（二）乙方权利与义务</w:t>
      </w:r>
    </w:p>
    <w:p w14:paraId="72D2E6C5">
      <w:pPr>
        <w:keepNext w:val="0"/>
        <w:keepLines w:val="0"/>
        <w:widowControl/>
        <w:suppressLineNumbers w:val="0"/>
        <w:jc w:val="left"/>
      </w:pPr>
    </w:p>
    <w:p w14:paraId="5DB9B8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Style w:val="8"/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权利</w:t>
      </w:r>
    </w:p>
    <w:p w14:paraId="712399A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有权按照本协议的约定使用甲方的投资款。</w:t>
      </w:r>
    </w:p>
    <w:p w14:paraId="1F92350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对项目的运营和管理享有决策权。</w:t>
      </w:r>
    </w:p>
    <w:p w14:paraId="474E69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Style w:val="8"/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义务</w:t>
      </w:r>
    </w:p>
    <w:p w14:paraId="71D056D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按照项目进程安排推进项目的实施，确保项目顺利进行。</w:t>
      </w:r>
    </w:p>
    <w:p w14:paraId="2EA12DB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定期向甲方汇报项目的进展情况和财务状况。</w:t>
      </w:r>
    </w:p>
    <w:p w14:paraId="629D8C0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合理使用投资款，确保资金的安全和有效利用。</w:t>
      </w:r>
    </w:p>
    <w:p w14:paraId="347FC8A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八、股权变更与退出机制</w:t>
      </w:r>
    </w:p>
    <w:p w14:paraId="184BE4A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（一）股权变更</w:t>
      </w:r>
    </w:p>
    <w:p w14:paraId="2B753747">
      <w:pPr>
        <w:keepNext w:val="0"/>
        <w:keepLines w:val="0"/>
        <w:widowControl/>
        <w:suppressLineNumbers w:val="0"/>
        <w:jc w:val="left"/>
      </w:pPr>
    </w:p>
    <w:p w14:paraId="38F6C499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未经其他股东书面同意，任何一方不得擅自转让其持有的项目公司股权。如确需转让，应按照法律法规和公司章程的规定办理相关手续。</w:t>
      </w:r>
    </w:p>
    <w:p w14:paraId="3493903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（二）退出机制</w:t>
      </w:r>
    </w:p>
    <w:p w14:paraId="7D316D9C">
      <w:pPr>
        <w:keepNext w:val="0"/>
        <w:keepLines w:val="0"/>
        <w:widowControl/>
        <w:suppressLineNumbers w:val="0"/>
        <w:jc w:val="left"/>
      </w:pPr>
    </w:p>
    <w:p w14:paraId="397EC0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Style w:val="8"/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期满退出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：本协议约定的合作期限届满后，甲方有权选择继续持有股权或退出项目。如甲方选择退出，乙方应按照当时项目公司的净资产价值回购甲方的股权。</w:t>
      </w:r>
    </w:p>
    <w:p w14:paraId="326257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Style w:val="8"/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提前退出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：如发生不可抗力、政策变化等不可预见、不可避免的情况，导致项目无法继续进行，或乙方严重违反本协议的约定，甲方有权提前退出项目。甲方提前退出时，乙方应按照甲方的实际投资金额及相应的利息（按照银行同期贷款利率计算）回购甲方的股权。</w:t>
      </w:r>
    </w:p>
    <w:p w14:paraId="321B17D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九、保密条款</w:t>
      </w:r>
    </w:p>
    <w:p w14:paraId="58F17E6A">
      <w:pPr>
        <w:keepNext w:val="0"/>
        <w:keepLines w:val="0"/>
        <w:widowControl/>
        <w:suppressLineNumbers w:val="0"/>
        <w:jc w:val="left"/>
      </w:pPr>
    </w:p>
    <w:p w14:paraId="7C47531C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双方应对在合作过程中知悉的对方商业秘密、技术秘密、客户信息等予以保密，未经对方书面同意，不得向任何第三方披露。本条款的保密期限为自本协议生效之日起 [X] 年。</w:t>
      </w:r>
    </w:p>
    <w:p w14:paraId="1C13A93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十、违约责任</w:t>
      </w:r>
    </w:p>
    <w:p w14:paraId="6353E1C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（一）若甲方未按照本协议的约定支付投资款，每逾期一日，应按照未支付金额的 [X%] 向乙方支付违约金。逾期超过 [X] 日的，乙方有权解除本协议，并要求甲方赔偿因此造成的损失。</w:t>
      </w:r>
    </w:p>
    <w:p w14:paraId="6E9752E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（二）若乙方未按照项目进程安排推进项目的实施，或未按照约定向甲方汇报项目进展情况和财务状况，每逾期一日，应按照甲方投资金额的 [X%] 向甲方支付违约金。逾期超过 [X] 日的，甲方有权解除本协议，并要求乙方返还投资款及相应的利息（按照银行同期贷款利率计算），同时赔偿甲方因此造成的损失。</w:t>
      </w:r>
    </w:p>
    <w:p w14:paraId="3F4CE45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十一、争议解决</w:t>
      </w:r>
    </w:p>
    <w:p w14:paraId="723A6FCB">
      <w:pPr>
        <w:keepNext w:val="0"/>
        <w:keepLines w:val="0"/>
        <w:widowControl/>
        <w:suppressLineNumbers w:val="0"/>
        <w:jc w:val="left"/>
      </w:pPr>
    </w:p>
    <w:p w14:paraId="1DF039C9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本协议在履行过程中如发生争议，双方应首先友好协商解决；协商不成的，任何一方均有权向有管辖权的人民法院提起诉讼。</w:t>
      </w:r>
    </w:p>
    <w:p w14:paraId="4446013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3"/>
          <w:szCs w:val="23"/>
        </w:rPr>
        <w:t>十二、其他条款</w:t>
      </w:r>
    </w:p>
    <w:p w14:paraId="1FE2039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（一）本协议自双方签字（或盖章）之日起生效，一式两份，甲乙双方各执一份，具有同等法律效力。</w:t>
      </w:r>
    </w:p>
    <w:p w14:paraId="00AE1A2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60" w:afterAutospacing="0" w:line="360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（二）本协议未尽事宜，可由双方另行签订补充协议，补充协议与本协议具有同等法律效力。</w:t>
      </w:r>
    </w:p>
    <w:p w14:paraId="577EDCC2">
      <w:pPr>
        <w:keepNext w:val="0"/>
        <w:keepLines w:val="0"/>
        <w:widowControl/>
        <w:suppressLineNumbers w:val="0"/>
        <w:jc w:val="left"/>
      </w:pPr>
    </w:p>
    <w:p w14:paraId="30C1A499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甲方（签字 / 盖章）：__________________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法定代表人（签字）：____________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签订日期：______年____月____日</w:t>
      </w:r>
    </w:p>
    <w:p w14:paraId="6F3F7DC2">
      <w:pPr>
        <w:keepNext w:val="0"/>
        <w:keepLines w:val="0"/>
        <w:widowControl/>
        <w:suppressLineNumbers w:val="0"/>
        <w:jc w:val="left"/>
      </w:pPr>
    </w:p>
    <w:p w14:paraId="61B288C6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乙方（签字 / 盖章）：__________________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法定代表人（签字）：____________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签订日期：______年____月____日</w:t>
      </w:r>
    </w:p>
    <w:p w14:paraId="548AAE23">
      <w:pPr>
        <w:keepNext w:val="0"/>
        <w:keepLines w:val="0"/>
        <w:widowControl/>
        <w:suppressLineNumbers w:val="0"/>
        <w:jc w:val="left"/>
      </w:pPr>
    </w:p>
    <w:p w14:paraId="64E3FE00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附件一：“法帮邦” 核心研发技术团队人员信息</w:t>
      </w:r>
    </w:p>
    <w:p w14:paraId="094F8011">
      <w:pPr>
        <w:keepNext w:val="0"/>
        <w:keepLines w:val="0"/>
        <w:widowControl/>
        <w:suppressLineNumbers w:val="0"/>
        <w:jc w:val="left"/>
      </w:pPr>
    </w:p>
    <w:p w14:paraId="4B2027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顾问（3 名）</w:t>
      </w:r>
    </w:p>
    <w:p w14:paraId="2A691D1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唐金龙，男，法学博士、金融学博士，曾留学法国。现任中金诚信投资控股集团董事局主席，兼任中金富华能源科技有限公司董事长、中银律师事务所首席合伙人等职。出版金融、证券、法律等领域著作十余部，发表文章百余万字，精通英语、法语并掌握日语。曾任中国证监会第六届股票发行审核委员会专职委员、国家开发银行贷款委员会独立委员，现任中华全国律师协会金融证券专业委员会副主任、中国国际经济贸易仲裁委员会仲裁员，并担任中国人民大学法学院特聘教授、中南大学客座教授及多家上市公司独立董事。</w:t>
      </w:r>
    </w:p>
    <w:p w14:paraId="14023FE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黄震，男，1970 年生，湖南衡山人，法学博士，中央财经大学法学院教授、博士研究生导师，金融法研究所所长。兼任全国金融标准化技术委员会委员、北京金融法院咨询专家委员会专家、中国互联网金融创新研究院院长。</w:t>
      </w:r>
    </w:p>
    <w:p w14:paraId="7B10C5D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20" w:beforeAutospacing="0" w:after="0" w:afterAutospacing="1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蒋斌，湖南大学教授、信息工程系主任、博士生导师，日本东京工业大学工学博士，研究方向：人工智能、大数据、协同计算等。学术职务：中国计算机学会多个专委会委员，教育部学位评审专家。</w:t>
      </w:r>
    </w:p>
    <w:p w14:paraId="401563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算法专家：林文斌，美国杜克大学电子与计算机工程博士，教育部新世纪优秀人才、湖南省百人计划杰出人才；目前是南华大学特聘教授、数理学院院长、博士生导师，研究领域包括科学计算、机器学习、深度学习与人工智能等。主持国家级项目 6 项，获得国家发明专利 4 项，发表 SCI 论文 120 余篇。</w:t>
      </w:r>
    </w:p>
    <w:p w14:paraId="2A4926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算法工程师：谢金城，清华大学（北京）应用数学博士研究生。</w:t>
      </w:r>
    </w:p>
    <w:p w14:paraId="010706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72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法务审核负责人：魏巍，涉外执业律师，诺丁汉大学硕士研究生，英国 Clarendon 律师事务所，担任 internship。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bdr w:val="none" w:color="auto" w:sz="0" w:space="0"/>
        </w:rPr>
        <w:t>该内容为 AI 生成内容，不代表最终法律意见</w:t>
      </w:r>
    </w:p>
    <w:p w14:paraId="62A0B1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90754"/>
    <w:multiLevelType w:val="multilevel"/>
    <w:tmpl w:val="FF0907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FAB9278"/>
    <w:multiLevelType w:val="multilevel"/>
    <w:tmpl w:val="3FAB92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AF5B899"/>
    <w:multiLevelType w:val="multilevel"/>
    <w:tmpl w:val="6AF5B8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B92D33A"/>
    <w:multiLevelType w:val="multilevel"/>
    <w:tmpl w:val="7B92D3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894D9B"/>
    <w:rsid w:val="2D2C1287"/>
    <w:rsid w:val="320452BC"/>
    <w:rsid w:val="3DC76F25"/>
    <w:rsid w:val="5BD31626"/>
    <w:rsid w:val="68FC7EF2"/>
    <w:rsid w:val="6D34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jc w:val="left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3 Char"/>
    <w:link w:val="4"/>
    <w:qFormat/>
    <w:uiPriority w:val="0"/>
    <w:rPr>
      <w:rFonts w:ascii="宋体" w:hAnsi="宋体" w:eastAsia="宋体" w:cs="宋体"/>
      <w:b/>
      <w:bCs/>
      <w:kern w:val="0"/>
      <w:sz w:val="24"/>
      <w:szCs w:val="27"/>
      <w:lang w:bidi="ar"/>
    </w:rPr>
  </w:style>
  <w:style w:type="character" w:customStyle="1" w:styleId="10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2025-05-08T01:20:00Z</dcterms:created>
  <dc:creator>Administrator</dc:creator>
  <cp:lastModifiedBy>Binah</cp:lastModifiedBy>
  <dcterms:modified xsi:type="dcterms:W3CDTF">2025-11-24T09:07:02Z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30EEF36CE00C4302BC4CEB441AC5D689_12</vt:lpwstr>
  </property>
</Properties>
</file>