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tif" ContentType="image/tiff"/>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Style w:val="InternetLink"/>
          <w:rFonts w:eastAsia="Times New Roman" w:cs="Times New Roman" w:ascii="Times New Roman" w:hAnsi="Times New Roman"/>
        </w:rPr>
        <w:t>Total payroll employment fell by 13% between February and May 2020,</w:t>
      </w:r>
      <w:r>
        <w:rPr>
          <w:rFonts w:eastAsia="Times New Roman" w:cs="Times New Roman" w:ascii="Times New Roman" w:hAnsi="Times New Roman"/>
        </w:rPr>
        <w:t xml:space="preserve"> representing just under 20 million Americans. The record economic downturn due to the COVID-19 pandemic has hit some sectors harder than others, and there have been countless stories of how low-paid workers are bearing the brunt of the crisis. Job loss is over 20% higher in the personal care and food industries which make up the lowest end of the income distribution, and where jobs are more precarious and have less opportunity for upward mobility. They are also disproportionately held by younger, often racialized workers.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current crisis tells an important story about the precarious nature of low-paid work, and the economic vulnerability of workers who hold these jobs. Changes to the labour market over the last 40 years have </w:t>
      </w:r>
      <w:hyperlink r:id="rId2">
        <w:r>
          <w:rPr>
            <w:rStyle w:val="InternetLink"/>
            <w:rFonts w:eastAsia="Times New Roman" w:cs="Times New Roman" w:ascii="Times New Roman" w:hAnsi="Times New Roman"/>
          </w:rPr>
          <w:t>concentrated jobs at the top and bottom of the wage distribution</w:t>
        </w:r>
      </w:hyperlink>
      <w:r>
        <w:rPr>
          <w:rFonts w:eastAsia="Times New Roman" w:cs="Times New Roman" w:ascii="Times New Roman" w:hAnsi="Times New Roman"/>
        </w:rPr>
        <w:t xml:space="preserve"> in higher-paid knowledge sectors jobs, and in lower-paid service sectors jobs. These changes have meant that a greater proportion of Americans hold jobs that do not provide the income needed to build a decent life and are least able to ensure financial hardships in economic downturns.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federal government acted swiftly to implement the Coronavirus Aid, Relief and Economic Security (CARES)  to mitigate the economic impacts to these workers in the short-term. With benefits set to expire at the end of July </w:t>
      </w:r>
      <w:commentRangeStart w:id="0"/>
      <w:r>
        <w:rPr>
          <w:rFonts w:eastAsia="Times New Roman" w:cs="Times New Roman" w:ascii="Times New Roman" w:hAnsi="Times New Roman"/>
        </w:rPr>
        <w:t xml:space="preserve">and continued high </w:t>
      </w:r>
      <w:commentRangeStart w:id="1"/>
      <w:r>
        <w:rPr>
          <w:rFonts w:eastAsia="Times New Roman" w:cs="Times New Roman" w:ascii="Times New Roman" w:hAnsi="Times New Roman"/>
        </w:rPr>
        <w:t>jobless rates</w:t>
      </w:r>
      <w:r>
        <w:rPr>
          <w:rFonts w:eastAsia="Times New Roman" w:cs="Times New Roman" w:ascii="Times New Roman" w:hAnsi="Times New Roman"/>
        </w:rPr>
      </w:r>
      <w:commentRangeEnd w:id="1"/>
      <w:r>
        <w:commentReference w:id="1"/>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more emergency measure will surely be needed. However, the vulnerabilities that the pandemic exposes also raises a larger conversation about the types of policy reforms that are needed to ensure economic security for low-income workers.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One policy that has traditionally buffered the economic hardship of low-paid work is the Earned Income Tax Credit (ETIC), an in-work tax credit that supplements earnings for many low- and moderate-income workers. In 2019, roughly $70 billion dollars was spent through the EITC program, making it the largest transfer program for working families. In 2018 the EITC lifted </w:t>
      </w:r>
      <w:hyperlink r:id="rId3" w:tgtFrame="_blank">
        <w:r>
          <w:rPr>
            <w:rStyle w:val="ListLabel2"/>
            <w:rFonts w:eastAsia="Times New Roman" w:cs="Times New Roman" w:ascii="Times New Roman" w:hAnsi="Times New Roman"/>
            <w:color w:val="0000FF"/>
            <w:u w:val="single"/>
          </w:rPr>
          <w:t>about 5.6 million people out of poverty, and reduced the severity of poverty for another 16.5 million</w:t>
        </w:r>
      </w:hyperlink>
      <w:r>
        <w:rPr>
          <w:rFonts w:eastAsia="Times New Roman" w:cs="Times New Roman" w:ascii="Times New Roman" w:hAnsi="Times New Roman"/>
        </w:rPr>
        <w:t xml:space="preserve">. There is evidence that the EITC program results in improvements in child development and health behaviors among adults, as well as reductions in food insecurity. </w:t>
      </w:r>
      <w:r>
        <w:rPr>
          <w:rFonts w:eastAsia="Times New Roman" w:cs="Times New Roman" w:ascii="Times New Roman" w:hAnsi="Times New Roman"/>
          <w:highlight w:val="yellow"/>
        </w:rPr>
        <w:t>[DESCRIBE HOW EITC WORKS</w:t>
      </w:r>
      <w:r>
        <w:rPr>
          <w:rFonts w:eastAsia="Times New Roman" w:cs="Times New Roman" w:ascii="Times New Roman" w:hAnsi="Times New Roman"/>
        </w:rPr>
        <w:t xml:space="preserve">] </w:t>
      </w:r>
      <w:r>
        <w:rPr>
          <w:rFonts w:eastAsia="Times New Roman" w:cs="Times New Roman" w:ascii="Times New Roman" w:hAnsi="Times New Roman"/>
        </w:rPr>
        <w:t xml:space="preserve">For example, </w:t>
      </w:r>
      <w:r>
        <w:rPr>
          <w:rFonts w:eastAsia="Times New Roman" w:cs="Times New Roman" w:ascii="Times New Roman" w:hAnsi="Times New Roman"/>
        </w:rPr>
        <w:t>the</w:t>
      </w:r>
      <w:r>
        <w:rPr>
          <w:rFonts w:eastAsia="Times New Roman" w:cs="Times New Roman" w:ascii="Times New Roman" w:hAnsi="Times New Roman"/>
        </w:rPr>
        <w:t xml:space="preserve"> </w:t>
      </w:r>
      <w:r>
        <w:rPr>
          <w:rFonts w:eastAsia="Times New Roman" w:cs="Times New Roman" w:ascii="Times New Roman" w:hAnsi="Times New Roman"/>
        </w:rPr>
        <w:t xml:space="preserve">representative </w:t>
      </w:r>
      <w:r>
        <w:rPr>
          <w:rFonts w:eastAsia="Times New Roman" w:cs="Times New Roman" w:ascii="Times New Roman" w:hAnsi="Times New Roman"/>
        </w:rPr>
        <w:t xml:space="preserve">family of four </w:t>
      </w:r>
      <w:r>
        <w:rPr>
          <w:rFonts w:eastAsia="Times New Roman" w:cs="Times New Roman" w:ascii="Times New Roman" w:hAnsi="Times New Roman"/>
        </w:rPr>
        <w:t>with children</w:t>
      </w:r>
      <w:r>
        <w:rPr>
          <w:rFonts w:eastAsia="Times New Roman" w:cs="Times New Roman" w:ascii="Times New Roman" w:hAnsi="Times New Roman"/>
        </w:rPr>
        <w:t xml:space="preserve"> </w:t>
      </w:r>
      <w:r>
        <w:rPr>
          <w:rFonts w:eastAsia="Times New Roman" w:cs="Times New Roman" w:ascii="Times New Roman" w:hAnsi="Times New Roman"/>
        </w:rPr>
        <w:t>had a yearly wage/salary income of 22,261 USD and recevived and EITC benefit of 2,951 USD, which corresponds to more than a month of earnings.</w:t>
      </w:r>
    </w:p>
    <w:p>
      <w:pPr>
        <w:pStyle w:val="Normal"/>
        <w:rPr>
          <w:rFonts w:ascii="Times New Roman" w:hAnsi="Times New Roman" w:eastAsia="Times New Roman" w:cs="Times New Roman"/>
        </w:rPr>
      </w:pPr>
      <w:r>
        <w:rPr/>
      </w:r>
    </w:p>
    <w:p>
      <w:pPr>
        <w:pStyle w:val="Normal"/>
        <w:rPr/>
      </w:pPr>
      <w:r>
        <w:rPr>
          <w:rFonts w:eastAsia="Times New Roman" w:cs="Times New Roman" w:ascii="Times New Roman" w:hAnsi="Times New Roman"/>
        </w:rPr>
        <w:t xml:space="preserve">Thanks to its yeraly regularity, the EITC has helped millions of families to better plan their consumption </w:t>
      </w:r>
      <w:r>
        <w:rPr>
          <w:rFonts w:eastAsia="Times New Roman" w:cs="Times New Roman" w:ascii="Times New Roman" w:hAnsi="Times New Roman"/>
        </w:rPr>
        <w:t>and savings</w:t>
      </w:r>
      <w:r>
        <w:rPr>
          <w:rFonts w:eastAsia="Times New Roman" w:cs="Times New Roman" w:ascii="Times New Roman" w:hAnsi="Times New Roman"/>
        </w:rPr>
        <w:t xml:space="preserve"> throughout the year. On the other hand, </w:t>
      </w:r>
      <w:r>
        <w:rPr>
          <w:rFonts w:eastAsia="Times New Roman" w:cs="Times New Roman" w:ascii="Times New Roman" w:hAnsi="Times New Roman"/>
        </w:rPr>
        <w:t>the unceratin</w:t>
      </w:r>
      <w:r>
        <w:rPr>
          <w:rFonts w:eastAsia="Times New Roman" w:cs="Times New Roman" w:ascii="Times New Roman" w:hAnsi="Times New Roman"/>
        </w:rPr>
        <w:t xml:space="preserve"> incusivity and duration of the Coronavirus economic relieves </w:t>
      </w:r>
      <w:r>
        <w:rPr>
          <w:rFonts w:eastAsia="Times New Roman" w:cs="Times New Roman" w:ascii="Times New Roman" w:hAnsi="Times New Roman"/>
        </w:rPr>
        <w:t>may negatively affect the future expectations of many families.</w:t>
      </w:r>
      <w:r>
        <w:rPr>
          <w:rFonts w:eastAsia="Times New Roman" w:cs="Times New Roman" w:ascii="Times New Roman" w:hAnsi="Times New Roman"/>
        </w:rPr>
        <w:t xml:space="preserve"> </w:t>
      </w:r>
      <w:r>
        <w:rPr>
          <w:rFonts w:eastAsia="Times New Roman" w:cs="Times New Roman" w:ascii="Times New Roman" w:hAnsi="Times New Roman"/>
        </w:rPr>
        <w:t>This will not only turn into a challenging domestic budget planning, but it will also</w:t>
      </w:r>
      <w:r>
        <w:rPr>
          <w:rFonts w:eastAsia="Times New Roman" w:cs="Times New Roman" w:ascii="Times New Roman" w:hAnsi="Times New Roman"/>
        </w:rPr>
        <w:t xml:space="preserve"> influence the evolution of health and economic positions.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EITC has enjoyed strong bipartisan support and has been praised for the role it has played in reducing poverty. Along with another round of emergency measures, reforming the EITC to address gaps raised by the current crisis and the likelihood of a slow economic recovery are another tool to ensure that economic inequalities do not widen. </w:t>
      </w:r>
      <w:hyperlink r:id="rId4" w:tgtFrame="_blank">
        <w:r>
          <w:rPr>
            <w:rStyle w:val="ListLabel2"/>
            <w:rFonts w:eastAsia="Times New Roman" w:cs="Times New Roman" w:ascii="Times New Roman" w:hAnsi="Times New Roman"/>
            <w:color w:val="0000FF"/>
            <w:u w:val="single"/>
          </w:rPr>
          <w:t>Policymakers</w:t>
        </w:r>
      </w:hyperlink>
      <w:r>
        <w:rPr>
          <w:rFonts w:eastAsia="Times New Roman" w:cs="Times New Roman" w:ascii="Times New Roman" w:hAnsi="Times New Roman"/>
        </w:rPr>
        <w:t xml:space="preserve"> and </w:t>
      </w:r>
      <w:hyperlink r:id="rId5" w:tgtFrame="_blank">
        <w:r>
          <w:rPr>
            <w:rStyle w:val="ListLabel2"/>
            <w:rFonts w:eastAsia="Times New Roman" w:cs="Times New Roman" w:ascii="Times New Roman" w:hAnsi="Times New Roman"/>
            <w:color w:val="0000FF"/>
            <w:u w:val="single"/>
          </w:rPr>
          <w:t>advocates</w:t>
        </w:r>
      </w:hyperlink>
      <w:r>
        <w:rPr>
          <w:rFonts w:eastAsia="Times New Roman" w:cs="Times New Roman" w:ascii="Times New Roman" w:hAnsi="Times New Roman"/>
        </w:rPr>
        <w:t xml:space="preserve"> ha</w:t>
      </w:r>
      <w:r>
        <w:rPr>
          <w:rFonts w:eastAsia="Times New Roman" w:cs="Times New Roman" w:ascii="Times New Roman" w:hAnsi="Times New Roman"/>
        </w:rPr>
        <w:t>rs</w:t>
      </w:r>
      <w:r>
        <w:rPr>
          <w:rFonts w:eastAsia="Times New Roman" w:cs="Times New Roman" w:ascii="Times New Roman" w:hAnsi="Times New Roman"/>
        </w:rPr>
        <w:t xml:space="preserve">ve suggested several reforms to adapt to the current crisis.  Benefits from the ETIC are only available to individuals who are able to find work. With the current unprecedented declines in employment, there are likely to be substantial reductions in EITC benefits in 2021, when benefits are disbursed as a tax refund. </w:t>
      </w:r>
      <w:r>
        <w:rPr>
          <w:rFonts w:eastAsia="Times New Roman" w:cs="Times New Roman" w:ascii="Times New Roman" w:hAnsi="Times New Roman"/>
        </w:rPr>
        <w:t>Data from a national representative survey showed that approximately 20% of EITC beneficiearies in 2019 lost their jobs between March and April, which accounts for approximately 4 million working families</w:t>
      </w:r>
      <w:r>
        <w:rPr>
          <w:rFonts w:eastAsia="Times New Roman" w:cs="Times New Roman" w:ascii="Times New Roman" w:hAnsi="Times New Roman"/>
        </w:rPr>
        <w:t xml:space="preserve">. Changing the generosity of the phase-in period so that workers would receive more benefits with fewer hours of work would preserve the work incentives of the EITC but allow individuals who have lost work during the pandemic to receive a greater amount of benefits. Increasing benefit rates for low-income childless workers  and expanding the age cut-offs to younger workers who have yet to have a foothold in the economy and are likely to face a lagging job market will broaden the impact of these changes.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Our research indicates that these changes are likely to have the greatest benefit for those who have lost work  Occupations with the highest proportion of job loss are also the occupations where workers tend to benefit the most from the EITC, and unemployment among EITC households was approximately three times higher in April 2020 compared to April 2019. </w:t>
      </w:r>
    </w:p>
    <w:p>
      <w:pPr>
        <w:pStyle w:val="Normal"/>
        <w:rPr>
          <w:rFonts w:ascii="Times New Roman" w:hAnsi="Times New Roman" w:eastAsia="Times New Roman" w:cs="Times New Roman"/>
        </w:rPr>
      </w:pPr>
      <w:r>
        <w:rPr>
          <w:rFonts w:eastAsia="Times New Roman" w:cs="Times New Roman" w:ascii="Times New Roman" w:hAnsi="Times New Roman"/>
        </w:rPr>
        <w:t>While we cannot fully predict how interactions between job losses and the tax and benefit system will play out, these trends should receive the attention of policymakers given the critical assistance that EITC benefits provide to low-income workers.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[INSERT FIGURE 1]</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Many analysts have expressed hope that employment-related social inequalities exposed by COVID-19 will lead to reforms to social benefits and insurance in the United States. Alongside other reforms, an expanded EITC can be an effective part of this effort, </w:t>
      </w:r>
      <w:hyperlink r:id="rId6" w:tgtFrame="_blank">
        <w:r>
          <w:rPr>
            <w:rStyle w:val="ListLabel2"/>
            <w:rFonts w:eastAsia="Times New Roman" w:cs="Times New Roman" w:ascii="Times New Roman" w:hAnsi="Times New Roman"/>
            <w:color w:val="0000FF"/>
            <w:u w:val="single"/>
          </w:rPr>
          <w:t>and direct benefits to low- and moderate-income earners</w:t>
        </w:r>
      </w:hyperlink>
      <w:r>
        <w:rPr>
          <w:rFonts w:eastAsia="Times New Roman" w:cs="Times New Roman" w:ascii="Times New Roman" w:hAnsi="Times New Roman"/>
        </w:rPr>
        <w:t xml:space="preserve"> who are likely to experience the greatest harms from the pandemic.</w:t>
      </w:r>
    </w:p>
    <w:p>
      <w:pPr>
        <w:pStyle w:val="Normal"/>
        <w:rPr>
          <w:rFonts w:ascii="Times New Roman" w:hAnsi="Times New Roman" w:eastAsia="Times New Roman" w:cs="Times New Roman"/>
        </w:rPr>
      </w:pPr>
      <w:r>
        <w:rPr>
          <w:rFonts w:eastAsia="Times New Roman" w:cs="Times New Roman" w:ascii="Times New Roman" w:hAnsi="Times New Roman"/>
        </w:rPr>
        <w:t> </w:t>
      </w:r>
    </w:p>
    <w:p>
      <w:pPr>
        <w:pStyle w:val="Normal"/>
        <w:rPr>
          <w:rFonts w:ascii="Times New Roman" w:hAnsi="Times New Roman" w:eastAsia="Times New Roman" w:cs="Times New Roman"/>
        </w:rPr>
      </w:pPr>
      <w:r>
        <w:rPr>
          <w:rFonts w:eastAsia="Times New Roman" w:cs="Times New Roman" w:ascii="Times New Roman" w:hAnsi="Times New Roman"/>
        </w:rPr>
        <w:t> </w:t>
      </w:r>
    </w:p>
    <w:p>
      <w:pPr>
        <w:pStyle w:val="Normal"/>
        <w:rPr>
          <w:rFonts w:ascii="Times New Roman" w:hAnsi="Times New Roman" w:eastAsia="Times New Roman" w:cs="Times New Roman"/>
        </w:rPr>
      </w:pPr>
      <w:r>
        <w:rPr>
          <w:rFonts w:eastAsia="Times New Roman" w:cs="Times New Roman" w:ascii="Times New Roman" w:hAnsi="Times New Roman"/>
        </w:rPr>
        <w:t> </w:t>
      </w:r>
    </w:p>
    <w:p>
      <w:pPr>
        <w:pStyle w:val="Normal"/>
        <w:rPr>
          <w:rFonts w:ascii="Times New Roman" w:hAnsi="Times New Roman" w:eastAsia="Times New Roman" w:cs="Times New Roman"/>
        </w:rPr>
      </w:pPr>
      <w:r>
        <w:rPr>
          <w:rFonts w:eastAsia="Times New Roman" w:cs="Times New Roman" w:ascii="Times New Roman" w:hAnsi="Times New Roman"/>
        </w:rPr>
        <w:t>FIGURE 1</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bookmarkStart w:id="0" w:name="_GoBack"/>
      <w:bookmarkStart w:id="1" w:name="_GoBack"/>
      <w:bookmarkEnd w:id="1"/>
    </w:p>
    <w:p>
      <w:pPr>
        <w:pStyle w:val="Normal"/>
        <w:rPr>
          <w:rFonts w:ascii="Times New Roman" w:hAnsi="Times New Roman" w:eastAsia="Times New Roman" w:cs="Times New Roman"/>
        </w:rPr>
      </w:pPr>
      <w:r>
        <w:rPr/>
        <w:drawing>
          <wp:inline distT="0" distB="0" distL="0" distR="0">
            <wp:extent cx="5943600" cy="339661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7"/>
                    <a:stretch>
                      <a:fillRect/>
                    </a:stretch>
                  </pic:blipFill>
                  <pic:spPr bwMode="auto">
                    <a:xfrm>
                      <a:off x="0" y="0"/>
                      <a:ext cx="5943600" cy="3396615"/>
                    </a:xfrm>
                    <a:prstGeom prst="rect">
                      <a:avLst/>
                    </a:prstGeom>
                  </pic:spPr>
                </pic:pic>
              </a:graphicData>
            </a:graphic>
          </wp:inline>
        </w:drawing>
      </w:r>
    </w:p>
    <w:p>
      <w:pPr>
        <w:pStyle w:val="Normal"/>
        <w:rPr>
          <w:rFonts w:ascii="Times New Roman" w:hAnsi="Times New Roman" w:eastAsia="Times New Roman" w:cs="Times New Roman"/>
          <w:i/>
          <w:i/>
        </w:rPr>
      </w:pPr>
      <w:r>
        <w:rPr>
          <w:rFonts w:eastAsia="Times New Roman" w:cs="Times New Roman" w:ascii="Times New Roman" w:hAnsi="Times New Roman"/>
          <w:i/>
        </w:rPr>
        <w:t>Average 2019 EITC payment vs % Difference in employment between February and April 2020 by occupational category. Source: Current Population Survey.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headerReference w:type="default" r:id="rId8"/>
      <w:type w:val="nextPage"/>
      <w:pgSz w:w="12240" w:h="15840"/>
      <w:pgMar w:left="1440" w:right="1440" w:header="708"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20-07-13T16:14: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CA"/>
        </w:rPr>
        <w:t>According to the latest released Cesus data, nonfarm employment was 14.7 million, 9.6 % lower, in June than in February.</w:t>
      </w:r>
    </w:p>
  </w:comment>
  <w:comment w:id="0" w:author="Rebecca Hasdell" w:date="2020-07-13T15:40:00Z" w:initials="RH">
    <w:p>
      <w:r>
        <w:rPr>
          <w:rFonts w:ascii="Liberation Serif" w:hAnsi="Liberation Serif" w:eastAsia="DejaVu Sans" w:cs="DejaVu Sans"/>
          <w:lang w:val="en-US" w:eastAsia="en-US" w:bidi="en-US"/>
        </w:rPr>
        <w:t>Do we have a number for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2"/>
        <w:szCs w:val="22"/>
      </w:rPr>
    </w:pPr>
    <w:r>
      <w:rPr>
        <w:rFonts w:cs="Times New Roman" w:ascii="Times New Roman" w:hAnsi="Times New Roman"/>
        <w:sz w:val="22"/>
        <w:szCs w:val="22"/>
      </w:rPr>
      <w:t>Hasdell, Milivinti and Rehkopf</w:t>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Attrlink" w:customStyle="1">
    <w:name w:val="attrlink"/>
    <w:basedOn w:val="DefaultParagraphFont"/>
    <w:qFormat/>
    <w:rsid w:val="00e353c4"/>
    <w:rPr/>
  </w:style>
  <w:style w:type="character" w:styleId="InternetLink">
    <w:name w:val="Internet Link"/>
    <w:basedOn w:val="DefaultParagraphFont"/>
    <w:uiPriority w:val="99"/>
    <w:unhideWhenUsed/>
    <w:rsid w:val="00e353c4"/>
    <w:rPr>
      <w:color w:val="0000FF"/>
      <w:u w:val="single"/>
    </w:rPr>
  </w:style>
  <w:style w:type="character" w:styleId="Thread935152858079108788250203" w:customStyle="1">
    <w:name w:val="thread-935152858079108788250203"/>
    <w:basedOn w:val="DefaultParagraphFont"/>
    <w:qFormat/>
    <w:rsid w:val="00e353c4"/>
    <w:rPr/>
  </w:style>
  <w:style w:type="character" w:styleId="Thread030161858212179706153964" w:customStyle="1">
    <w:name w:val="thread-030161858212179706153964"/>
    <w:basedOn w:val="DefaultParagraphFont"/>
    <w:qFormat/>
    <w:rsid w:val="00e353c4"/>
    <w:rPr/>
  </w:style>
  <w:style w:type="character" w:styleId="Aceallboldhthree" w:customStyle="1">
    <w:name w:val="ace-all-bold-hthree"/>
    <w:basedOn w:val="DefaultParagraphFont"/>
    <w:qFormat/>
    <w:rsid w:val="00e353c4"/>
    <w:rPr/>
  </w:style>
  <w:style w:type="character" w:styleId="Thread043510057649994284880243" w:customStyle="1">
    <w:name w:val="thread-043510057649994284880243"/>
    <w:basedOn w:val="DefaultParagraphFont"/>
    <w:qFormat/>
    <w:rsid w:val="00e353c4"/>
    <w:rPr/>
  </w:style>
  <w:style w:type="character" w:styleId="Thread105149818859980257961134" w:customStyle="1">
    <w:name w:val="thread-105149818859980257961134"/>
    <w:basedOn w:val="DefaultParagraphFont"/>
    <w:qFormat/>
    <w:rsid w:val="00e353c4"/>
    <w:rPr/>
  </w:style>
  <w:style w:type="character" w:styleId="Thread174368137276498672248902" w:customStyle="1">
    <w:name w:val="thread-174368137276498672248902"/>
    <w:basedOn w:val="DefaultParagraphFont"/>
    <w:qFormat/>
    <w:rsid w:val="00e353c4"/>
    <w:rPr/>
  </w:style>
  <w:style w:type="character" w:styleId="UnresolvedMention">
    <w:name w:val="Unresolved Mention"/>
    <w:basedOn w:val="DefaultParagraphFont"/>
    <w:uiPriority w:val="99"/>
    <w:semiHidden/>
    <w:unhideWhenUsed/>
    <w:qFormat/>
    <w:rsid w:val="004905ac"/>
    <w:rPr>
      <w:color w:val="605E5C"/>
      <w:shd w:fill="E1DFDD" w:val="clear"/>
    </w:rPr>
  </w:style>
  <w:style w:type="character" w:styleId="FollowedHyperlink">
    <w:name w:val="FollowedHyperlink"/>
    <w:basedOn w:val="DefaultParagraphFont"/>
    <w:uiPriority w:val="99"/>
    <w:semiHidden/>
    <w:unhideWhenUsed/>
    <w:qFormat/>
    <w:rsid w:val="004905ac"/>
    <w:rPr>
      <w:color w:val="954F72" w:themeColor="followedHyperlink"/>
      <w:u w:val="single"/>
    </w:rPr>
  </w:style>
  <w:style w:type="character" w:styleId="HeaderChar" w:customStyle="1">
    <w:name w:val="Header Char"/>
    <w:basedOn w:val="DefaultParagraphFont"/>
    <w:link w:val="Header"/>
    <w:uiPriority w:val="99"/>
    <w:qFormat/>
    <w:rsid w:val="00464033"/>
    <w:rPr/>
  </w:style>
  <w:style w:type="character" w:styleId="FooterChar" w:customStyle="1">
    <w:name w:val="Footer Char"/>
    <w:basedOn w:val="DefaultParagraphFont"/>
    <w:link w:val="Footer"/>
    <w:uiPriority w:val="99"/>
    <w:qFormat/>
    <w:rsid w:val="00464033"/>
    <w:rPr/>
  </w:style>
  <w:style w:type="character" w:styleId="Annotationreference">
    <w:name w:val="annotation reference"/>
    <w:basedOn w:val="DefaultParagraphFont"/>
    <w:uiPriority w:val="99"/>
    <w:semiHidden/>
    <w:unhideWhenUsed/>
    <w:qFormat/>
    <w:rsid w:val="00db31a8"/>
    <w:rPr>
      <w:sz w:val="16"/>
      <w:szCs w:val="16"/>
    </w:rPr>
  </w:style>
  <w:style w:type="character" w:styleId="CommentTextChar" w:customStyle="1">
    <w:name w:val="Comment Text Char"/>
    <w:basedOn w:val="DefaultParagraphFont"/>
    <w:link w:val="CommentText"/>
    <w:uiPriority w:val="99"/>
    <w:semiHidden/>
    <w:qFormat/>
    <w:rsid w:val="00db31a8"/>
    <w:rPr>
      <w:sz w:val="20"/>
      <w:szCs w:val="20"/>
    </w:rPr>
  </w:style>
  <w:style w:type="character" w:styleId="CommentSubjectChar" w:customStyle="1">
    <w:name w:val="Comment Subject Char"/>
    <w:basedOn w:val="CommentTextChar"/>
    <w:link w:val="CommentSubject"/>
    <w:uiPriority w:val="99"/>
    <w:semiHidden/>
    <w:qFormat/>
    <w:rsid w:val="00db31a8"/>
    <w:rPr>
      <w:b/>
      <w:bCs/>
      <w:sz w:val="20"/>
      <w:szCs w:val="20"/>
    </w:rPr>
  </w:style>
  <w:style w:type="character" w:styleId="BalloonTextChar" w:customStyle="1">
    <w:name w:val="Balloon Text Char"/>
    <w:basedOn w:val="DefaultParagraphFont"/>
    <w:link w:val="BalloonText"/>
    <w:uiPriority w:val="99"/>
    <w:semiHidden/>
    <w:qFormat/>
    <w:rsid w:val="00db31a8"/>
    <w:rPr>
      <w:rFonts w:ascii="Times New Roman" w:hAnsi="Times New Roman" w:cs="Times New Roman"/>
      <w:sz w:val="18"/>
      <w:szCs w:val="18"/>
    </w:rPr>
  </w:style>
  <w:style w:type="character" w:styleId="ListLabel1">
    <w:name w:val="ListLabel 1"/>
    <w:qFormat/>
    <w:rPr>
      <w:rFonts w:ascii="Times New Roman" w:hAnsi="Times New Roman" w:eastAsia="Times New Roman" w:cs="Times New Roman"/>
    </w:rPr>
  </w:style>
  <w:style w:type="character" w:styleId="ListLabel2">
    <w:name w:val="ListLabel 2"/>
    <w:qFormat/>
    <w:rPr>
      <w:rFonts w:ascii="Times New Roman" w:hAnsi="Times New Roman" w:eastAsia="Times New Roman"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4033"/>
    <w:pPr>
      <w:tabs>
        <w:tab w:val="center" w:pos="4680" w:leader="none"/>
        <w:tab w:val="right" w:pos="9360" w:leader="none"/>
      </w:tabs>
    </w:pPr>
    <w:rPr/>
  </w:style>
  <w:style w:type="paragraph" w:styleId="Footer">
    <w:name w:val="Footer"/>
    <w:basedOn w:val="Normal"/>
    <w:link w:val="FooterChar"/>
    <w:uiPriority w:val="99"/>
    <w:unhideWhenUsed/>
    <w:rsid w:val="00464033"/>
    <w:pPr>
      <w:tabs>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db31a8"/>
    <w:pPr/>
    <w:rPr>
      <w:sz w:val="20"/>
      <w:szCs w:val="20"/>
    </w:rPr>
  </w:style>
  <w:style w:type="paragraph" w:styleId="Annotationsubject">
    <w:name w:val="annotation subject"/>
    <w:basedOn w:val="Annotationtext"/>
    <w:link w:val="CommentSubjectChar"/>
    <w:uiPriority w:val="99"/>
    <w:semiHidden/>
    <w:unhideWhenUsed/>
    <w:qFormat/>
    <w:rsid w:val="00db31a8"/>
    <w:pPr/>
    <w:rPr>
      <w:b/>
      <w:bCs/>
    </w:rPr>
  </w:style>
  <w:style w:type="paragraph" w:styleId="BalloonText">
    <w:name w:val="Balloon Text"/>
    <w:basedOn w:val="Normal"/>
    <w:link w:val="BalloonTextChar"/>
    <w:uiPriority w:val="99"/>
    <w:semiHidden/>
    <w:unhideWhenUsed/>
    <w:qFormat/>
    <w:rsid w:val="00db31a8"/>
    <w:pPr/>
    <w:rPr>
      <w:rFonts w:ascii="Times New Roman" w:hAnsi="Times New Roman" w:cs="Times New Roman"/>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iteseerx.ist.psu.edu/viewdoc/download?doi=10.1.1.308.299&amp;rep=rep1&amp;type=pdf" TargetMode="External"/><Relationship Id="rId3" Type="http://schemas.openxmlformats.org/officeDocument/2006/relationships/hyperlink" Target="https://www.dropbox.com/scl/fi/10q2u7qqa2jri84lje8lp/COVID-unemployment-and-income-supports.paper?dl=0&amp;rlkey=woctmme5y5mnh2mhsddbq59ht" TargetMode="External"/><Relationship Id="rId4" Type="http://schemas.openxmlformats.org/officeDocument/2006/relationships/hyperlink" Target="https://www.hassan.senate.gov/news/press-releases/senators-hassan-and-shaheen-push-for-tax-credit-expansion-for-hard-working-families-in-next-covid-19-relief-package" TargetMode="External"/><Relationship Id="rId5" Type="http://schemas.openxmlformats.org/officeDocument/2006/relationships/hyperlink" Target="https://itep.org/adding-flexibility-to-make-the-eitc-work-during-the-pandemic/" TargetMode="External"/><Relationship Id="rId6" Type="http://schemas.openxmlformats.org/officeDocument/2006/relationships/hyperlink" Target="https://www.taxpolicycenter.org/taxvox/using-eitc-help-fight-economic-slowdown" TargetMode="External"/><Relationship Id="rId7" Type="http://schemas.openxmlformats.org/officeDocument/2006/relationships/image" Target="media/image1.tif"/><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3</Pages>
  <Words>877</Words>
  <Characters>4653</Characters>
  <CharactersWithSpaces>5530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2020-07-13T22:59:00Z</dcterms:created>
  <dc:creator>Rebecca Hasdell</dc:creator>
  <dc:description/>
  <dc:language>en-US</dc:language>
  <cp:lastModifiedBy/>
  <dcterms:modified xsi:type="dcterms:W3CDTF">2020-07-13T17:18:01Z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