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C3A8" w14:textId="77777777" w:rsidR="00742BCB" w:rsidRPr="00742BCB" w:rsidRDefault="00742BCB" w:rsidP="00742BCB">
      <w:pPr>
        <w:pStyle w:val="ae"/>
        <w:rPr>
          <w:rFonts w:ascii="Calibri" w:hAnsi="Calibri" w:cs="Calibri"/>
        </w:rPr>
      </w:pPr>
      <w:r w:rsidRPr="00742BCB">
        <w:rPr>
          <w:rFonts w:ascii="Calibri" w:hAnsi="Calibri" w:cs="Calibri"/>
        </w:rPr>
        <w:t>Our system demonstrates solid—but not yet production-grade—performance. On the held-out test set it achieves 82% accuracy with an F1 score of 0.82, indicating a balanced trade-off between precision and recall and suggesting that the classifier both identifies target classes reliably and limits false positives. However, analysis of the confusion matrix reveals structured error modes. The “other” label functions as a sink class and is occasionally over-used. More importantly, materials with similar optical properties are systematically confused: glass, metal, and plastic share specular highlights and are frequently misclassified among one another; paper is often mistaken for cardboard or plastic due to overlapping color, texture, and reflectance. Qualitative probes corroborate these patterns, including cases that are ambiguous even for humans (e.g., clear plastic predicted as glass).</w:t>
      </w:r>
    </w:p>
    <w:p w14:paraId="0DD2EBA9" w14:textId="77777777" w:rsidR="00742BCB" w:rsidRPr="00742BCB" w:rsidRDefault="00742BCB" w:rsidP="00742BCB">
      <w:pPr>
        <w:pStyle w:val="ae"/>
        <w:rPr>
          <w:rFonts w:ascii="Calibri" w:hAnsi="Calibri" w:cs="Calibri"/>
        </w:rPr>
      </w:pPr>
      <w:r w:rsidRPr="00742BCB">
        <w:rPr>
          <w:rFonts w:ascii="Calibri" w:hAnsi="Calibri" w:cs="Calibri"/>
        </w:rPr>
        <w:t xml:space="preserve">A central finding is that </w:t>
      </w:r>
      <w:r w:rsidRPr="00742BCB">
        <w:rPr>
          <w:rStyle w:val="af"/>
          <w:rFonts w:ascii="Calibri" w:hAnsi="Calibri" w:cs="Calibri"/>
          <w:b w:val="0"/>
          <w:bCs w:val="0"/>
        </w:rPr>
        <w:t>data quality dominates model complexity</w:t>
      </w:r>
      <w:r w:rsidRPr="00742BCB">
        <w:rPr>
          <w:rFonts w:ascii="Calibri" w:hAnsi="Calibri" w:cs="Calibri"/>
        </w:rPr>
        <w:t xml:space="preserve">. Increasing intra-class diversity—lighting conditions, viewpoints, backgrounds, and object variants—yielded larger gains than architectural changes or hyperparameter tuning. Robust photometric augmentation was essential: identical objects under strong glare, shadows, or uneven illumination produced markedly different predictions. Incorporating </w:t>
      </w:r>
      <w:r w:rsidRPr="00742BCB">
        <w:rPr>
          <w:rStyle w:val="af"/>
          <w:rFonts w:ascii="Calibri" w:hAnsi="Calibri" w:cs="Calibri"/>
          <w:b w:val="0"/>
          <w:bCs w:val="0"/>
        </w:rPr>
        <w:t>hard negatives</w:t>
      </w:r>
      <w:r w:rsidRPr="00742BCB">
        <w:rPr>
          <w:rFonts w:ascii="Calibri" w:hAnsi="Calibri" w:cs="Calibri"/>
        </w:rPr>
        <w:t xml:space="preserve"> (visually confusable non-targets) improved class boundaries and reduced shine-induced confusions.</w:t>
      </w:r>
    </w:p>
    <w:p w14:paraId="6FA76DF6" w14:textId="77777777" w:rsidR="00742BCB" w:rsidRPr="00742BCB" w:rsidRDefault="00742BCB" w:rsidP="00742BCB">
      <w:pPr>
        <w:pStyle w:val="ae"/>
        <w:rPr>
          <w:rFonts w:ascii="Calibri" w:hAnsi="Calibri" w:cs="Calibri"/>
        </w:rPr>
      </w:pPr>
      <w:r w:rsidRPr="00742BCB">
        <w:rPr>
          <w:rFonts w:ascii="Calibri" w:hAnsi="Calibri" w:cs="Calibri"/>
        </w:rPr>
        <w:t xml:space="preserve">System engineering choices also materially affected outcomes. Reading data from local </w:t>
      </w:r>
      <w:proofErr w:type="spellStart"/>
      <w:r w:rsidRPr="00742BCB">
        <w:rPr>
          <w:rFonts w:ascii="Calibri" w:hAnsi="Calibri" w:cs="Calibri"/>
        </w:rPr>
        <w:t>Colab</w:t>
      </w:r>
      <w:proofErr w:type="spellEnd"/>
      <w:r w:rsidRPr="00742BCB">
        <w:rPr>
          <w:rFonts w:ascii="Calibri" w:hAnsi="Calibri" w:cs="Calibri"/>
        </w:rPr>
        <w:t xml:space="preserve"> storage was significantly faster than Google Drive, which introduced </w:t>
      </w:r>
      <w:proofErr w:type="gramStart"/>
      <w:r w:rsidRPr="00742BCB">
        <w:rPr>
          <w:rFonts w:ascii="Calibri" w:hAnsi="Calibri" w:cs="Calibri"/>
        </w:rPr>
        <w:t>network-mounted</w:t>
      </w:r>
      <w:proofErr w:type="gramEnd"/>
      <w:r w:rsidRPr="00742BCB">
        <w:rPr>
          <w:rFonts w:ascii="Calibri" w:hAnsi="Calibri" w:cs="Calibri"/>
        </w:rPr>
        <w:t xml:space="preserve"> I/O bottlenecks. Limited GPU availability constrained training stability; consistent compute access improved convergence and reproducibility. Replicating reported results from the literature proved non-trivial: many papers implicitly assume very large datasets, substantial compute budgets, or opaque preprocessing pipelines, and matching their numbers required extensive experimentation that was sometimes infeasible under our constraints.</w:t>
      </w:r>
    </w:p>
    <w:p w14:paraId="05325FB8" w14:textId="77777777" w:rsidR="00742BCB" w:rsidRPr="00742BCB" w:rsidRDefault="00742BCB" w:rsidP="00742BCB">
      <w:pPr>
        <w:pStyle w:val="ae"/>
        <w:rPr>
          <w:rFonts w:ascii="Calibri" w:hAnsi="Calibri" w:cs="Calibri"/>
        </w:rPr>
      </w:pPr>
      <w:r w:rsidRPr="00742BCB">
        <w:rPr>
          <w:rFonts w:ascii="Calibri" w:hAnsi="Calibri" w:cs="Calibri"/>
        </w:rPr>
        <w:t xml:space="preserve">For detection, YOLO occasionally latched onto hands and background clutter, underscoring the importance of </w:t>
      </w:r>
      <w:r w:rsidRPr="00742BCB">
        <w:rPr>
          <w:rStyle w:val="af"/>
          <w:rFonts w:ascii="Calibri" w:hAnsi="Calibri" w:cs="Calibri"/>
          <w:b w:val="0"/>
          <w:bCs w:val="0"/>
        </w:rPr>
        <w:t>clean annotations</w:t>
      </w:r>
      <w:r w:rsidRPr="00742BCB">
        <w:rPr>
          <w:rFonts w:ascii="Calibri" w:hAnsi="Calibri" w:cs="Calibri"/>
        </w:rPr>
        <w:t xml:space="preserve"> and consistent bounding-box policies. In live demos, high-resolution inputs increased per-frame preprocessing cost and induced visible latency. We mitigated this by reducing input resolution, </w:t>
      </w:r>
      <w:r w:rsidRPr="00742BCB">
        <w:rPr>
          <w:rStyle w:val="af"/>
          <w:rFonts w:ascii="Calibri" w:hAnsi="Calibri" w:cs="Calibri"/>
          <w:b w:val="0"/>
          <w:bCs w:val="0"/>
        </w:rPr>
        <w:t>skipping frames</w:t>
      </w:r>
      <w:r w:rsidRPr="00742BCB">
        <w:rPr>
          <w:rFonts w:ascii="Calibri" w:hAnsi="Calibri" w:cs="Calibri"/>
        </w:rPr>
        <w:t xml:space="preserve">, and applying </w:t>
      </w:r>
      <w:r w:rsidRPr="00742BCB">
        <w:rPr>
          <w:rStyle w:val="af"/>
          <w:rFonts w:ascii="Calibri" w:hAnsi="Calibri" w:cs="Calibri"/>
          <w:b w:val="0"/>
          <w:bCs w:val="0"/>
        </w:rPr>
        <w:t>temporal smoothing</w:t>
      </w:r>
      <w:r w:rsidRPr="00742BCB">
        <w:rPr>
          <w:rFonts w:ascii="Calibri" w:hAnsi="Calibri" w:cs="Calibri"/>
        </w:rPr>
        <w:t>, which preserved responsiveness with minimal loss in accuracy.</w:t>
      </w:r>
    </w:p>
    <w:p w14:paraId="788ED827" w14:textId="77777777" w:rsidR="00742BCB" w:rsidRPr="00742BCB" w:rsidRDefault="00742BCB" w:rsidP="00742BCB">
      <w:pPr>
        <w:pStyle w:val="ae"/>
        <w:rPr>
          <w:rFonts w:ascii="Calibri" w:hAnsi="Calibri" w:cs="Calibri"/>
        </w:rPr>
      </w:pPr>
      <w:r w:rsidRPr="00742BCB">
        <w:rPr>
          <w:rFonts w:ascii="Calibri" w:hAnsi="Calibri" w:cs="Calibri"/>
        </w:rPr>
        <w:t xml:space="preserve">The broader insight is that </w:t>
      </w:r>
      <w:r w:rsidRPr="00742BCB">
        <w:rPr>
          <w:rStyle w:val="af"/>
          <w:rFonts w:ascii="Calibri" w:hAnsi="Calibri" w:cs="Calibri"/>
          <w:b w:val="0"/>
          <w:bCs w:val="0"/>
        </w:rPr>
        <w:t>deployment context is as decisive as the model</w:t>
      </w:r>
      <w:r w:rsidRPr="00742BCB">
        <w:rPr>
          <w:rFonts w:ascii="Calibri" w:hAnsi="Calibri" w:cs="Calibri"/>
        </w:rPr>
        <w:t>. Bright light, reflections, and object pose can erase the textural cues on which the network depends, degrading even strong pre-trained detectors. Overall, the project’s most impactful levers are richer, more realistic data; rigorous augmentation; well-designed hard negatives; careful labeling; and a throughput-aware inference pipeline. Future work should prioritize targeted data collection in adverse lighting, tighter label governance, and lightweight model variants tuned for edge latency over incremental architectural tweaks.</w:t>
      </w:r>
    </w:p>
    <w:p w14:paraId="38DCE97D" w14:textId="762B116A" w:rsidR="007B4167" w:rsidRPr="00742BCB" w:rsidRDefault="007B4167">
      <w:pPr>
        <w:rPr>
          <w:rFonts w:ascii="Calibri" w:hAnsi="Calibri" w:cs="Calibri"/>
        </w:rPr>
      </w:pPr>
    </w:p>
    <w:sectPr w:rsidR="007B4167" w:rsidRPr="00742B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CB"/>
    <w:rsid w:val="000F1F1D"/>
    <w:rsid w:val="00742BCB"/>
    <w:rsid w:val="007B4167"/>
    <w:rsid w:val="00D36FE8"/>
    <w:rsid w:val="00EB6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23E48B"/>
  <w15:chartTrackingRefBased/>
  <w15:docId w15:val="{FFD99D5A-88F5-4C4B-87CE-FD6EA108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2B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2B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2B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2B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2B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2B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2B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2B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2B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2B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2B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2B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2BCB"/>
    <w:rPr>
      <w:rFonts w:cstheme="majorBidi"/>
      <w:color w:val="0F4761" w:themeColor="accent1" w:themeShade="BF"/>
      <w:sz w:val="28"/>
      <w:szCs w:val="28"/>
    </w:rPr>
  </w:style>
  <w:style w:type="character" w:customStyle="1" w:styleId="50">
    <w:name w:val="标题 5 字符"/>
    <w:basedOn w:val="a0"/>
    <w:link w:val="5"/>
    <w:uiPriority w:val="9"/>
    <w:semiHidden/>
    <w:rsid w:val="00742BCB"/>
    <w:rPr>
      <w:rFonts w:cstheme="majorBidi"/>
      <w:color w:val="0F4761" w:themeColor="accent1" w:themeShade="BF"/>
      <w:sz w:val="24"/>
    </w:rPr>
  </w:style>
  <w:style w:type="character" w:customStyle="1" w:styleId="60">
    <w:name w:val="标题 6 字符"/>
    <w:basedOn w:val="a0"/>
    <w:link w:val="6"/>
    <w:uiPriority w:val="9"/>
    <w:semiHidden/>
    <w:rsid w:val="00742BCB"/>
    <w:rPr>
      <w:rFonts w:cstheme="majorBidi"/>
      <w:b/>
      <w:bCs/>
      <w:color w:val="0F4761" w:themeColor="accent1" w:themeShade="BF"/>
    </w:rPr>
  </w:style>
  <w:style w:type="character" w:customStyle="1" w:styleId="70">
    <w:name w:val="标题 7 字符"/>
    <w:basedOn w:val="a0"/>
    <w:link w:val="7"/>
    <w:uiPriority w:val="9"/>
    <w:semiHidden/>
    <w:rsid w:val="00742BCB"/>
    <w:rPr>
      <w:rFonts w:cstheme="majorBidi"/>
      <w:b/>
      <w:bCs/>
      <w:color w:val="595959" w:themeColor="text1" w:themeTint="A6"/>
    </w:rPr>
  </w:style>
  <w:style w:type="character" w:customStyle="1" w:styleId="80">
    <w:name w:val="标题 8 字符"/>
    <w:basedOn w:val="a0"/>
    <w:link w:val="8"/>
    <w:uiPriority w:val="9"/>
    <w:semiHidden/>
    <w:rsid w:val="00742BCB"/>
    <w:rPr>
      <w:rFonts w:cstheme="majorBidi"/>
      <w:color w:val="595959" w:themeColor="text1" w:themeTint="A6"/>
    </w:rPr>
  </w:style>
  <w:style w:type="character" w:customStyle="1" w:styleId="90">
    <w:name w:val="标题 9 字符"/>
    <w:basedOn w:val="a0"/>
    <w:link w:val="9"/>
    <w:uiPriority w:val="9"/>
    <w:semiHidden/>
    <w:rsid w:val="00742BCB"/>
    <w:rPr>
      <w:rFonts w:eastAsiaTheme="majorEastAsia" w:cstheme="majorBidi"/>
      <w:color w:val="595959" w:themeColor="text1" w:themeTint="A6"/>
    </w:rPr>
  </w:style>
  <w:style w:type="paragraph" w:styleId="a3">
    <w:name w:val="Title"/>
    <w:basedOn w:val="a"/>
    <w:next w:val="a"/>
    <w:link w:val="a4"/>
    <w:uiPriority w:val="10"/>
    <w:qFormat/>
    <w:rsid w:val="00742B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2B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B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2B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2BCB"/>
    <w:pPr>
      <w:spacing w:before="160"/>
      <w:jc w:val="center"/>
    </w:pPr>
    <w:rPr>
      <w:i/>
      <w:iCs/>
      <w:color w:val="404040" w:themeColor="text1" w:themeTint="BF"/>
    </w:rPr>
  </w:style>
  <w:style w:type="character" w:customStyle="1" w:styleId="a8">
    <w:name w:val="引用 字符"/>
    <w:basedOn w:val="a0"/>
    <w:link w:val="a7"/>
    <w:uiPriority w:val="29"/>
    <w:rsid w:val="00742BCB"/>
    <w:rPr>
      <w:i/>
      <w:iCs/>
      <w:color w:val="404040" w:themeColor="text1" w:themeTint="BF"/>
    </w:rPr>
  </w:style>
  <w:style w:type="paragraph" w:styleId="a9">
    <w:name w:val="List Paragraph"/>
    <w:basedOn w:val="a"/>
    <w:uiPriority w:val="34"/>
    <w:qFormat/>
    <w:rsid w:val="00742BCB"/>
    <w:pPr>
      <w:ind w:left="720"/>
      <w:contextualSpacing/>
    </w:pPr>
  </w:style>
  <w:style w:type="character" w:styleId="aa">
    <w:name w:val="Intense Emphasis"/>
    <w:basedOn w:val="a0"/>
    <w:uiPriority w:val="21"/>
    <w:qFormat/>
    <w:rsid w:val="00742BCB"/>
    <w:rPr>
      <w:i/>
      <w:iCs/>
      <w:color w:val="0F4761" w:themeColor="accent1" w:themeShade="BF"/>
    </w:rPr>
  </w:style>
  <w:style w:type="paragraph" w:styleId="ab">
    <w:name w:val="Intense Quote"/>
    <w:basedOn w:val="a"/>
    <w:next w:val="a"/>
    <w:link w:val="ac"/>
    <w:uiPriority w:val="30"/>
    <w:qFormat/>
    <w:rsid w:val="00742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2BCB"/>
    <w:rPr>
      <w:i/>
      <w:iCs/>
      <w:color w:val="0F4761" w:themeColor="accent1" w:themeShade="BF"/>
    </w:rPr>
  </w:style>
  <w:style w:type="character" w:styleId="ad">
    <w:name w:val="Intense Reference"/>
    <w:basedOn w:val="a0"/>
    <w:uiPriority w:val="32"/>
    <w:qFormat/>
    <w:rsid w:val="00742BCB"/>
    <w:rPr>
      <w:b/>
      <w:bCs/>
      <w:smallCaps/>
      <w:color w:val="0F4761" w:themeColor="accent1" w:themeShade="BF"/>
      <w:spacing w:val="5"/>
    </w:rPr>
  </w:style>
  <w:style w:type="paragraph" w:styleId="ae">
    <w:name w:val="Normal (Web)"/>
    <w:basedOn w:val="a"/>
    <w:uiPriority w:val="99"/>
    <w:semiHidden/>
    <w:unhideWhenUsed/>
    <w:rsid w:val="00742BC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742B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Zhang</dc:creator>
  <cp:keywords/>
  <dc:description/>
  <cp:lastModifiedBy>Alice Zhang</cp:lastModifiedBy>
  <cp:revision>1</cp:revision>
  <dcterms:created xsi:type="dcterms:W3CDTF">2025-12-07T16:09:00Z</dcterms:created>
  <dcterms:modified xsi:type="dcterms:W3CDTF">2025-12-07T16:11:00Z</dcterms:modified>
</cp:coreProperties>
</file>