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2C" w:rsidRDefault="004E542C" w:rsidP="004E542C">
      <w:pPr>
        <w:pStyle w:val="a4"/>
      </w:pPr>
      <w:r>
        <w:t>ISA542300</w:t>
      </w:r>
      <w:r>
        <w:rPr>
          <w:rFonts w:hint="eastAsia"/>
        </w:rPr>
        <w:t xml:space="preserve"> Software </w:t>
      </w:r>
      <w:r>
        <w:t>Quality Assurance</w:t>
      </w:r>
    </w:p>
    <w:p w:rsidR="004E542C" w:rsidRDefault="004E542C" w:rsidP="004E542C">
      <w:pPr>
        <w:pStyle w:val="a6"/>
        <w:rPr>
          <w:sz w:val="28"/>
        </w:rPr>
      </w:pPr>
      <w:r>
        <w:rPr>
          <w:rFonts w:hint="eastAsia"/>
          <w:sz w:val="28"/>
        </w:rPr>
        <w:t xml:space="preserve">Homework </w:t>
      </w:r>
      <w:r>
        <w:rPr>
          <w:sz w:val="28"/>
        </w:rPr>
        <w:t>3</w:t>
      </w:r>
      <w:r>
        <w:rPr>
          <w:rFonts w:hint="eastAsia"/>
          <w:sz w:val="28"/>
        </w:rPr>
        <w:t xml:space="preserve">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Group Exercises</w:t>
      </w:r>
      <w:r w:rsidR="00035E4B">
        <w:rPr>
          <w:sz w:val="28"/>
        </w:rPr>
        <w:t xml:space="preserve">  </w:t>
      </w:r>
      <w:r w:rsidR="00035E4B" w:rsidRPr="00035E4B">
        <w:rPr>
          <w:b/>
          <w:color w:val="FF0000"/>
          <w:sz w:val="28"/>
        </w:rPr>
        <w:t>Deadline</w:t>
      </w:r>
      <w:r w:rsidR="00035E4B">
        <w:rPr>
          <w:b/>
          <w:color w:val="FF0000"/>
          <w:sz w:val="28"/>
        </w:rPr>
        <w:t xml:space="preserve"> : 6/8</w:t>
      </w:r>
    </w:p>
    <w:p w:rsidR="004E542C" w:rsidRPr="004E542C" w:rsidRDefault="004E542C" w:rsidP="00FD00F5">
      <w:pPr>
        <w:rPr>
          <w:sz w:val="23"/>
          <w:szCs w:val="23"/>
        </w:rPr>
      </w:pPr>
    </w:p>
    <w:p w:rsidR="007310B6" w:rsidRDefault="003030D3" w:rsidP="00FD00F5">
      <w:pPr>
        <w:rPr>
          <w:sz w:val="23"/>
          <w:szCs w:val="23"/>
        </w:rPr>
      </w:pPr>
      <w:r>
        <w:rPr>
          <w:sz w:val="23"/>
          <w:szCs w:val="23"/>
        </w:rPr>
        <w:t>In this exercise, you are going to develop a small program and go through the process of software testing. The subject program could be designed in any language, for any platform. Refer to Appendix for the basic requirements.</w:t>
      </w:r>
    </w:p>
    <w:p w:rsidR="00171A2B" w:rsidRDefault="00171A2B" w:rsidP="00FD00F5">
      <w:pPr>
        <w:rPr>
          <w:sz w:val="23"/>
          <w:szCs w:val="23"/>
        </w:rPr>
      </w:pPr>
    </w:p>
    <w:p w:rsidR="00FD00F5" w:rsidRPr="004E542C" w:rsidRDefault="00FD00F5" w:rsidP="00FD00F5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>
        <w:rPr>
          <w:rFonts w:hint="eastAsia"/>
        </w:rPr>
        <w:t xml:space="preserve">What are the </w:t>
      </w:r>
      <w:r w:rsidRPr="00171A2B">
        <w:rPr>
          <w:rFonts w:hint="eastAsia"/>
          <w:u w:val="single"/>
        </w:rPr>
        <w:t>control flow graph</w:t>
      </w:r>
      <w:r>
        <w:rPr>
          <w:rFonts w:hint="eastAsia"/>
        </w:rPr>
        <w:t xml:space="preserve"> and the </w:t>
      </w:r>
      <w:r w:rsidRPr="00171A2B">
        <w:rPr>
          <w:rFonts w:hint="eastAsia"/>
          <w:u w:val="single"/>
        </w:rPr>
        <w:t>cyclomatic complexity</w:t>
      </w:r>
      <w:r>
        <w:rPr>
          <w:rFonts w:hint="eastAsia"/>
        </w:rPr>
        <w:t xml:space="preserve"> of the subject program? </w:t>
      </w:r>
      <w:r>
        <w:t>Briefly explain the calculation process and feel free to use a development / testing tool.</w:t>
      </w:r>
      <w:r w:rsidR="004E542C">
        <w:t xml:space="preserve"> </w:t>
      </w:r>
      <w:r w:rsidR="004E542C" w:rsidRPr="004E542C">
        <w:rPr>
          <w:b/>
          <w:color w:val="FF0000"/>
        </w:rPr>
        <w:t>(20%)</w:t>
      </w:r>
      <w:bookmarkStart w:id="0" w:name="_GoBack"/>
      <w:bookmarkEnd w:id="0"/>
    </w:p>
    <w:p w:rsidR="00FD00F5" w:rsidRDefault="00FD00F5" w:rsidP="00FD00F5">
      <w:pPr>
        <w:pStyle w:val="a3"/>
        <w:numPr>
          <w:ilvl w:val="0"/>
          <w:numId w:val="1"/>
        </w:numPr>
        <w:ind w:leftChars="0"/>
      </w:pPr>
      <w:r>
        <w:t>Develop the following test specifications:</w:t>
      </w:r>
      <w:r w:rsidR="004E542C">
        <w:t xml:space="preserve"> </w:t>
      </w:r>
      <w:r w:rsidR="004E542C" w:rsidRPr="004E542C">
        <w:rPr>
          <w:b/>
          <w:color w:val="FF0000"/>
        </w:rPr>
        <w:t>(50%)</w:t>
      </w:r>
    </w:p>
    <w:p w:rsidR="00171A2B" w:rsidRDefault="00171A2B" w:rsidP="00171A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 plan,</w:t>
      </w:r>
    </w:p>
    <w:p w:rsidR="00171A2B" w:rsidRDefault="00171A2B" w:rsidP="00171A2B">
      <w:pPr>
        <w:pStyle w:val="a3"/>
        <w:numPr>
          <w:ilvl w:val="1"/>
          <w:numId w:val="1"/>
        </w:numPr>
        <w:ind w:leftChars="0"/>
      </w:pPr>
      <w:r>
        <w:t>Test procedure specification,</w:t>
      </w:r>
    </w:p>
    <w:p w:rsidR="00171A2B" w:rsidRDefault="00171A2B" w:rsidP="00171A2B">
      <w:pPr>
        <w:pStyle w:val="a3"/>
        <w:numPr>
          <w:ilvl w:val="1"/>
          <w:numId w:val="1"/>
        </w:numPr>
        <w:ind w:leftChars="0"/>
      </w:pPr>
      <w:r>
        <w:t>Test cases specification,</w:t>
      </w:r>
    </w:p>
    <w:p w:rsidR="00171A2B" w:rsidRDefault="00171A2B" w:rsidP="00171A2B">
      <w:pPr>
        <w:pStyle w:val="a3"/>
        <w:numPr>
          <w:ilvl w:val="1"/>
          <w:numId w:val="1"/>
        </w:numPr>
        <w:ind w:leftChars="0"/>
      </w:pPr>
      <w:r>
        <w:t xml:space="preserve">Test log, and </w:t>
      </w:r>
    </w:p>
    <w:p w:rsidR="00171A2B" w:rsidRDefault="00171A2B" w:rsidP="00171A2B">
      <w:pPr>
        <w:pStyle w:val="a3"/>
        <w:numPr>
          <w:ilvl w:val="1"/>
          <w:numId w:val="1"/>
        </w:numPr>
        <w:ind w:leftChars="0"/>
      </w:pPr>
      <w:r>
        <w:t>Test summary report (including the statement and branch coverage values).</w:t>
      </w:r>
    </w:p>
    <w:p w:rsidR="00171A2B" w:rsidRDefault="00171A2B" w:rsidP="00171A2B">
      <w:pPr>
        <w:pStyle w:val="a3"/>
        <w:ind w:leftChars="0"/>
      </w:pPr>
    </w:p>
    <w:p w:rsidR="00171A2B" w:rsidRDefault="00171A2B" w:rsidP="00171A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may refer to the following documents for the descriptions of these testing documents: </w:t>
      </w:r>
    </w:p>
    <w:p w:rsidR="00171A2B" w:rsidRDefault="00171A2B" w:rsidP="00171A2B">
      <w:pPr>
        <w:pStyle w:val="Default"/>
        <w:spacing w:after="1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IEEE Standard for Software Test Documentation, and </w:t>
      </w:r>
    </w:p>
    <w:p w:rsidR="00171A2B" w:rsidRDefault="00171A2B" w:rsidP="00171A2B">
      <w:pPr>
        <w:pStyle w:val="Default"/>
        <w:rPr>
          <w:rFonts w:eastAsia="新細明體T...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新細明體T..." w:eastAsia="新細明體T..." w:hAnsi="Wingdings" w:cs="新細明體T..." w:hint="eastAsia"/>
          <w:sz w:val="23"/>
          <w:szCs w:val="23"/>
        </w:rPr>
        <w:t>經濟部工業局軟體整合與測試作業規範</w:t>
      </w:r>
      <w:r>
        <w:rPr>
          <w:rFonts w:eastAsia="新細明體T..."/>
          <w:sz w:val="23"/>
          <w:szCs w:val="23"/>
        </w:rPr>
        <w:t xml:space="preserve">. </w:t>
      </w:r>
    </w:p>
    <w:p w:rsidR="00176B5F" w:rsidRPr="00176B5F" w:rsidRDefault="00176B5F" w:rsidP="00171A2B">
      <w:pPr>
        <w:pStyle w:val="Default"/>
        <w:rPr>
          <w:rFonts w:asciiTheme="minorHAnsi" w:eastAsia="新細明體T..." w:hAnsiTheme="minorHAnsi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Theme="minorHAnsi" w:hAnsiTheme="minorHAnsi" w:cs="Wingdings"/>
          <w:sz w:val="23"/>
          <w:szCs w:val="23"/>
        </w:rPr>
        <w:t>IEEE Test Case Specification Template</w:t>
      </w:r>
    </w:p>
    <w:p w:rsidR="00171A2B" w:rsidRDefault="00171A2B" w:rsidP="00171A2B">
      <w:pPr>
        <w:pStyle w:val="Default"/>
      </w:pPr>
    </w:p>
    <w:p w:rsidR="00171A2B" w:rsidRDefault="00171A2B" w:rsidP="00171A2B">
      <w:pPr>
        <w:pStyle w:val="Default"/>
      </w:pPr>
      <w:r>
        <w:t xml:space="preserve">Note that both black box testing (including boundary value </w:t>
      </w:r>
      <w:r w:rsidR="00176B5F">
        <w:t>testing</w:t>
      </w:r>
      <w:r>
        <w:t>, equivalence testing, and decision table) and white box testing techniques should be incorporated and explained in the testing procedure, and test cases should reach nearly 100% branch coverages.</w:t>
      </w:r>
      <w:r w:rsidRPr="00171A2B">
        <w:t xml:space="preserve"> </w:t>
      </w:r>
      <w:r w:rsidRPr="00171A2B">
        <w:rPr>
          <w:sz w:val="23"/>
          <w:szCs w:val="23"/>
        </w:rPr>
        <w:t>You may also tailor the documents fields or formats according to your practical testing activities.</w:t>
      </w:r>
    </w:p>
    <w:p w:rsidR="00171A2B" w:rsidRDefault="00171A2B" w:rsidP="00171A2B"/>
    <w:p w:rsidR="00171A2B" w:rsidRDefault="008E519F" w:rsidP="00171A2B">
      <w:pPr>
        <w:pStyle w:val="a3"/>
        <w:numPr>
          <w:ilvl w:val="0"/>
          <w:numId w:val="1"/>
        </w:numPr>
        <w:ind w:leftChars="0"/>
      </w:pPr>
      <w:r>
        <w:t>Upload</w:t>
      </w:r>
      <w:r w:rsidR="00171A2B">
        <w:rPr>
          <w:rFonts w:hint="eastAsia"/>
        </w:rPr>
        <w:t xml:space="preserve"> the subject program (including the source codes and the </w:t>
      </w:r>
      <w:r w:rsidR="00171A2B">
        <w:t>binaries)</w:t>
      </w:r>
      <w:r>
        <w:t xml:space="preserve"> and the documents</w:t>
      </w:r>
      <w:r w:rsidR="00171A2B">
        <w:t>.</w:t>
      </w:r>
      <w:r w:rsidR="004E542C" w:rsidRPr="004E542C">
        <w:rPr>
          <w:b/>
          <w:color w:val="FF0000"/>
        </w:rPr>
        <w:t>(30%)</w:t>
      </w:r>
    </w:p>
    <w:p w:rsidR="00FD00F5" w:rsidRDefault="00FD00F5"/>
    <w:p w:rsidR="004E542C" w:rsidRDefault="004E542C"/>
    <w:p w:rsidR="004E542C" w:rsidRDefault="004E542C"/>
    <w:p w:rsidR="00B4746B" w:rsidRDefault="00B4746B" w:rsidP="004E542C">
      <w:pPr>
        <w:jc w:val="center"/>
        <w:rPr>
          <w:u w:val="single"/>
        </w:rPr>
      </w:pPr>
    </w:p>
    <w:p w:rsidR="00B4746B" w:rsidRDefault="00B4746B" w:rsidP="004E542C">
      <w:pPr>
        <w:jc w:val="center"/>
        <w:rPr>
          <w:u w:val="single"/>
        </w:rPr>
      </w:pPr>
    </w:p>
    <w:p w:rsidR="004E542C" w:rsidRDefault="004E542C">
      <w:pPr>
        <w:widowControl/>
      </w:pPr>
    </w:p>
    <w:p w:rsidR="00171A2B" w:rsidRDefault="004E542C">
      <w:pPr>
        <w:rPr>
          <w:b/>
          <w:bCs/>
          <w:sz w:val="32"/>
          <w:szCs w:val="32"/>
          <w:u w:val="single"/>
        </w:rPr>
      </w:pPr>
      <w:r w:rsidRPr="004E542C">
        <w:rPr>
          <w:b/>
          <w:bCs/>
          <w:sz w:val="32"/>
          <w:szCs w:val="32"/>
          <w:u w:val="single"/>
        </w:rPr>
        <w:t>Appendix: Baseline Requirements for the Subject Program</w:t>
      </w:r>
    </w:p>
    <w:p w:rsidR="004E542C" w:rsidRPr="004E542C" w:rsidRDefault="004E542C" w:rsidP="00B11D4B">
      <w:pPr>
        <w:pStyle w:val="ecxmsolistparagraph"/>
        <w:shd w:val="clear" w:color="auto" w:fill="FFFFFF"/>
        <w:spacing w:before="0" w:beforeAutospacing="0" w:after="324" w:afterAutospacing="0" w:line="341" w:lineRule="atLeast"/>
        <w:jc w:val="both"/>
        <w:rPr>
          <w:rFonts w:ascii="Calibri" w:hAnsi="Calibri"/>
          <w:color w:val="444444"/>
        </w:rPr>
      </w:pPr>
      <w:r>
        <w:rPr>
          <w:rFonts w:ascii="Arial" w:hAnsi="Arial" w:cs="Arial"/>
          <w:color w:val="000000"/>
        </w:rPr>
        <w:t>There are five inputs,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b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c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depicted in Figure 1. The length of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bounded by 1 to 200.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an included angle by two diagonal lines. The range of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bounded by (0</w:t>
      </w:r>
      <w:r>
        <w:rPr>
          <w:rFonts w:cs="Arial" w:hint="eastAsia"/>
          <w:b/>
          <w:bCs/>
          <w:color w:val="000000"/>
        </w:rPr>
        <w:t>∘</w:t>
      </w:r>
      <w:r>
        <w:rPr>
          <w:rFonts w:ascii="Arial" w:hAnsi="Arial" w:cs="Arial"/>
          <w:color w:val="000000"/>
        </w:rPr>
        <w:t>, 90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cs="Arial" w:hint="eastAsia"/>
          <w:b/>
          <w:bCs/>
          <w:color w:val="000000"/>
        </w:rPr>
        <w:t>∘</w:t>
      </w:r>
      <w:r>
        <w:rPr>
          <w:rFonts w:ascii="Arial" w:hAnsi="Arial" w:cs="Arial"/>
          <w:color w:val="000000"/>
        </w:rPr>
        <w:t>]. The output can show which shapes will be created. Please show the highest priority shape, and the priority order from high to low is &lt;square, rhombus, rectangle, harrier-shaped, parallelogram, trapezium, quadrilateral&gt;. </w:t>
      </w:r>
    </w:p>
    <w:p w:rsidR="004E542C" w:rsidRDefault="004E542C" w:rsidP="004E542C">
      <w:pPr>
        <w:rPr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</w:rPr>
        <w:t>String shape (int a, int b, int c, int d, int p);</w:t>
      </w:r>
    </w:p>
    <w:p w:rsidR="004E542C" w:rsidRDefault="004E542C" w:rsidP="004E542C">
      <w:pPr>
        <w:pStyle w:val="ecxmsolistparagraph"/>
        <w:shd w:val="clear" w:color="auto" w:fill="FFFFFF"/>
        <w:spacing w:before="0" w:beforeAutospacing="0" w:after="324" w:afterAutospacing="0" w:line="341" w:lineRule="atLeast"/>
        <w:jc w:val="center"/>
        <w:rPr>
          <w:rFonts w:ascii="Calibri" w:hAnsi="Calibri"/>
          <w:color w:val="444444"/>
        </w:rPr>
      </w:pPr>
      <w:r>
        <w:rPr>
          <w:rFonts w:ascii="Calibri" w:hAnsi="Calibri" w:hint="eastAsia"/>
          <w:noProof/>
          <w:color w:val="444444"/>
        </w:rPr>
        <w:drawing>
          <wp:inline distT="0" distB="0" distL="0" distR="0">
            <wp:extent cx="2422869" cy="2067592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69" cy="20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6B" w:rsidRDefault="00B4746B" w:rsidP="004E542C">
      <w:pPr>
        <w:pStyle w:val="ecxmsolistparagraph"/>
        <w:shd w:val="clear" w:color="auto" w:fill="FFFFFF"/>
        <w:spacing w:before="0" w:beforeAutospacing="0" w:after="324" w:afterAutospacing="0" w:line="341" w:lineRule="atLeast"/>
        <w:jc w:val="center"/>
        <w:rPr>
          <w:rFonts w:ascii="Calibri" w:hAnsi="Calibri"/>
          <w:color w:val="444444"/>
        </w:rPr>
      </w:pPr>
    </w:p>
    <w:p w:rsidR="00B4746B" w:rsidRDefault="00B4746B" w:rsidP="004E542C">
      <w:pPr>
        <w:pStyle w:val="ecxmsolistparagraph"/>
        <w:shd w:val="clear" w:color="auto" w:fill="FFFFFF"/>
        <w:spacing w:before="0" w:beforeAutospacing="0" w:after="324" w:afterAutospacing="0" w:line="341" w:lineRule="atLeast"/>
        <w:jc w:val="center"/>
        <w:rPr>
          <w:rFonts w:ascii="Calibri" w:hAnsi="Calibri"/>
          <w:color w:val="444444"/>
        </w:rPr>
      </w:pPr>
    </w:p>
    <w:p w:rsidR="00B4746B" w:rsidRDefault="00B4746B" w:rsidP="004E542C">
      <w:pPr>
        <w:pStyle w:val="ecxmsolistparagraph"/>
        <w:shd w:val="clear" w:color="auto" w:fill="FFFFFF"/>
        <w:spacing w:before="0" w:beforeAutospacing="0" w:after="324" w:afterAutospacing="0" w:line="341" w:lineRule="atLeast"/>
        <w:jc w:val="center"/>
        <w:rPr>
          <w:rFonts w:ascii="Calibri" w:hAnsi="Calibri"/>
          <w:color w:val="444444"/>
        </w:rPr>
      </w:pPr>
    </w:p>
    <w:p w:rsidR="00B4746B" w:rsidRPr="00B4746B" w:rsidRDefault="00B4746B" w:rsidP="00B4746B">
      <w:pPr>
        <w:jc w:val="center"/>
        <w:rPr>
          <w:rFonts w:ascii="Comic Sans MS" w:hAnsi="Comic Sans MS"/>
          <w:b/>
          <w:u w:val="single"/>
        </w:rPr>
      </w:pPr>
      <w:r w:rsidRPr="00B4746B">
        <w:rPr>
          <w:rFonts w:ascii="Comic Sans MS" w:hAnsi="Comic Sans MS"/>
          <w:b/>
          <w:u w:val="single"/>
        </w:rPr>
        <w:t>Notice</w:t>
      </w:r>
    </w:p>
    <w:p w:rsidR="00B4746B" w:rsidRPr="00B4746B" w:rsidRDefault="00B4746B" w:rsidP="00B4746B">
      <w:pPr>
        <w:pStyle w:val="Default"/>
        <w:jc w:val="center"/>
        <w:rPr>
          <w:rFonts w:ascii="Comic Sans MS" w:hAnsi="Comic Sans MS"/>
          <w:b/>
        </w:rPr>
      </w:pPr>
    </w:p>
    <w:p w:rsidR="00B4746B" w:rsidRPr="00B4746B" w:rsidRDefault="00B4746B" w:rsidP="00B4746B">
      <w:pPr>
        <w:pStyle w:val="Default"/>
        <w:jc w:val="center"/>
        <w:rPr>
          <w:rFonts w:ascii="Comic Sans MS" w:hAnsi="Comic Sans MS"/>
          <w:b/>
          <w:sz w:val="23"/>
          <w:szCs w:val="23"/>
        </w:rPr>
      </w:pPr>
      <w:r w:rsidRPr="00B4746B">
        <w:rPr>
          <w:rFonts w:ascii="Comic Sans MS" w:hAnsi="Comic Sans MS"/>
          <w:b/>
          <w:sz w:val="23"/>
          <w:szCs w:val="23"/>
        </w:rPr>
        <w:t>Grading will depend on the following factors:</w:t>
      </w:r>
    </w:p>
    <w:p w:rsidR="00B4746B" w:rsidRPr="00B4746B" w:rsidRDefault="00B4746B" w:rsidP="00B4746B">
      <w:pPr>
        <w:pStyle w:val="Default"/>
        <w:numPr>
          <w:ilvl w:val="0"/>
          <w:numId w:val="4"/>
        </w:numPr>
        <w:spacing w:after="24"/>
        <w:ind w:left="0"/>
        <w:jc w:val="center"/>
        <w:rPr>
          <w:rFonts w:ascii="Comic Sans MS" w:hAnsi="Comic Sans MS"/>
          <w:b/>
          <w:sz w:val="23"/>
          <w:szCs w:val="23"/>
        </w:rPr>
      </w:pPr>
      <w:r w:rsidRPr="00B4746B">
        <w:rPr>
          <w:rFonts w:ascii="Comic Sans MS" w:hAnsi="Comic Sans MS"/>
          <w:b/>
          <w:sz w:val="23"/>
          <w:szCs w:val="23"/>
        </w:rPr>
        <w:t>Completeness of the documents,</w:t>
      </w:r>
    </w:p>
    <w:p w:rsidR="00B4746B" w:rsidRPr="00B4746B" w:rsidRDefault="00B4746B" w:rsidP="00B4746B">
      <w:pPr>
        <w:pStyle w:val="Default"/>
        <w:numPr>
          <w:ilvl w:val="0"/>
          <w:numId w:val="4"/>
        </w:numPr>
        <w:spacing w:after="24"/>
        <w:ind w:left="-142"/>
        <w:jc w:val="center"/>
        <w:rPr>
          <w:rFonts w:ascii="Comic Sans MS" w:hAnsi="Comic Sans MS"/>
          <w:b/>
          <w:sz w:val="23"/>
          <w:szCs w:val="23"/>
        </w:rPr>
      </w:pPr>
      <w:r w:rsidRPr="00B4746B">
        <w:rPr>
          <w:rFonts w:ascii="Comic Sans MS" w:hAnsi="Comic Sans MS"/>
          <w:b/>
          <w:sz w:val="23"/>
          <w:szCs w:val="23"/>
        </w:rPr>
        <w:t>Readability of the documents,</w:t>
      </w:r>
    </w:p>
    <w:p w:rsidR="00B4746B" w:rsidRPr="00B4746B" w:rsidRDefault="00B4746B" w:rsidP="00B4746B">
      <w:pPr>
        <w:pStyle w:val="Default"/>
        <w:numPr>
          <w:ilvl w:val="0"/>
          <w:numId w:val="4"/>
        </w:numPr>
        <w:spacing w:after="24"/>
        <w:ind w:left="2410"/>
        <w:rPr>
          <w:rFonts w:ascii="Comic Sans MS" w:hAnsi="Comic Sans MS"/>
          <w:b/>
          <w:sz w:val="23"/>
          <w:szCs w:val="23"/>
        </w:rPr>
      </w:pPr>
      <w:r w:rsidRPr="00B4746B">
        <w:rPr>
          <w:rFonts w:ascii="Comic Sans MS" w:hAnsi="Comic Sans MS"/>
          <w:b/>
          <w:sz w:val="23"/>
          <w:szCs w:val="23"/>
        </w:rPr>
        <w:t>Design of the test cases, and</w:t>
      </w:r>
    </w:p>
    <w:p w:rsidR="00B4746B" w:rsidRPr="00B4746B" w:rsidRDefault="00B4746B" w:rsidP="00B4746B">
      <w:pPr>
        <w:pStyle w:val="Default"/>
        <w:numPr>
          <w:ilvl w:val="0"/>
          <w:numId w:val="4"/>
        </w:numPr>
        <w:spacing w:after="24"/>
        <w:ind w:left="-284"/>
        <w:jc w:val="center"/>
        <w:rPr>
          <w:rFonts w:ascii="Comic Sans MS" w:hAnsi="Comic Sans MS"/>
          <w:b/>
          <w:sz w:val="23"/>
          <w:szCs w:val="23"/>
        </w:rPr>
      </w:pPr>
      <w:r w:rsidRPr="00B4746B">
        <w:rPr>
          <w:rFonts w:ascii="Comic Sans MS" w:hAnsi="Comic Sans MS"/>
          <w:b/>
          <w:sz w:val="23"/>
          <w:szCs w:val="23"/>
        </w:rPr>
        <w:t>Coverage of the test cases.</w:t>
      </w:r>
    </w:p>
    <w:p w:rsidR="00B4746B" w:rsidRPr="00B4746B" w:rsidRDefault="00B4746B" w:rsidP="00B4746B">
      <w:pPr>
        <w:jc w:val="center"/>
        <w:rPr>
          <w:rFonts w:ascii="Comic Sans MS" w:hAnsi="Comic Sans MS"/>
          <w:b/>
          <w:color w:val="00B050"/>
        </w:rPr>
      </w:pPr>
      <w:r w:rsidRPr="00B4746B">
        <w:rPr>
          <w:rFonts w:ascii="Comic Sans MS" w:hAnsi="Comic Sans MS"/>
          <w:b/>
          <w:color w:val="00B050"/>
        </w:rPr>
        <w:t xml:space="preserve">If you have any questions, please feel free to contact TA </w:t>
      </w:r>
      <w:r w:rsidRPr="00B4746B">
        <w:rPr>
          <w:rFonts w:ascii="Comic Sans MS" w:hAnsi="Comic Sans MS"/>
          <w:b/>
        </w:rPr>
        <w:sym w:font="Wingdings" w:char="F04A"/>
      </w:r>
    </w:p>
    <w:p w:rsidR="00B4746B" w:rsidRPr="00B4746B" w:rsidRDefault="00B4746B" w:rsidP="004E542C">
      <w:pPr>
        <w:pStyle w:val="ecxmsolistparagraph"/>
        <w:shd w:val="clear" w:color="auto" w:fill="FFFFFF"/>
        <w:spacing w:before="0" w:beforeAutospacing="0" w:after="324" w:afterAutospacing="0" w:line="341" w:lineRule="atLeast"/>
        <w:jc w:val="center"/>
        <w:rPr>
          <w:rFonts w:ascii="Calibri" w:hAnsi="Calibri"/>
          <w:color w:val="444444"/>
        </w:rPr>
      </w:pPr>
    </w:p>
    <w:sectPr w:rsidR="00B4746B" w:rsidRPr="00B474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E3D" w:rsidRDefault="00843E3D" w:rsidP="00176B5F">
      <w:r>
        <w:separator/>
      </w:r>
    </w:p>
  </w:endnote>
  <w:endnote w:type="continuationSeparator" w:id="0">
    <w:p w:rsidR="00843E3D" w:rsidRDefault="00843E3D" w:rsidP="0017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T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E3D" w:rsidRDefault="00843E3D" w:rsidP="00176B5F">
      <w:r>
        <w:separator/>
      </w:r>
    </w:p>
  </w:footnote>
  <w:footnote w:type="continuationSeparator" w:id="0">
    <w:p w:rsidR="00843E3D" w:rsidRDefault="00843E3D" w:rsidP="00176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517F"/>
    <w:multiLevelType w:val="hybridMultilevel"/>
    <w:tmpl w:val="C1F6B72E"/>
    <w:lvl w:ilvl="0" w:tplc="F91433E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4E2076AC">
      <w:start w:val="1"/>
      <w:numFmt w:val="lowerLetter"/>
      <w:lvlText w:val="(%2)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3F0461"/>
    <w:multiLevelType w:val="hybridMultilevel"/>
    <w:tmpl w:val="6978AD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BF1FEE"/>
    <w:multiLevelType w:val="hybridMultilevel"/>
    <w:tmpl w:val="7B12D1BC"/>
    <w:lvl w:ilvl="0" w:tplc="0409000B">
      <w:start w:val="1"/>
      <w:numFmt w:val="bullet"/>
      <w:lvlText w:val=""/>
      <w:lvlJc w:val="left"/>
      <w:pPr>
        <w:ind w:left="321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51" w:hanging="480"/>
      </w:pPr>
      <w:rPr>
        <w:rFonts w:ascii="Wingdings" w:hAnsi="Wingdings" w:hint="default"/>
      </w:rPr>
    </w:lvl>
  </w:abstractNum>
  <w:abstractNum w:abstractNumId="3">
    <w:nsid w:val="79A926DB"/>
    <w:multiLevelType w:val="hybridMultilevel"/>
    <w:tmpl w:val="1DF8100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D3"/>
    <w:rsid w:val="00035E4B"/>
    <w:rsid w:val="00171A2B"/>
    <w:rsid w:val="00176B5F"/>
    <w:rsid w:val="001C1795"/>
    <w:rsid w:val="003030D3"/>
    <w:rsid w:val="004E542C"/>
    <w:rsid w:val="006A40CA"/>
    <w:rsid w:val="00843E3D"/>
    <w:rsid w:val="008B51FB"/>
    <w:rsid w:val="008E519F"/>
    <w:rsid w:val="009B1F85"/>
    <w:rsid w:val="00A4168D"/>
    <w:rsid w:val="00B11D4B"/>
    <w:rsid w:val="00B4746B"/>
    <w:rsid w:val="00DF54E1"/>
    <w:rsid w:val="00FD00F5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31C25-8BA7-42C9-9A75-7D917FD0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30D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D00F5"/>
    <w:pPr>
      <w:ind w:leftChars="200" w:left="480"/>
    </w:pPr>
  </w:style>
  <w:style w:type="paragraph" w:customStyle="1" w:styleId="ecxmsolistparagraph">
    <w:name w:val="ecxmsolistparagraph"/>
    <w:basedOn w:val="a"/>
    <w:rsid w:val="004E54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E542C"/>
  </w:style>
  <w:style w:type="paragraph" w:styleId="a4">
    <w:name w:val="Title"/>
    <w:basedOn w:val="a"/>
    <w:next w:val="a"/>
    <w:link w:val="a5"/>
    <w:uiPriority w:val="10"/>
    <w:qFormat/>
    <w:rsid w:val="004E542C"/>
    <w:pPr>
      <w:widowControl/>
      <w:spacing w:before="240" w:after="60"/>
      <w:jc w:val="center"/>
      <w:outlineLvl w:val="0"/>
    </w:pPr>
    <w:rPr>
      <w:rFonts w:ascii="Cambria" w:eastAsia="新細明體" w:hAnsi="Cambria" w:cs="Times New Roman"/>
      <w:b/>
      <w:bCs/>
      <w:kern w:val="28"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4E542C"/>
    <w:rPr>
      <w:rFonts w:ascii="Cambria" w:eastAsia="新細明體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E542C"/>
    <w:pPr>
      <w:widowControl/>
      <w:spacing w:after="60"/>
      <w:jc w:val="center"/>
      <w:outlineLvl w:val="1"/>
    </w:pPr>
    <w:rPr>
      <w:rFonts w:ascii="Cambria" w:eastAsia="新細明體" w:hAnsi="Cambria" w:cs="Times New Roman"/>
      <w:kern w:val="0"/>
      <w:szCs w:val="24"/>
    </w:rPr>
  </w:style>
  <w:style w:type="character" w:customStyle="1" w:styleId="a7">
    <w:name w:val="副標題 字元"/>
    <w:basedOn w:val="a0"/>
    <w:link w:val="a6"/>
    <w:uiPriority w:val="11"/>
    <w:rsid w:val="004E542C"/>
    <w:rPr>
      <w:rFonts w:ascii="Cambria" w:eastAsia="新細明體" w:hAnsi="Cambria" w:cs="Times New Roman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176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76B5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76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76B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SElab</dc:creator>
  <cp:keywords/>
  <dc:description/>
  <cp:lastModifiedBy>selab</cp:lastModifiedBy>
  <cp:revision>5</cp:revision>
  <dcterms:created xsi:type="dcterms:W3CDTF">2016-05-16T07:19:00Z</dcterms:created>
  <dcterms:modified xsi:type="dcterms:W3CDTF">2016-05-17T01:30:00Z</dcterms:modified>
</cp:coreProperties>
</file>