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bookmarkStart w:id="0" w:name="docs-internal-guid-d7ece864-7fff-dc70-7b"/>
      <w:bookmarkEnd w:id="0"/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Supplementary Figure S1: A.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Percentage of DMS (outer circle) and non DMS (inner circle) found in intergenic regions, introns, exons and promoters 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B.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Distribution of DMS on chromosomes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inline distT="0" distB="0" distL="0" distR="0">
            <wp:extent cx="6120130" cy="458978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8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bookmarkStart w:id="1" w:name="docs-internal-guid-e35d183d-7fff-0fd3-e5"/>
      <w:bookmarkEnd w:id="1"/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Supplementary Figure S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2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: GO enrichment analysis for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the genes containing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DMS belonging to categories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infection-induced and intergenerational</w:t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both"/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126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w:r>
        <w:br w:type="page"/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bookmarkStart w:id="2" w:name="docs-internal-guid-4e108175-7fff-154f-c7"/>
      <w:bookmarkEnd w:id="2"/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Supplementary Figure S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3</w:t>
      </w:r>
      <w:r>
        <w:rPr>
          <w:rFonts w:ascii="Liberation Serif" w:hAnsi="Liberation Serif"/>
          <w:b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: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>Disease tolerance, measured as the slope of the regression between body condition index and parasite count, is higher in offspring from infected fathers compared to offspring from control father.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inline distT="0" distB="0" distL="0" distR="0">
            <wp:extent cx="6120130" cy="437134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  <w:r>
        <w:br w:type="page"/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bookmarkStart w:id="3" w:name="docs-internal-guid-4e108175-7fff-154f-c7"/>
      <w:bookmarkEnd w:id="3"/>
      <w:r>
        <w:rPr>
          <w:rFonts w:ascii="Liberation Serif" w:hAnsi="Liberation 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4"/>
          <w:szCs w:val="24"/>
          <w:u w:val="none"/>
          <w:effect w:val="none"/>
          <w:shd w:fill="auto" w:val="clear"/>
        </w:rPr>
        <w:t xml:space="preserve">Supplementary </w:t>
      </w:r>
      <w:r>
        <w:rPr>
          <w:rFonts w:ascii="Liberation Serif" w:hAnsi="Liberation Serif"/>
          <w:b/>
          <w:bCs/>
          <w:sz w:val="24"/>
          <w:szCs w:val="24"/>
        </w:rPr>
        <w:t xml:space="preserve">Figure 4. </w:t>
      </w:r>
      <w:r>
        <w:rPr>
          <w:rFonts w:ascii="Liberation Serif" w:hAnsi="Liberation Serif"/>
          <w:sz w:val="24"/>
          <w:szCs w:val="24"/>
        </w:rPr>
        <w:t xml:space="preserve">Link between tolerance, paternal effects and DNA methylation at the identified DMS </w:t>
      </w:r>
      <w:r>
        <w:rPr>
          <w:rFonts w:ascii="Liberation Serif" w:hAnsi="Liberation Serif"/>
          <w:sz w:val="24"/>
          <w:szCs w:val="24"/>
        </w:rPr>
        <w:t>for (A) infection-induced DMS and (B) intergenerational DMS</w:t>
      </w:r>
      <w:r>
        <w:rPr>
          <w:rFonts w:ascii="Liberation Serif" w:hAnsi="Liberation Serif"/>
          <w:sz w:val="24"/>
          <w:szCs w:val="24"/>
        </w:rPr>
        <w:t xml:space="preserve">. Tolerance, i.e. the slope of Body Condition Index (BCI) by number of worms, is influenced by the paternal treatment. </w:t>
      </w:r>
      <w:r>
        <w:rPr>
          <w:rFonts w:ascii="Liberation Serif" w:hAnsi="Liberation Serif"/>
          <w:sz w:val="24"/>
          <w:szCs w:val="24"/>
        </w:rPr>
        <w:t xml:space="preserve">The interaction with </w:t>
      </w:r>
      <w:r>
        <w:rPr>
          <w:rFonts w:ascii="Liberation Serif" w:hAnsi="Liberation Serif"/>
          <w:sz w:val="24"/>
          <w:szCs w:val="24"/>
        </w:rPr>
        <w:t xml:space="preserve">the first PCA axis from methylation values at DMS </w:t>
      </w:r>
      <w:r>
        <w:rPr>
          <w:rFonts w:ascii="Liberation Serif" w:hAnsi="Liberation Serif"/>
          <w:sz w:val="24"/>
          <w:szCs w:val="24"/>
        </w:rPr>
        <w:t>is represented, but not statistically significant</w:t>
      </w:r>
      <w:r>
        <w:rPr>
          <w:rFonts w:ascii="Liberation Serif" w:hAnsi="Liberation Serif"/>
          <w:sz w:val="24"/>
          <w:szCs w:val="24"/>
        </w:rPr>
        <w:t>.</w:t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265" cy="773811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265" cy="773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both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61</TotalTime>
  <Application>LibreOffice/7.3.7.2$Linux_X86_64 LibreOffice_project/30$Build-2</Application>
  <AppVersion>15.0000</AppVersion>
  <Pages>5</Pages>
  <Words>137</Words>
  <Characters>816</Characters>
  <CharactersWithSpaces>949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2024-09-30T16:04:15Z</dcterms:created>
  <dc:creator/>
  <dc:description/>
  <dc:language>en-GB</dc:language>
  <cp:lastModifiedBy/>
  <dcterms:modified xsi:type="dcterms:W3CDTF">2024-10-01T01:05:50Z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