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cs="" w:ascii="Times new roman" w:hAnsi="Times new roman" w:cstheme="minorBidi"/>
          <w:color w:val="00000A"/>
          <w:sz w:val="24"/>
          <w:szCs w:val="24"/>
          <w:highlight w:val="yellow"/>
        </w:rPr>
        <w:t xml:space="preserve">Animal systems offering a range of hybrid genomes between two parental species provide the opportunity to study the control of parasite burden by their host (resistance). In the </w:t>
      </w:r>
      <w:r>
        <w:rPr>
          <w:rFonts w:eastAsia="Liberation Sans" w:cs="Liberation Sans" w:ascii="Times new roman" w:hAnsi="Times new roman"/>
          <w:color w:val="000000"/>
          <w:sz w:val="24"/>
          <w:szCs w:val="24"/>
          <w:highlight w:val="yellow"/>
        </w:rPr>
        <w:t>European House Mouse hybrid zone, the longstanding impression is that hybrid mice are more highly parasitized and less fit than parentals persists despite the findings of recent studies.</w:t>
      </w:r>
      <w:r>
        <w:rPr>
          <w:rFonts w:eastAsia="Liberation Sans" w:cs="Liberation Sans" w:ascii="Times new roman" w:hAnsi="Times new roman"/>
          <w:color w:val="000000"/>
        </w:rPr>
        <w:t xml:space="preserve"> Working across a novel transect we assessed</w:t>
      </w:r>
      <w:r>
        <w:rPr>
          <w:rFonts w:eastAsia="Liberation Sans" w:cs="Liberation Sans" w:ascii="Times new roman" w:hAnsi="Times new roman"/>
          <w:color w:val="000000"/>
          <w:highlight w:val="yellow"/>
        </w:rPr>
        <w:t xml:space="preserve"> infections by intracellular protozoans, </w:t>
      </w:r>
      <w:r>
        <w:rPr>
          <w:rFonts w:eastAsia="Liberation Sans" w:cs="Liberation Sans" w:ascii="Times new roman" w:hAnsi="Times new roman"/>
          <w:i/>
          <w:color w:val="000000"/>
          <w:highlight w:val="yellow"/>
        </w:rPr>
        <w:t>Eimeria spp.</w:t>
      </w:r>
      <w:r>
        <w:rPr>
          <w:rFonts w:eastAsia="Liberation Sans" w:cs="Liberation Sans" w:ascii="Times new roman" w:hAnsi="Times new roman"/>
          <w:color w:val="000000"/>
          <w:highlight w:val="yellow"/>
        </w:rPr>
        <w:t xml:space="preserve">, and infections by extracellular macroparasites, pinworms. </w:t>
      </w:r>
      <w:r>
        <w:rPr>
          <w:rFonts w:eastAsia="Liberation Sans" w:cs="Liberation Sans" w:ascii="Times new roman" w:hAnsi="Times new roman"/>
          <w:color w:val="000000"/>
        </w:rPr>
        <w:t xml:space="preserve">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w:t>
      </w:r>
      <w:r>
        <w:rPr>
          <w:rFonts w:eastAsia="Liberation Sans" w:cs="Liberation Sans" w:ascii="Times new roman" w:hAnsi="Times new roman"/>
          <w:color w:val="000000"/>
          <w:highlight w:val="yellow"/>
        </w:rPr>
        <w:t xml:space="preserve"> or increased mortality</w:t>
      </w:r>
      <w:r>
        <w:rPr>
          <w:rFonts w:eastAsia="Liberation Sans" w:cs="Liberation Sans" w:ascii="Times new roman" w:hAnsi="Times new roman"/>
          <w:color w:val="000000"/>
        </w:rPr>
        <w:t xml:space="preserve">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spacing w:lineRule="auto" w:line="480"/>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 xml:space="preserve">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w:t>
      </w:r>
      <w:r>
        <w:rPr>
          <w:rFonts w:cs="" w:ascii="Times new roman" w:hAnsi="Times new roman" w:cstheme="minorBidi"/>
          <w:highlight w:val="yellow"/>
        </w:rPr>
        <w:t>humans are also</w:t>
      </w:r>
      <w:r>
        <w:rPr>
          <w:rFonts w:ascii="Times new roman" w:hAnsi="Times new roman"/>
        </w:rPr>
        <w:t xml:space="preserve"> a product of hybridization has raised interest further (Green et al., 2010). In a conservation context hybridization with introduced species can threaten autochthonous endangered animals (Simberloff, 1996). Parasites are omnipresent in natural systems and </w:t>
      </w:r>
      <w:r>
        <w:rPr>
          <w:rFonts w:cs="" w:ascii="Times new roman" w:hAnsi="Times new roman" w:cstheme="minorBidi"/>
          <w:color w:val="00000A"/>
          <w:sz w:val="24"/>
          <w:szCs w:val="24"/>
          <w:highlight w:val="yellow"/>
        </w:rPr>
        <w:t>impact human and animal health (</w:t>
      </w:r>
      <w:r>
        <w:rPr>
          <w:rFonts w:cs="" w:ascii="Times new roman" w:hAnsi="Times new roman" w:cstheme="minorBidi"/>
          <w:b w:val="false"/>
          <w:i w:val="false"/>
          <w:caps w:val="false"/>
          <w:smallCaps w:val="false"/>
          <w:color w:val="00000A"/>
          <w:spacing w:val="0"/>
          <w:sz w:val="24"/>
          <w:szCs w:val="24"/>
          <w:highlight w:val="yellow"/>
        </w:rPr>
        <w:t>Schurer, Mosites, Li, Meschke, &amp; Rabinowitz, 2016).</w:t>
      </w:r>
      <w:r>
        <w:rPr>
          <w:rFonts w:ascii="Times new roman" w:hAnsi="Times new roman"/>
        </w:rPr>
        <w:t xml:space="preserve"> It is </w:t>
      </w:r>
      <w:r>
        <w:rPr>
          <w:rFonts w:cs="" w:ascii="Times new roman" w:hAnsi="Times new roman" w:cstheme="minorBidi"/>
          <w:highlight w:val="yellow"/>
        </w:rPr>
        <w:t>therefore</w:t>
      </w:r>
      <w:r>
        <w:rPr>
          <w:rFonts w:ascii="Times new roman" w:hAnsi="Times new roman"/>
        </w:rPr>
        <w:t xml:space="preserve"> important for biologists to comprehend the interplay between parasites and hosts under hybridization.</w:t>
      </w:r>
    </w:p>
    <w:p>
      <w:pPr>
        <w:pStyle w:val="Normal"/>
        <w:rPr/>
      </w:pPr>
      <w:r>
        <w:rPr>
          <w:rFonts w:cs="" w:ascii="Times new roman" w:hAnsi="Times new roman" w:cstheme="minorBidi"/>
          <w:color w:val="00000A"/>
          <w:highlight w:val="yellow"/>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cs="" w:ascii="Times new roman" w:hAnsi="Times new roman" w:cstheme="minorBidi"/>
          <w:i/>
          <w:color w:val="00000A"/>
          <w:highlight w:val="yellow"/>
        </w:rPr>
        <w:t>Mus musculus domesticus</w:t>
      </w:r>
      <w:r>
        <w:rPr>
          <w:rFonts w:cs="" w:ascii="Times new roman" w:hAnsi="Times new roman" w:cstheme="minorBidi"/>
          <w:color w:val="00000A"/>
          <w:highlight w:val="yellow"/>
        </w:rPr>
        <w:t xml:space="preserve"> and </w:t>
      </w:r>
      <w:r>
        <w:rPr>
          <w:rFonts w:cs="" w:ascii="Times new roman" w:hAnsi="Times new roman" w:cstheme="minorBidi"/>
          <w:i/>
          <w:color w:val="00000A"/>
          <w:highlight w:val="yellow"/>
        </w:rPr>
        <w:t>Mus musculus musculus</w:t>
      </w:r>
      <w:r>
        <w:rPr>
          <w:rFonts w:cs="" w:ascii="Times new roman" w:hAnsi="Times new roman" w:cstheme="minorBidi"/>
          <w:color w:val="00000A"/>
          <w:highlight w:val="yellow"/>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Fonts w:ascii="Times new roman" w:hAnsi="Times new roman"/>
        </w:rPr>
        <w:t>Parasites are traditionally seen as decreasing their hosts’ fitness, and differences in resistance to parasites between hybrid and pure hosts was suggested to affect the dynamics of hybrid zones (Fritz, Moulia, &amp; Newcombe, 1999). This traditional framework postulates differences in parasite loads in hybrids vs. parental hosts to result in effects on the strength of host species barriers</w:t>
      </w:r>
      <w:r>
        <w:rPr>
          <w:rFonts w:cs="" w:ascii="Times new roman" w:hAnsi="Times new roman" w:cstheme="minorBidi"/>
          <w:highlight w:val="yellow"/>
        </w:rPr>
        <w:t>. Nevertheless, recent work in controlled condition have shown that resistance</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 (host capacity to reduce parasite burden) and tolerance (reduced impact of a given parasite burden on host health) are not necessarily correlate</w:t>
      </w:r>
      <w:r>
        <w:rPr>
          <w:rFonts w:cs="" w:ascii="Times new roman" w:hAnsi="Times new roman" w:cstheme="minorBidi"/>
          <w:b w:val="false"/>
          <w:i w:val="false"/>
          <w:caps w:val="false"/>
          <w:smallCaps w:val="false"/>
          <w:strike w:val="false"/>
          <w:dstrike w:val="false"/>
          <w:color w:val="00000A"/>
          <w:sz w:val="24"/>
          <w:highlight w:val="yellow"/>
          <w:u w:val="none"/>
          <w:effect w:val="none"/>
        </w:rPr>
        <w:t>d (</w:t>
      </w:r>
      <w:bookmarkStart w:id="1" w:name="docs-internal-guid-5fd6d2a8-7fff-f3d9-38"/>
      <w:bookmarkEnd w:id="1"/>
      <w:r>
        <w:rPr>
          <w:rFonts w:cs="" w:ascii="Times new roman" w:hAnsi="Times new roman" w:cstheme="minorBidi"/>
          <w:b w:val="false"/>
          <w:i w:val="false"/>
          <w:caps w:val="false"/>
          <w:smallCaps w:val="false"/>
          <w:strike w:val="false"/>
          <w:dstrike w:val="false"/>
          <w:color w:val="00000A"/>
          <w:sz w:val="24"/>
          <w:highlight w:val="yellow"/>
          <w:u w:val="none"/>
          <w:effect w:val="none"/>
        </w:rPr>
        <w:t>Råberg, Sim, &amp; Read, 2007).</w:t>
      </w:r>
      <w:r>
        <w:rPr>
          <w:rFonts w:cs="" w:ascii="Times new roman" w:hAnsi="Times new roman" w:cstheme="minorBidi"/>
          <w:color w:val="00000A"/>
          <w:highlight w:val="yellow"/>
        </w:rPr>
        <w:t xml:space="preserve">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cs="" w:ascii="Times New Roman" w:hAnsi="Times New Roman" w:cstheme="minorBidi"/>
          <w:b w:val="false"/>
          <w:i w:val="false"/>
          <w:caps w:val="false"/>
          <w:smallCaps w:val="false"/>
          <w:strike w:val="false"/>
          <w:dstrike w:val="false"/>
          <w:color w:val="000000"/>
          <w:sz w:val="24"/>
          <w:highlight w:val="yellow"/>
          <w:u w:val="none"/>
          <w:effect w:val="none"/>
        </w:rPr>
        <w:t>effect of inter-subspecies F1</w:t>
      </w:r>
      <w:r>
        <w:rPr>
          <w:rFonts w:ascii="Times new roman" w:hAnsi="Times new roman"/>
        </w:rPr>
        <w:t xml:space="preserve"> on helminth load or even reduced load in </w:t>
      </w:r>
      <w:r>
        <w:rPr>
          <w:rFonts w:cs="" w:ascii="Times New Roman" w:hAnsi="Times New Roman" w:cstheme="minorBidi"/>
          <w:b w:val="false"/>
          <w:i w:val="false"/>
          <w:caps w:val="false"/>
          <w:smallCaps w:val="false"/>
          <w:strike w:val="false"/>
          <w:dstrike w:val="false"/>
          <w:color w:val="000000"/>
          <w:sz w:val="24"/>
          <w:highlight w:val="yellow"/>
          <w:u w:val="none"/>
          <w:effect w:val="none"/>
        </w:rPr>
        <w:t>inter-subspecies F1</w:t>
      </w:r>
      <w:r>
        <w:rPr>
          <w:rFonts w:ascii="Times new roman" w:hAnsi="Times new roman"/>
        </w:rPr>
        <w:t xml:space="preserve"> compared to pure mouse strains (Derothe, Porcherie, Perriat-Sanguinet, Loubès, &amp; Moulia, 2004; Moulia, Le Brun, Loubes, Marin, &amp; Renaud, 1995). A </w:t>
      </w:r>
      <w:r>
        <w:rPr>
          <w:rFonts w:cs="" w:ascii="Times new roman" w:hAnsi="Times new roman" w:cstheme="minorBidi"/>
          <w:highlight w:val="yellow"/>
        </w:rPr>
        <w:t xml:space="preserve">more recent </w:t>
      </w:r>
      <w:r>
        <w:rPr>
          <w:rFonts w:ascii="Times new roman" w:hAnsi="Times new roman"/>
        </w:rPr>
        <w:t>field study</w:t>
      </w:r>
      <w:r>
        <w:rPr>
          <w:rFonts w:cs="" w:ascii="Times new roman" w:hAnsi="Times new roman" w:cstheme="minorBidi"/>
          <w:highlight w:val="yellow"/>
        </w:rPr>
        <w:t>,</w:t>
      </w:r>
      <w:r>
        <w:rPr>
          <w:rFonts w:ascii="Times new roman" w:hAnsi="Times new roman"/>
        </w:rPr>
        <w:t xml:space="preserve"> with </w:t>
      </w:r>
      <w:r>
        <w:rPr>
          <w:rFonts w:cs="" w:ascii="Times new roman" w:hAnsi="Times new roman" w:cstheme="minorBidi"/>
          <w:highlight w:val="yellow"/>
        </w:rPr>
        <w:t>high</w:t>
      </w:r>
      <w:r>
        <w:rPr>
          <w:rFonts w:ascii="Times new roman" w:hAnsi="Times new roman"/>
        </w:rPr>
        <w:t xml:space="preserve"> statistical power</w:t>
      </w:r>
      <w:r>
        <w:rPr>
          <w:rFonts w:cs="" w:ascii="Times new roman" w:hAnsi="Times new roman" w:cstheme="minorBidi"/>
          <w:highlight w:val="yellow"/>
        </w:rPr>
        <w:t xml:space="preserve"> (more mice sampled and more suitable statistical approach) and arguably improved sampling design</w:t>
      </w:r>
      <w:r>
        <w:rPr>
          <w:rFonts w:ascii="Times new roman" w:hAnsi="Times new roman"/>
        </w:rPr>
        <w:t xml:space="preserve">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 xml:space="preserve">We now see that, despite working within the framework of the same hybrid zone, two different interpretations of parasite loads in hybrid mice have arisen. </w:t>
      </w:r>
      <w:r>
        <w:rPr>
          <w:rFonts w:cs="" w:ascii="Times new roman" w:hAnsi="Times new roman" w:cstheme="minorBidi"/>
          <w:highlight w:val="yellow"/>
        </w:rPr>
        <w:t xml:space="preserve">It should be noted that all the previous studies chose to focus on either helminth or protozoan parasite model. Nevertheless, </w:t>
      </w:r>
      <w:r>
        <w:rPr>
          <w:rFonts w:cs="" w:ascii="Times new roman" w:hAnsi="Times new roman" w:cstheme="minorBidi"/>
          <w:b w:val="false"/>
          <w:i w:val="false"/>
          <w:caps w:val="false"/>
          <w:smallCaps w:val="false"/>
          <w:strike w:val="false"/>
          <w:dstrike w:val="false"/>
          <w:color w:val="000000"/>
          <w:sz w:val="24"/>
          <w:highlight w:val="yellow"/>
          <w:u w:val="none"/>
          <w:effect w:val="none"/>
        </w:rPr>
        <w:t>in vertebrates,</w:t>
      </w:r>
      <w:r>
        <w:rPr>
          <w:rFonts w:cs="" w:ascii="Times new roman" w:hAnsi="Times new roman" w:cstheme="minorBidi"/>
          <w:highlight w:val="yellow"/>
        </w:rPr>
        <w:t xml:space="preserve"> t</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he immune mechanisms under parasite control differs greatly between these two groups.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Extracellular macroparasites like helminths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2 (Th2)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-dominated response, and intracellular microparasites like protozoan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1 (Th1)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-mediated response</w:t>
      </w:r>
      <w:r>
        <w:rPr>
          <w:rFonts w:cs="" w:ascii="Times new roman" w:hAnsi="Times new roman" w:cstheme="minorBidi"/>
          <w:b w:val="false"/>
          <w:i w:val="false"/>
          <w:caps w:val="false"/>
          <w:smallCaps w:val="false"/>
          <w:strike w:val="false"/>
          <w:dstrike w:val="false"/>
          <w:color w:val="000000"/>
          <w:spacing w:val="0"/>
          <w:sz w:val="20"/>
          <w:szCs w:val="24"/>
          <w:highlight w:val="yellow"/>
          <w:u w:val="none"/>
          <w:effect w:val="none"/>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Sher &amp; Coffman, 1992). </w:t>
      </w:r>
      <w:r>
        <w:rPr>
          <w:rFonts w:ascii="Times new roman" w:hAnsi="Times new roman"/>
        </w:rPr>
        <w:t>One way forward in such circumstances is to test hypotheses over replicates and “along different axes” of parasitism</w:t>
      </w:r>
      <w:r>
        <w:rPr>
          <w:rFonts w:cs="" w:ascii="Times new roman" w:hAnsi="Times new roman" w:cstheme="minorBidi"/>
          <w:highlight w:val="yellow"/>
        </w:rPr>
        <w:t>, and to consider simultaneously helminths and protozoans to address the generality of hybrid response</w:t>
      </w:r>
      <w:r>
        <w:rPr>
          <w:rFonts w:ascii="Times new roman" w:hAnsi="Times new roman"/>
        </w:rPr>
        <w:t xml:space="preserve">. To distinguish between interpretations of paraasite load we here asked if (1) parasite loads are higher or lower in hybrids compared to parentals, and (2) if these loads are consistent, or differ, </w:t>
      </w:r>
      <w:r>
        <w:rPr>
          <w:rFonts w:cs="" w:ascii="Times new roman" w:hAnsi="Times new roman" w:cstheme="minorBidi"/>
          <w:highlight w:val="yellow"/>
        </w:rPr>
        <w:t>between prevalent representative helminths and protozoan. We did so in a geographically new transect replicate of the HMHZ.</w:t>
      </w:r>
    </w:p>
    <w:p>
      <w:pPr>
        <w:pStyle w:val="Normal"/>
        <w:rPr/>
      </w:pPr>
      <w:r>
        <w:rPr>
          <w:rFonts w:ascii="Times new roman" w:hAnsi="Times new roman"/>
        </w:rPr>
        <w:t xml:space="preserve">Pinworms (oxyurids) </w:t>
      </w:r>
      <w:r>
        <w:rPr>
          <w:rFonts w:cs="" w:ascii="Times new roman" w:hAnsi="Times new roman" w:cstheme="minorBidi"/>
          <w:highlight w:val="yellow"/>
        </w:rPr>
        <w:t>have been d</w:t>
      </w:r>
      <w:r>
        <w:rPr>
          <w:rFonts w:cs="" w:ascii="Times new roman" w:hAnsi="Times new roman" w:cstheme="minorBidi"/>
          <w:color w:val="000000"/>
          <w:sz w:val="24"/>
          <w:szCs w:val="24"/>
          <w:highlight w:val="yellow"/>
        </w:rPr>
        <w:t xml:space="preserve">etected in mice in numerous field studies (see for example </w:t>
      </w:r>
      <w:bookmarkStart w:id="3" w:name="docs-internal-guid-6d4b2a51-7fff-6be5-b4"/>
      <w:bookmarkEnd w:id="3"/>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Behnke, 1975; Behnke, 1976; Kriska, 1993;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Ressouche et al., 1998).</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r>
        <w:rPr>
          <w:rFonts w:cs="" w:ascii="Times new roman" w:hAnsi="Times new roman" w:cstheme="minorBidi"/>
          <w:highlight w:val="yellow"/>
        </w:rPr>
        <w:t>They</w:t>
      </w:r>
      <w:r>
        <w:rPr>
          <w:rFonts w:ascii="Times new roman" w:hAnsi="Times new roman"/>
        </w:rPr>
        <w:t xml:space="preserve"> have been shown to be the most prevalent helminths infecting house mice in the HMHZ (Goüy de Bellocq, Ribas, &amp; Baird, 2012). </w:t>
      </w:r>
      <w:r>
        <w:rPr>
          <w:rFonts w:cs="" w:ascii="Times new roman" w:hAnsi="Times new roman" w:cstheme="minorBidi"/>
          <w:sz w:val="24"/>
          <w:szCs w:val="24"/>
          <w:highlight w:val="yellow"/>
        </w:rPr>
        <w:t xml:space="preserve">They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are often considered to provoke mild symptoms on their hosts, even if in rare conditions (e.g. particularly high burden) they have been shown to affect the health of laboratory mice (Taffs, 1976)</w:t>
      </w:r>
      <w:r>
        <w:rPr>
          <w:rFonts w:cs="" w:ascii="Times new roman" w:hAnsi="Times new roman" w:cstheme="minorBidi"/>
          <w:sz w:val="24"/>
          <w:szCs w:val="24"/>
          <w:highlight w:val="yellow"/>
        </w:rPr>
        <w:t>.</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w:t>
      </w:r>
      <w:r>
        <w:rPr>
          <w:rFonts w:cs="" w:ascii="Times new roman" w:hAnsi="Times new roman" w:cstheme="minorBidi"/>
          <w:highlight w:val="yellow"/>
        </w:rPr>
        <w:t xml:space="preserve">in which the hypothesis of hybrid resistance/susceptibility to parasite was never tested before. We assessed </w:t>
      </w:r>
      <w:r>
        <w:rPr>
          <w:rFonts w:ascii="Times new roman" w:hAnsi="Times new roman"/>
        </w:rPr>
        <w:t xml:space="preserve">the impact of host hybridization on intensity of this parasite. By focusing on parasite intensity (extent of parasite infection in only infected </w:t>
      </w:r>
      <w:r>
        <w:rPr>
          <w:rFonts w:cs="" w:ascii="Times new roman" w:hAnsi="Times new roman" w:cstheme="minorBidi"/>
          <w:highlight w:val="yellow"/>
        </w:rPr>
        <w:t>animals</w:t>
      </w:r>
      <w:r>
        <w:rPr>
          <w:rFonts w:ascii="Times new roman" w:hAnsi="Times new roman"/>
        </w:rPr>
        <w:t xml:space="preserve">; Bush et al. 1997), we arguably exclude ecological factors for differences in load. We show that (1) parasite loads are consistently lower in hybrids compared to parental genotypes in the HMHZ and (2) that this pattern is </w:t>
      </w:r>
      <w:r>
        <w:rPr>
          <w:rFonts w:ascii="Times new roman" w:hAnsi="Times new roman"/>
          <w:highlight w:val="yellow"/>
        </w:rPr>
        <w:t>similar for</w:t>
      </w:r>
      <w:r>
        <w:rPr>
          <w:rFonts w:eastAsia="Liberation Sans" w:cs="Liberation Sans" w:ascii="Times new roman" w:hAnsi="Times new roman"/>
          <w:color w:val="000000"/>
          <w:highlight w:val="yellow"/>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The locations for trapping were selected</w:t>
      </w:r>
      <w:r>
        <w:rPr>
          <w:rFonts w:cs="" w:ascii="Times new roman" w:hAnsi="Times new roman" w:cstheme="minorBidi"/>
          <w:color w:val="000000"/>
          <w:sz w:val="24"/>
          <w:szCs w:val="24"/>
          <w:highlight w:val="yellow"/>
        </w:rPr>
        <w:t xml:space="preserve"> in a geographical range allowing t</w:t>
      </w:r>
      <w:r>
        <w:rPr>
          <w:rFonts w:ascii="Times new roman" w:hAnsi="Times new roman"/>
          <w:color w:val="000000"/>
          <w:sz w:val="24"/>
          <w:szCs w:val="24"/>
        </w:rPr>
        <w:t>o capture b</w:t>
      </w:r>
      <w:r>
        <w:rPr>
          <w:rFonts w:ascii="Times new roman" w:hAnsi="Times new roman"/>
        </w:rPr>
        <w:t xml:space="preserve">oth parental and hybrid/recombinant populations. Mice were individually isolated in cages and then euthanized by isoflurane inhalation followed by cervical dislocation and dissection within 24 hours after capture (animal experiment permit No. 2347/35/2014). Tissue samples (muscle and spleen) were put to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proportion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Macholán et al., 2007). HIs ranged from 0 to 1, HI of 0 indicating a pure Mmd and HI of 1 a pure Mmm (Baird et al., 2012; Macholán et al., 2007). H</w:t>
      </w:r>
      <w:r>
        <w:rPr>
          <w:rFonts w:cs="" w:ascii="Times new roman" w:hAnsi="Times new roman" w:cstheme="minorBidi"/>
          <w:highlight w:val="yellow"/>
        </w:rPr>
        <w:t>istograms for the number of genotyped markers, as w</w:t>
      </w:r>
      <w:r>
        <w:rPr>
          <w:rFonts w:cs="" w:ascii="Times new roman" w:hAnsi="Times new roman" w:cstheme="minorBidi"/>
          <w:b w:val="false"/>
          <w:bCs w:val="false"/>
          <w:color w:val="00000A"/>
          <w:highlight w:val="yellow"/>
        </w:rPr>
        <w:t>ell as their distribution along the hybrid index do indicate no bias in genotyping (</w:t>
      </w:r>
      <w:r>
        <w:rPr>
          <w:rFonts w:cs="" w:ascii="Times new roman" w:hAnsi="Times new roman" w:cstheme="minorBidi"/>
          <w:b/>
          <w:bCs/>
          <w:color w:val="00000A"/>
          <w:highlight w:val="yellow"/>
        </w:rPr>
        <w:t>Supplementary Figure S1)</w:t>
      </w:r>
      <w:r>
        <w:rPr>
          <w:rFonts w:cs="" w:ascii="Times new roman" w:hAnsi="Times new roman" w:cstheme="minorBidi"/>
          <w:b w:val="false"/>
          <w:bCs w:val="false"/>
          <w:color w:val="00000A"/>
          <w:highlight w:val="yellow"/>
        </w:rPr>
        <w:t>.</w:t>
      </w:r>
      <w:r>
        <w:rPr>
          <w:rFonts w:cs="" w:ascii="Times new roman" w:hAnsi="Times new roman" w:cstheme="minorBidi"/>
          <w:b/>
          <w:bCs/>
          <w:color w:val="CE181E"/>
          <w:highlight w:val="yellow"/>
        </w:rPr>
        <w:t xml:space="preserve"> </w:t>
      </w:r>
    </w:p>
    <w:p>
      <w:pPr>
        <w:pStyle w:val="Normal"/>
        <w:rPr/>
      </w:pPr>
      <w:r>
        <w:rPr>
          <w:rFonts w:ascii="Times new roman" w:hAnsi="Times new roman"/>
        </w:rPr>
        <w:t xml:space="preserve">The </w:t>
      </w:r>
      <w:r>
        <w:rPr>
          <w:rFonts w:cs="" w:ascii="Times new roman" w:hAnsi="Times new roman" w:cstheme="minorBidi"/>
          <w:highlight w:val="yellow"/>
        </w:rPr>
        <w:t>expected</w:t>
      </w:r>
      <w:r>
        <w:rPr>
          <w:rFonts w:ascii="Times new roman" w:hAnsi="Times new roman"/>
        </w:rPr>
        <w:t xml:space="preserve"> </w:t>
      </w:r>
      <w:r>
        <w:rPr>
          <w:rFonts w:cs="" w:ascii="Times new roman" w:hAnsi="Times new roman" w:cstheme="minorBidi"/>
          <w:highlight w:val="yellow"/>
        </w:rPr>
        <w:t>centre</w:t>
      </w:r>
      <w:r>
        <w:rPr>
          <w:rFonts w:ascii="Times new roman" w:hAnsi="Times new roman"/>
        </w:rPr>
        <w:t xml:space="preserve"> of the HMHZ across the study area was estimated using the program Geneland v4.0.8 (with graphical resolution increased over default</w:t>
      </w:r>
      <w:r>
        <w:rPr>
          <w:rFonts w:ascii="Times new roman" w:hAnsi="Times new roman"/>
          <w:sz w:val="24"/>
          <w:szCs w:val="24"/>
        </w:rPr>
        <w:t xml:space="preserve">s, the modified </w:t>
      </w:r>
      <w:r>
        <w:rPr>
          <w:rFonts w:cs="" w:ascii="Times new roman" w:hAnsi="Times new roman" w:cstheme="minorBidi"/>
          <w:sz w:val="24"/>
          <w:szCs w:val="24"/>
          <w:highlight w:val="yellow"/>
        </w:rPr>
        <w:t>c</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ode is available at</w:t>
      </w:r>
      <w:r>
        <w:rPr>
          <w:rFonts w:cs="" w:ascii="Times new roman" w:hAnsi="Times new roman" w:cstheme="minorBidi"/>
          <w:b w:val="false"/>
          <w:caps w:val="false"/>
          <w:smallCaps w:val="false"/>
          <w:strike w:val="false"/>
          <w:dstrike w:val="false"/>
          <w:color w:val="000000"/>
          <w:sz w:val="24"/>
          <w:szCs w:val="24"/>
          <w:highlight w:val="yellow"/>
          <w:u w:val="none"/>
          <w:effect w:val="none"/>
        </w:rPr>
        <w:t xml:space="preserve"> </w:t>
      </w:r>
      <w:hyperlink r:id="rId2">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https://github.com/alicebalard/Geneland</w:t>
        </w:r>
      </w:hyperlink>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 xml:space="preserve"> as a complete R-package</w:t>
      </w:r>
      <w:r>
        <w:rPr>
          <w:rFonts w:ascii="Times new roman" w:hAnsi="Times new roman"/>
          <w:sz w:val="24"/>
          <w:szCs w:val="24"/>
        </w:rPr>
        <w:t xml:space="preserve">), </w:t>
      </w:r>
      <w:r>
        <w:rPr>
          <w:rFonts w:ascii="Times new roman" w:hAnsi="Times new roman"/>
        </w:rPr>
        <w:t xml:space="preserve">based on a subset of the six autosomal markers that were genotyped in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w:t>
      </w:r>
      <w:r>
        <w:rPr>
          <w:rFonts w:cs="" w:ascii="Times new roman" w:hAnsi="Times new roman" w:cstheme="minorBidi"/>
          <w:highlight w:val="yellow"/>
        </w:rPr>
        <w:t>As in this study we need a high statistical power to test our hypothesis, we</w:t>
      </w:r>
      <w:r>
        <w:rPr>
          <w:rFonts w:ascii="Times new roman" w:hAnsi="Times new roman"/>
        </w:rPr>
        <w:t xml:space="preserv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w:t>
      </w:r>
      <w:r>
        <w:rPr>
          <w:rFonts w:ascii="Times new roman" w:hAnsi="Times new roman"/>
          <w:highlight w:val="yellow"/>
        </w:rPr>
        <w:t>Histograms</w:t>
      </w:r>
      <w:r>
        <w:rPr>
          <w:rFonts w:cs="" w:ascii="Times new roman" w:hAnsi="Times new roman" w:cstheme="minorBidi"/>
          <w:highlight w:val="yellow"/>
        </w:rPr>
        <w:t xml:space="preserve"> presenting the distribution of other counts for other helminths can be found in </w:t>
      </w:r>
      <w:r>
        <w:rPr>
          <w:rFonts w:cs="" w:ascii="Times new roman" w:hAnsi="Times new roman" w:cstheme="minorBidi"/>
          <w:b/>
          <w:bCs/>
          <w:highlight w:val="yellow"/>
        </w:rPr>
        <w:t>Supplementary Figure S2</w:t>
      </w:r>
      <w:r>
        <w:rPr>
          <w:rFonts w:cs="" w:ascii="Times new roman" w:hAnsi="Times new roman" w:cstheme="minorBidi"/>
          <w:b w:val="false"/>
          <w:bCs w:val="false"/>
          <w:highlight w:val="yellow"/>
        </w:rPr>
        <w:t xml:space="preserve"> and data is available in </w:t>
      </w:r>
      <w:r>
        <w:rPr>
          <w:rFonts w:cs="" w:ascii="Times new roman" w:hAnsi="Times new roman" w:cstheme="minorBidi"/>
          <w:b/>
          <w:bCs/>
          <w:highlight w:val="yellow"/>
        </w:rPr>
        <w:t>Supplementary Tables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house mouse house 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w:t>
      </w:r>
      <w:r>
        <w:rPr>
          <w:rFonts w:cs="" w:ascii="Times new roman" w:hAnsi="Times new roman" w:cstheme="minorBidi"/>
          <w:highlight w:val="yellow"/>
        </w:rPr>
        <w:t>Al-khlifeh et al., 2019;</w:t>
      </w:r>
      <w:r>
        <w:rPr>
          <w:rFonts w:eastAsia="Cambria" w:cs="" w:ascii="Times new roman" w:hAnsi="Times new roman" w:cstheme="minorBidi"/>
          <w:color w:val="00000A"/>
          <w:kern w:val="0"/>
          <w:sz w:val="24"/>
          <w:szCs w:val="24"/>
          <w:highlight w:val="yellow"/>
          <w:lang w:val="en-US" w:eastAsia="en-US" w:bidi="ar-SA"/>
        </w:rPr>
        <w:t xml:space="preserve"> Jarquín-Díaz et al., 2019). These qPCRs had been independently confirmed to allow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SYBRⓇ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cs="" w:ascii="Times new roman" w:hAnsi="Times new roman" w:cstheme="minorBidi"/>
          <w:color w:val="000000"/>
          <w:kern w:val="0"/>
          <w:sz w:val="24"/>
          <w:szCs w:val="24"/>
          <w:highlight w:val="yellow"/>
          <w:lang w:val="en-US" w:eastAsia="en-US" w:bidi="ar-SA"/>
        </w:rPr>
        <w:t>NA)</w:t>
      </w:r>
      <w:bookmarkStart w:id="6" w:name="docs-internal-guid-e3eafc64-7fff-75db-f1"/>
      <w:bookmarkEnd w:id="6"/>
      <w:r>
        <w:rPr>
          <w:rFonts w:eastAsia="Cambria" w:cs="" w:ascii="Times new roman" w:hAnsi="Times new roman" w:cstheme="minorBidi"/>
          <w:color w:val="000000"/>
          <w:kern w:val="0"/>
          <w:sz w:val="24"/>
          <w:szCs w:val="24"/>
          <w:highlight w:val="yellow"/>
          <w:lang w:val="en-US" w:eastAsia="en-US" w:bidi="ar-SA"/>
        </w:rPr>
        <w:t xml:space="preserve">. </w:t>
      </w:r>
      <w:r>
        <w:rPr>
          <w:rFonts w:eastAsia="Cambria" w:cs="" w:ascii="Times new roman" w:hAnsi="Times new roman" w:cstheme="minorBidi"/>
          <w:b w:val="false"/>
          <w:i w:val="false"/>
          <w:caps w:val="false"/>
          <w:smallCaps w:val="false"/>
          <w:strike w:val="false"/>
          <w:dstrike w:val="false"/>
          <w:color w:val="000000"/>
          <w:kern w:val="0"/>
          <w:sz w:val="24"/>
          <w:szCs w:val="24"/>
          <w:highlight w:val="yellow"/>
          <w:u w:val="none"/>
          <w:effect w:val="none"/>
          <w:lang w:val="en-US" w:eastAsia="en-US" w:bidi="ar-SA"/>
        </w:rPr>
        <w:t>This method was validated in an infection experiment in NMRI mice (</w:t>
      </w:r>
      <w:r>
        <w:rPr>
          <w:rFonts w:eastAsia="Cambria" w:cs="" w:ascii="Times new roman" w:hAnsi="Times new roman" w:cstheme="minorBidi"/>
          <w:color w:val="000000"/>
          <w:kern w:val="0"/>
          <w:sz w:val="24"/>
          <w:szCs w:val="24"/>
          <w:highlight w:val="yellow"/>
          <w:lang w:val="en-US" w:eastAsia="en-US" w:bidi="ar-SA"/>
        </w:rPr>
        <w:t>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this paper. </w:t>
      </w:r>
      <w:r>
        <w:rPr>
          <w:rFonts w:cs="" w:ascii="Times new roman" w:hAnsi="Times new roman" w:cstheme="minorBidi"/>
          <w:i/>
          <w:iCs/>
          <w:highlight w:val="yellow"/>
        </w:rPr>
        <w:t>Eimeria</w:t>
      </w:r>
      <w:r>
        <w:rPr>
          <w:rFonts w:cs="" w:ascii="Times new roman" w:hAnsi="Times new roman" w:cstheme="minorBidi"/>
          <w:highlight w:val="yellow"/>
        </w:rPr>
        <w:t xml:space="preserve"> identification at the species level was performed by means of two PCR markers (18S and COI) followed by a confirmation of morphology and tissue preference as described in Jarquín-Díaz et al., 2019 (column “eimeriaSpecies” of </w:t>
      </w:r>
      <w:r>
        <w:rPr>
          <w:rFonts w:cs="" w:ascii="Times new roman" w:hAnsi="Times new roman" w:cstheme="minorBidi"/>
          <w:b/>
          <w:bCs/>
          <w:highlight w:val="yellow"/>
        </w:rPr>
        <w:t>Supplementary Tables S3</w:t>
      </w:r>
      <w:r>
        <w:rPr>
          <w:rFonts w:cs="" w:ascii="Times new roman" w:hAnsi="Times new roman" w:cstheme="minorBidi"/>
          <w:b w:val="false"/>
          <w:bCs w:val="false"/>
          <w:highlight w:val="yellow"/>
        </w:rPr>
        <w:t>).</w:t>
      </w:r>
    </w:p>
    <w:p>
      <w:pPr>
        <w:pStyle w:val="Normal"/>
        <w:rPr/>
      </w:pPr>
      <w:bookmarkStart w:id="7" w:name="general-parasite-assessment"/>
      <w:bookmarkEnd w:id="7"/>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w:t>
      </w:r>
      <w:r>
        <w:rPr>
          <w:rFonts w:cs="" w:ascii="Times new roman" w:hAnsi="Times new roman" w:cstheme="minorBidi"/>
          <w:highlight w:val="yellow"/>
        </w:rPr>
        <w:t>report</w:t>
      </w:r>
      <w:r>
        <w:rPr>
          <w:rFonts w:ascii="Times new roman" w:hAnsi="Times new roman"/>
        </w:rPr>
        <w:t xml:space="preserve">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w:t>
      </w:r>
      <w:r>
        <w:rPr>
          <w:rFonts w:cs="" w:ascii="Times new roman" w:hAnsi="Times new roman" w:cstheme="minorBidi"/>
          <w:highlight w:val="yellow"/>
        </w:rPr>
        <w:t xml:space="preserve">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w:t>
      </w:r>
      <w:r>
        <w:rPr>
          <w:rFonts w:cs="" w:ascii="Times new roman" w:hAnsi="Times new roman" w:cstheme="minorBidi"/>
          <w:i/>
          <w:iCs/>
          <w:highlight w:val="yellow"/>
        </w:rPr>
        <w:t>Eimeria,</w:t>
      </w:r>
      <w:r>
        <w:rPr>
          <w:rFonts w:cs="" w:ascii="Times new roman" w:hAnsi="Times new roman" w:cstheme="minorBidi"/>
          <w:i w:val="false"/>
          <w:iCs w:val="false"/>
          <w:highlight w:val="yellow"/>
        </w:rPr>
        <w:t xml:space="preserve"> see Jarquín-Díaz et al., 2019 for details</w:t>
      </w:r>
      <w:r>
        <w:rPr>
          <w:rFonts w:cs="" w:ascii="Times new roman" w:hAnsi="Times new roman" w:cstheme="minorBidi"/>
          <w:highlight w:val="yellow"/>
        </w:rPr>
        <w:t>)</w:t>
      </w:r>
      <w:r>
        <w:rPr>
          <w:rFonts w:ascii="Times new roman" w:hAnsi="Times new roman"/>
        </w:rPr>
        <w:t>.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rFonts w:eastAsia="Cambria" w:cs="" w:cstheme="minorBidi" w:eastAsiaTheme="minorHAnsi"/>
          <w:highlight w:val="yellow"/>
        </w:rPr>
      </w:pPr>
      <w:r>
        <w:rPr>
          <w:rFonts w:eastAsia="Cambria" w:cs="" w:ascii="Times new roman" w:hAnsi="Times new roman" w:cstheme="minorBidi" w:eastAsiaTheme="minorHAnsi"/>
          <w:b/>
          <w:bCs/>
          <w:highlight w:val="yellow"/>
        </w:rPr>
        <w:t>Statistical design: testing hybrid resistance/susceptibility in a natural system</w:t>
      </w:r>
    </w:p>
    <w:p>
      <w:pPr>
        <w:pStyle w:val="Normal"/>
        <w:rPr/>
      </w:pPr>
      <w:r>
        <w:rPr>
          <w:rFonts w:cs="" w:ascii="Times new roman" w:hAnsi="Times new roman" w:cstheme="minorBidi"/>
          <w:highlight w:val="yellow"/>
        </w:rPr>
        <w:t>According to the SIR model of epdidemiology, individuals can be divided into susceptible (S), infected (I), and removed (R, dead or recovered). Animals captured in the field can show (1) absence, or (2) presence of a given parasite. Absence of parasite in a given host can result from absence of exposure to parasit</w:t>
      </w:r>
      <w:r>
        <w:rPr>
          <w:rFonts w:cs="" w:ascii="Times new roman" w:hAnsi="Times new roman" w:cstheme="minorBidi"/>
          <w:strike w:val="false"/>
          <w:dstrike w:val="false"/>
          <w:highlight w:val="yellow"/>
        </w:rPr>
        <w:t>e, complete host resistance, recovery, or death (</w:t>
      </w:r>
      <w:r>
        <w:rPr>
          <w:rFonts w:cs="" w:ascii="Times new roman" w:hAnsi="Times new roman" w:cstheme="minorBidi"/>
          <w:b w:val="false"/>
          <w:i w:val="false"/>
          <w:iCs w:val="false"/>
          <w:caps w:val="false"/>
          <w:smallCaps w:val="false"/>
          <w:strike w:val="false"/>
          <w:dstrike w:val="false"/>
          <w:color w:val="00000A"/>
          <w:spacing w:val="0"/>
          <w:sz w:val="24"/>
          <w:highlight w:val="yellow"/>
        </w:rPr>
        <w:t>Krämer, Kretzschmar, &amp; Krickeberg, 2010).</w:t>
      </w:r>
      <w:r>
        <w:rPr>
          <w:rFonts w:cs="" w:ascii="Times new roman" w:hAnsi="Times new roman" w:cstheme="minorBidi"/>
          <w:highlight w:val="yellow"/>
        </w:rPr>
        <w:t xml:space="preserve"> On the other hand,</w:t>
      </w:r>
      <w:r>
        <w:rPr>
          <w:rFonts w:cs="" w:ascii="Times new roman" w:hAnsi="Times new roman" w:cstheme="minorBidi"/>
          <w:sz w:val="24"/>
          <w:szCs w:val="24"/>
          <w:highlight w:val="yellow"/>
        </w:rPr>
        <w:t xml:space="preserve"> </w:t>
      </w:r>
      <w:r>
        <w:rPr>
          <w:rFonts w:cs="" w:ascii="Times new roman" w:hAnsi="Times new roman" w:cstheme="minorBidi"/>
          <w:highlight w:val="yellow"/>
        </w:rPr>
        <w:t>quantitative parasite load depends on intrinsic host or parasite components or their interaction</w:t>
      </w:r>
      <w:r>
        <w:rPr>
          <w:rFonts w:cs="" w:ascii="Times new roman" w:hAnsi="Times new roman" w:cstheme="minorBidi"/>
          <w:b w:val="false"/>
          <w:bCs w:val="false"/>
          <w:highlight w:val="yellow"/>
        </w:rPr>
        <w:t xml:space="preserve">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along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along the hybrid index (see below: </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val="false"/>
          <w:bCs w:val="false"/>
          <w:i w:val="false"/>
          <w:caps w:val="false"/>
          <w:smallCaps w:val="false"/>
          <w:strike w:val="false"/>
          <w:dstrike w:val="false"/>
          <w:color w:val="00000A"/>
          <w:sz w:val="24"/>
          <w:szCs w:val="24"/>
          <w:highlight w:val="yellow"/>
          <w:u w:val="none"/>
          <w:effect w:val="none"/>
        </w:rPr>
        <w:t xml:space="preserve">ical test for different </w:t>
      </w:r>
      <w:r>
        <w:rPr>
          <w:rFonts w:cs="" w:ascii="Times new roman" w:hAnsi="Times new roman"/>
          <w:b w:val="false"/>
          <w:bCs w:val="false"/>
          <w:i w:val="false"/>
          <w:caps w:val="false"/>
          <w:smallCaps w:val="false"/>
          <w:strike w:val="false"/>
          <w:dstrike w:val="false"/>
          <w:color w:val="00000A"/>
          <w:sz w:val="24"/>
          <w:szCs w:val="24"/>
          <w:highlight w:val="yellow"/>
          <w:u w:val="none"/>
          <w:effect w:val="none"/>
        </w:rPr>
        <w:t>mortality of hybrids</w:t>
      </w:r>
      <w:r>
        <w:rPr>
          <w:rFonts w:cs="" w:ascii="Times new roman" w:hAnsi="Times new roman" w:cstheme="minorBidi"/>
          <w:b w:val="false"/>
          <w:bCs w:val="false"/>
          <w:highlight w:val="yellow"/>
        </w:rPr>
        <w:t xml:space="preserve">). </w:t>
      </w:r>
    </w:p>
    <w:p>
      <w:pPr>
        <w:pStyle w:val="Normal"/>
        <w:rPr/>
      </w:pPr>
      <w:r>
        <w:rPr>
          <w:rFonts w:cs="" w:ascii="Times new roman" w:hAnsi="Times new roman" w:cstheme="minorBidi"/>
          <w:b w:val="false"/>
          <w:bCs w:val="false"/>
          <w:highlight w:val="yellow"/>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cs="" w:ascii="Times new roman" w:hAnsi="Times new roman" w:cstheme="minorBidi"/>
          <w:b w:val="false"/>
          <w:bCs w:val="false"/>
          <w:i/>
          <w:highlight w:val="yellow"/>
        </w:rPr>
        <w:t xml:space="preserve">He = 2 · HI · (1 </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i/>
          <w:highlight w:val="yellow"/>
        </w:rPr>
        <w:t>HI) ,           (Eq. 1)</w:t>
      </w:r>
    </w:p>
    <w:p>
      <w:pPr>
        <w:pStyle w:val="Normal"/>
        <w:rPr>
          <w:rFonts w:eastAsia="Cambria" w:cs="" w:cstheme="minorBidi" w:eastAsiaTheme="minorHAnsi"/>
          <w:color w:val="00000A"/>
        </w:rPr>
      </w:pPr>
      <w:r>
        <w:rPr>
          <w:rFonts w:eastAsia="Cambria" w:cs="" w:ascii="Times new roman" w:hAnsi="Times new roman" w:cstheme="minorBidi" w:eastAsiaTheme="minorHAnsi"/>
          <w:b/>
          <w:bCs/>
          <w:color w:val="00000A"/>
        </w:rPr>
        <w:t>Statistical prediction of probability of infection by parasites along the hybrid zone</w:t>
      </w:r>
    </w:p>
    <w:p>
      <w:pPr>
        <w:pStyle w:val="Normal"/>
        <w:rPr>
          <w:highlight w:val="yellow"/>
        </w:rPr>
      </w:pPr>
      <w:r>
        <w:rPr>
          <w:rFonts w:ascii="Times new roman" w:hAnsi="Times new roman"/>
          <w:highlight w:val="yellow"/>
        </w:rPr>
        <w:t xml:space="preserve">We considered the predicted probability of infection along the HI as equivalent with the prevalence and modeled dichotomous response variable (uninfected = 0; infected = 1) by logistic regression. We performed two analyses, one testing for prevalence differences </w:t>
      </w:r>
      <w:r>
        <w:rPr>
          <w:rFonts w:cs="" w:ascii="Times new roman" w:hAnsi="Times new roman" w:cstheme="minorBidi"/>
          <w:highlight w:val="yellow"/>
        </w:rPr>
        <w:t xml:space="preserve">on both half of the hybrid index separately and a second one with a unified </w:t>
      </w:r>
      <w:r>
        <w:rPr>
          <w:rFonts w:ascii="Times new roman" w:hAnsi="Times new roman"/>
          <w:highlight w:val="yellow"/>
        </w:rPr>
        <w:t xml:space="preserve">“genetic distance to zone centre” (for individuals with HI between 0 and 0.5 the proxy is HI, for individuals with HI between 0.5 and 1 the proxy is 1 – HI). This means </w:t>
      </w:r>
      <w:r>
        <w:rPr>
          <w:rFonts w:cs="" w:ascii="Times new roman" w:hAnsi="Times new roman" w:cstheme="minorBidi"/>
          <w:highlight w:val="yellow"/>
        </w:rPr>
        <w:t xml:space="preserve">we do not blindly assume equality of prevalence at both ends of the hybrid index, but also maximize power to reject the null hypothesis (esp. in case of a negative result in the separate analysis). </w:t>
      </w:r>
      <w:r>
        <w:rPr>
          <w:rFonts w:ascii="Times new roman" w:hAnsi="Times new roman"/>
          <w:highlight w:val="yellow"/>
        </w:rPr>
        <w:t>Analyses were done in R with the function glm from the stats package (R Development Core Team, 2008) including host sex and interaction terms with the variable representing hybrid genetics.</w:t>
      </w:r>
    </w:p>
    <w:p>
      <w:pPr>
        <w:pStyle w:val="Normal"/>
        <w:rPr/>
      </w:pP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bCs/>
          <w:i w:val="false"/>
          <w:caps w:val="false"/>
          <w:smallCaps w:val="false"/>
          <w:strike w:val="false"/>
          <w:dstrike w:val="false"/>
          <w:color w:val="00000A"/>
          <w:sz w:val="24"/>
          <w:szCs w:val="24"/>
          <w:highlight w:val="yellow"/>
          <w:u w:val="none"/>
          <w:effect w:val="none"/>
        </w:rPr>
        <w:t xml:space="preserve">ical test for different </w:t>
      </w:r>
      <w:r>
        <w:rPr>
          <w:rFonts w:ascii="Times new roman" w:hAnsi="Times new roman"/>
          <w:b/>
          <w:bCs/>
          <w:i w:val="false"/>
          <w:caps w:val="false"/>
          <w:smallCaps w:val="false"/>
          <w:strike w:val="false"/>
          <w:dstrike w:val="false"/>
          <w:color w:val="00000A"/>
          <w:sz w:val="24"/>
          <w:szCs w:val="24"/>
          <w:highlight w:val="yellow"/>
          <w:u w:val="none"/>
          <w:effect w:val="none"/>
        </w:rPr>
        <w:t>mortality of hybrids</w:t>
      </w:r>
    </w:p>
    <w:p>
      <w:pPr>
        <w:pStyle w:val="TextBody"/>
        <w:rPr/>
      </w:pP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Secondly,</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 morbidity or mortality caused by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h</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yperparasitism could impact both prevalence and intensity measures of parasite loads, as only the surviving, less parasitized mice could be captured. This, however, would also lead to differences in age distribution along the hybrid index. We used an age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estimation based on weight (as in Behnke, 1976)</w:t>
      </w:r>
      <w:r>
        <w:rPr>
          <w:rFonts w:cs="" w:ascii="Times new roman" w:hAnsi="Times new roman" w:cstheme="minorBidi"/>
          <w:b w:val="false"/>
          <w:bCs/>
          <w:caps w:val="false"/>
          <w:smallCaps w:val="false"/>
          <w:strike w:val="false"/>
          <w:dstrike w:val="false"/>
          <w:color w:val="000000"/>
          <w:sz w:val="24"/>
          <w:szCs w:val="24"/>
          <w:highlight w:val="yellow"/>
          <w:u w:val="none"/>
          <w:effect w:val="none"/>
        </w:rPr>
        <w:t xml:space="preserve"> as a proxy 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o t</w:t>
      </w:r>
      <w:r>
        <w:rPr>
          <w:rFonts w:cs="" w:ascii="Times new roman" w:hAnsi="Times new roman" w:cstheme="minorBidi"/>
          <w:highlight w:val="yellow"/>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eastAsia="Cambria" w:cs="" w:ascii="Times new roman" w:hAnsi="Times new roman" w:cstheme="minorBidi" w:eastAsiaTheme="minorHAnsi"/>
          <w:i/>
          <w:highlight w:val="yellow"/>
        </w:rPr>
        <w:t xml:space="preserve">ExpectedBodyWeight = (BW1 + (BW2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BW1) · HI) · (1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alpha · He) ,     (Eq. 2)</w:t>
      </w:r>
    </w:p>
    <w:p>
      <w:pPr>
        <w:pStyle w:val="Normal"/>
        <w:rPr/>
      </w:pPr>
      <w:r>
        <w:rPr>
          <w:rFonts w:cs="" w:ascii="Times new roman" w:hAnsi="Times new roman" w:cstheme="minorBidi"/>
          <w:highlight w:val="yellow"/>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fit the models using maximum likelihood (using the R package mle2; Bolker, 2017), either including or excluding the hybridization effect parameter (by setting HI = 0 in </w:t>
      </w:r>
      <w:r>
        <w:rPr>
          <w:rFonts w:cs="" w:ascii="Times new roman" w:hAnsi="Times new roman" w:cstheme="minorBidi"/>
          <w:b w:val="false"/>
          <w:bCs/>
          <w:i/>
          <w:caps w:val="false"/>
          <w:smallCaps w:val="false"/>
          <w:strike w:val="false"/>
          <w:dstrike w:val="false"/>
          <w:color w:val="000000"/>
          <w:sz w:val="24"/>
          <w:szCs w:val="24"/>
          <w:highlight w:val="yellow"/>
          <w:u w:val="none"/>
          <w:effect w:val="none"/>
        </w:rPr>
        <w:t>ExpectedBodyWeight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3</w:t>
      </w:r>
      <w:r>
        <w:rPr>
          <w:rFonts w:ascii="Times new roman" w:hAnsi="Times new roman"/>
          <w:i/>
        </w:rPr>
        <w:t>)</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t>
      </w:r>
      <w:r>
        <w:rPr>
          <w:rFonts w:cs="" w:ascii="Times new roman" w:hAnsi="Times new roman" w:cstheme="minorBidi"/>
          <w:highlight w:val="yellow"/>
        </w:rPr>
        <w:t xml:space="preserve">(see </w:t>
      </w:r>
      <w:r>
        <w:rPr>
          <w:rFonts w:cs="" w:ascii="Times new roman" w:hAnsi="Times new roman" w:cstheme="minorBidi"/>
          <w:b/>
          <w:bCs/>
          <w:highlight w:val="yellow"/>
        </w:rPr>
        <w:t>Supplementary Figure S4)</w:t>
      </w:r>
      <w:r>
        <w:rPr>
          <w:rFonts w:ascii="Times new roman" w:hAnsi="Times new roman"/>
        </w:rPr>
        <w:t xml:space="preserve">. The negative binomial distribution should perform well for macroparasite counts (Crofton, 1971; Shaw &amp; Dobson, 1995), which was confirmed for helminths </w:t>
      </w:r>
      <w:r>
        <w:rPr>
          <w:rFonts w:cs="" w:ascii="Times new roman" w:hAnsi="Times new roman" w:cstheme="minorBidi"/>
          <w:highlight w:val="yellow"/>
        </w:rPr>
        <w:t>in a previous  transect</w:t>
      </w:r>
      <w:r>
        <w:rPr>
          <w:rFonts w:ascii="Times new roman" w:hAnsi="Times new roman"/>
        </w:rPr>
        <w:t xml:space="preserve">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Negative Binomial distribution is parameterized by two arguments: its expectation (Expected Load, Eq. </w:t>
      </w:r>
      <w:r>
        <w:rPr>
          <w:rFonts w:cs="" w:ascii="Times new roman" w:hAnsi="Times new roman" w:cstheme="minorBidi"/>
          <w:highlight w:val="yellow"/>
        </w:rPr>
        <w:t>3</w:t>
      </w:r>
      <w:r>
        <w:rPr>
          <w:rFonts w:ascii="Times new roman" w:hAnsi="Times new roman"/>
        </w:rPr>
        <w:t>), and the inverse of its aggregation defined,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w:t>
      </w:r>
      <w:r>
        <w:rPr>
          <w:rFonts w:cs="" w:ascii="Times new roman" w:hAnsi="Times new roman" w:cstheme="minorBidi"/>
          <w:i/>
          <w:iCs/>
          <w:highlight w:val="yellow"/>
        </w:rPr>
        <w:t>4</w:t>
      </w:r>
      <w:r>
        <w:rPr>
          <w:rFonts w:ascii="Times new roman" w:hAnsi="Times new roman"/>
          <w:i/>
          <w:iCs/>
        </w:rPr>
        <w:t xml:space="preserve">)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 xml:space="preserve">Scale = ExpectedLoad / Ⲅ (1 + 1/ shape) ,           (Eq. </w:t>
      </w:r>
      <w:r>
        <w:rPr>
          <w:rFonts w:cs="" w:ascii="Times new roman" w:hAnsi="Times new roman" w:cstheme="minorBidi"/>
          <w:i/>
          <w:iCs/>
          <w:highlight w:val="yellow"/>
        </w:rPr>
        <w:t>5</w:t>
      </w:r>
      <w:r>
        <w:rPr>
          <w:rFonts w:ascii="Times new roman" w:hAnsi="Times new roman"/>
          <w:i/>
          <w:iCs/>
        </w:rPr>
        <w:t>)</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Weibull distribution requires positive values as input. Therefore, we estimated an extra “shift parameter” </w:t>
      </w:r>
      <w:r>
        <w:rPr>
          <w:rFonts w:cs="" w:ascii="Times new roman" w:hAnsi="Times new roman" w:cstheme="minorBidi"/>
          <w:highlight w:val="yellow"/>
        </w:rPr>
        <w:t>which was optimized</w:t>
      </w:r>
      <w:r>
        <w:rPr>
          <w:rFonts w:ascii="Times new roman" w:hAnsi="Times new roman"/>
        </w:rPr>
        <w:t xml:space="preserve"> by maximum likelihood.</w:t>
      </w:r>
    </w:p>
    <w:p>
      <w:pPr>
        <w:pStyle w:val="Normal"/>
        <w:rPr/>
      </w:pPr>
      <w:bookmarkStart w:id="8" w:name="test-of-body-condition-differences-betwe"/>
      <w:bookmarkEnd w:id="8"/>
      <w:r>
        <w:rPr>
          <w:rFonts w:ascii="Times new roman" w:hAnsi="Times new roman"/>
          <w:b/>
          <w:bCs/>
        </w:rPr>
        <w:t xml:space="preserve">Test of body condition differences between infected and non-infected mice </w:t>
      </w:r>
      <w:r>
        <w:rPr>
          <w:rFonts w:cs="" w:ascii="Times new roman" w:hAnsi="Times new roman" w:cstheme="minorBidi"/>
          <w:b/>
          <w:bCs/>
          <w:highlight w:val="yellow"/>
        </w:rPr>
        <w:t>across</w:t>
      </w:r>
      <w:r>
        <w:rPr>
          <w:rFonts w:ascii="Times new roman" w:hAnsi="Times new roman"/>
          <w:b/>
          <w:bCs/>
        </w:rPr>
        <w:t xml:space="preserve"> the hybrid zone</w:t>
      </w:r>
    </w:p>
    <w:p>
      <w:pPr>
        <w:pStyle w:val="Normal"/>
        <w:rPr/>
      </w:pPr>
      <w:r>
        <w:rPr>
          <w:rFonts w:cs="" w:ascii="Times new roman" w:hAnsi="Times new roman" w:cstheme="minorBidi"/>
          <w:highlight w:val="yellow"/>
        </w:rPr>
        <w:t>After the previous tests on hybrid resistance/susceptibility to parasites, we wanted to see if our field system could allow to test for differences in tolerance to parasites. We thus tested whether we could detect</w:t>
      </w:r>
      <w:r>
        <w:rPr>
          <w:rFonts w:cs="" w:ascii="Times new roman" w:hAnsi="Times new roman" w:cstheme="minorBidi"/>
          <w:b w:val="false"/>
          <w:bCs w:val="false"/>
          <w:highlight w:val="yellow"/>
        </w:rPr>
        <w:t xml:space="preserve"> different body condition between infected and non-infected mice along the hybrid index. </w:t>
      </w:r>
      <w:r>
        <w:rPr>
          <w:rFonts w:ascii="Times new roman" w:hAnsi="Times new roman"/>
        </w:rPr>
        <w:t xml:space="preserve">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6</w:t>
      </w:r>
      <w:r>
        <w:rPr>
          <w:rFonts w:ascii="Times new roman" w:hAnsi="Times new roman"/>
          <w:i/>
        </w:rPr>
        <w:t>)</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We caught and genotyped a total</w:t>
      </w:r>
      <w:r>
        <w:rPr>
          <w:rFonts w:cs="" w:ascii="Times new roman" w:hAnsi="Times new roman" w:cstheme="minorBidi"/>
          <w:highlight w:val="yellow"/>
        </w:rPr>
        <w:t xml:space="preserve"> of 650 mice (359 females, 291 males) over four sampling seasons (2014: </w:t>
      </w:r>
      <w:r>
        <w:rPr>
          <w:rFonts w:cs="" w:ascii="Times new roman" w:hAnsi="Times new roman" w:cstheme="minorBidi"/>
          <w:i/>
          <w:highlight w:val="yellow"/>
        </w:rPr>
        <w:t>N</w:t>
      </w:r>
      <w:r>
        <w:rPr>
          <w:rFonts w:cs="" w:ascii="Times new roman" w:hAnsi="Times new roman" w:cstheme="minorBidi"/>
          <w:highlight w:val="yellow"/>
        </w:rPr>
        <w:t xml:space="preserve">=86; 2015: </w:t>
      </w:r>
      <w:r>
        <w:rPr>
          <w:rFonts w:cs="" w:ascii="Times new roman" w:hAnsi="Times new roman" w:cstheme="minorBidi"/>
          <w:i/>
          <w:highlight w:val="yellow"/>
        </w:rPr>
        <w:t>N</w:t>
      </w:r>
      <w:r>
        <w:rPr>
          <w:rFonts w:cs="" w:ascii="Times new roman" w:hAnsi="Times new roman" w:cstheme="minorBidi"/>
          <w:highlight w:val="yellow"/>
        </w:rPr>
        <w:t xml:space="preserve">=156; 2016: </w:t>
      </w:r>
      <w:r>
        <w:rPr>
          <w:rFonts w:cs="" w:ascii="Times new roman" w:hAnsi="Times new roman" w:cstheme="minorBidi"/>
          <w:i/>
          <w:highlight w:val="yellow"/>
        </w:rPr>
        <w:t>N</w:t>
      </w:r>
      <w:r>
        <w:rPr>
          <w:rFonts w:cs="" w:ascii="Times new roman" w:hAnsi="Times new roman" w:cstheme="minorBidi"/>
          <w:highlight w:val="yellow"/>
        </w:rPr>
        <w:t xml:space="preserve">=167; 2017: </w:t>
      </w:r>
      <w:r>
        <w:rPr>
          <w:rFonts w:cs="" w:ascii="Times new roman" w:hAnsi="Times new roman" w:cstheme="minorBidi"/>
          <w:i/>
          <w:highlight w:val="yellow"/>
        </w:rPr>
        <w:t>N</w:t>
      </w:r>
      <w:r>
        <w:rPr>
          <w:rFonts w:cs="" w:ascii="Times new roman" w:hAnsi="Times new roman" w:cstheme="minorBidi"/>
          <w:highlight w:val="yellow"/>
        </w:rPr>
        <w:t>=241) at 149 localities</w:t>
      </w:r>
      <w:r>
        <w:rPr>
          <w:rFonts w:ascii="Times new roman" w:hAnsi="Times new roman"/>
        </w:rPr>
        <w:t xml:space="preserve">. A median of 2 mice per locality were captured. A table of individual </w:t>
      </w:r>
      <w:r>
        <w:rPr>
          <w:rFonts w:cs="" w:ascii="Times new roman" w:hAnsi="Times new roman" w:cstheme="minorBidi"/>
          <w:highlight w:val="yellow"/>
        </w:rPr>
        <w:t>mouse data including</w:t>
      </w:r>
      <w:r>
        <w:rPr>
          <w:rFonts w:ascii="Times new roman" w:hAnsi="Times new roman"/>
        </w:rPr>
        <w:t xml:space="preserve"> hybrid indices, georeferences and parasite loads is available in </w:t>
      </w:r>
      <w:r>
        <w:rPr>
          <w:rFonts w:cs="" w:ascii="Times new roman" w:hAnsi="Times new roman" w:cstheme="minorBidi"/>
          <w:b/>
          <w:bCs/>
          <w:highlight w:val="yellow"/>
        </w:rPr>
        <w:t>Supplementary Table S3</w:t>
      </w:r>
      <w:r>
        <w:rPr>
          <w:rFonts w:cs="" w:ascii="Times new roman" w:hAnsi="Times new roman" w:cstheme="minorBidi"/>
          <w:highlight w:val="yellow"/>
        </w:rPr>
        <w:t>.</w:t>
      </w:r>
      <w:r>
        <w:rPr>
          <w:rFonts w:ascii="Times new roman" w:hAnsi="Times new roman"/>
        </w:rPr>
        <w:t xml:space="preserve"> </w:t>
      </w:r>
      <w:r>
        <w:rPr>
          <w:rFonts w:cs="" w:ascii="Times new roman" w:hAnsi="Times new roman" w:cstheme="minorBidi"/>
          <w:highlight w:val="yellow"/>
        </w:rPr>
        <w:t>On the probability map of the hybrid zone centre,</w:t>
      </w:r>
      <w:r>
        <w:rPr>
          <w:rFonts w:ascii="Times new roman" w:hAnsi="Times new roman"/>
        </w:rPr>
        <w:t xml:space="preserve"> shown in</w:t>
      </w:r>
      <w:r>
        <w:rPr>
          <w:rFonts w:cs="" w:ascii="Times new roman" w:hAnsi="Times new roman" w:cstheme="minorBidi"/>
        </w:rPr>
        <w:t xml:space="preserve"> </w:t>
      </w:r>
      <w:r>
        <w:rPr>
          <w:rFonts w:cs="" w:ascii="Times new roman" w:hAnsi="Times new roman" w:cstheme="minorBidi"/>
          <w:b/>
          <w:bCs/>
        </w:rPr>
        <w:t>Figure 1</w:t>
      </w:r>
      <w:r>
        <w:rPr>
          <w:rFonts w:cs="" w:ascii="Times new roman" w:hAnsi="Times new roman" w:cstheme="minorBidi"/>
        </w:rPr>
        <w:t xml:space="preserve">, </w:t>
      </w:r>
      <w:r>
        <w:rPr>
          <w:rFonts w:cs="" w:ascii="Times new roman" w:hAnsi="Times new roman" w:cstheme="minorBidi"/>
          <w:highlight w:val="yellow"/>
        </w:rPr>
        <w:t>we see that</w:t>
      </w:r>
      <w:r>
        <w:rPr>
          <w:rFonts w:ascii="Times new roman" w:hAnsi="Times new roman"/>
        </w:rPr>
        <w:t xml:space="preserve"> the HMHZ runs across the former East Germany, making a broad arc around the city of Berlin, approaching within ca. 20 km of the bordering Oder River near Eberswalde.</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cs="" w:ascii="Times new roman" w:hAnsi="Times new roman" w:cstheme="minorBidi"/>
        </w:rPr>
        <w:t>(</w:t>
      </w:r>
      <w:r>
        <w:rPr>
          <w:rFonts w:cs="" w:ascii="Times new roman" w:hAnsi="Times new roman" w:cstheme="minorBidi"/>
          <w:b/>
          <w:bCs/>
        </w:rPr>
        <w:t>Figure 2a</w:t>
      </w:r>
      <w:r>
        <w:rPr>
          <w:rFonts w:cs="" w:ascii="Times new roman" w:hAnsi="Times new roman" w:cstheme="minorBidi"/>
        </w:rPr>
        <w:t>)</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cs="" w:ascii="Times new roman" w:hAnsi="Times new roman" w:cstheme="minorBidi"/>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Overall prevalence of pinworms and </w:t>
      </w:r>
      <w:r>
        <w:rPr>
          <w:rFonts w:cs="" w:ascii="Times new roman" w:hAnsi="Times new roman" w:cstheme="minorBidi"/>
          <w:b w:val="false"/>
          <w:i/>
          <w:caps w:val="false"/>
          <w:smallCaps w:val="false"/>
          <w:strike w:val="false"/>
          <w:dstrike w:val="false"/>
          <w:color w:val="000000"/>
          <w:sz w:val="24"/>
          <w:szCs w:val="24"/>
          <w:highlight w:val="yellow"/>
          <w:u w:val="none"/>
          <w:effect w:val="none"/>
        </w:rPr>
        <w:t xml:space="preserve">Eimeria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in our samples did not significantly differ between approximated age category (using body weight as a proxy, as in Behnke, 1976) and between sex (Pearson's Chi-squared test, p-value &gt; 0.05) (</w:t>
      </w: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Supplementary Table S4</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w:t>
      </w:r>
    </w:p>
    <w:p>
      <w:pPr>
        <w:pStyle w:val="Normal"/>
        <w:rPr/>
      </w:pPr>
      <w:bookmarkStart w:id="9" w:name="similar-prevalence-of-parasites-across-t"/>
      <w:bookmarkEnd w:id="9"/>
      <w:r>
        <w:rPr>
          <w:rFonts w:ascii="Times new roman" w:hAnsi="Times new roman"/>
          <w:b/>
          <w:bCs/>
        </w:rPr>
        <w:t>Similar prevalence of parasites across the zone</w:t>
      </w:r>
    </w:p>
    <w:p>
      <w:pPr>
        <w:pStyle w:val="Normal"/>
        <w:rPr/>
      </w:pPr>
      <w:r>
        <w:rPr>
          <w:rFonts w:cs="" w:ascii="Times new roman" w:hAnsi="Times new roman" w:cstheme="minorBidi"/>
          <w:highlight w:val="yellow"/>
        </w:rPr>
        <w:t xml:space="preserve">In order to control for impact of ecological factors such as a </w:t>
      </w:r>
      <w:r>
        <w:rPr>
          <w:rFonts w:ascii="Times new roman" w:hAnsi="Times new roman"/>
        </w:rPr>
        <w:t xml:space="preserve">host density trough at the zone centre, </w:t>
      </w:r>
      <w:r>
        <w:rPr>
          <w:rFonts w:cs="" w:ascii="Times new roman" w:hAnsi="Times new roman" w:cstheme="minorBidi"/>
          <w:highlight w:val="yellow"/>
        </w:rPr>
        <w:t xml:space="preserve">on prevalence </w:t>
      </w:r>
      <w:r>
        <w:rPr>
          <w:rFonts w:ascii="Times new roman" w:hAnsi="Times new roman"/>
        </w:rPr>
        <w:t xml:space="preserve">we tested if the probability of being infected was significantly lower for individuals at the host zone centre. Logistic regression using a linear combination of the predictor variables “genetic distance to zone centre” and “Sex” (including interactions) didn’t show any statistically significant effect (p &gt; 0.05) on the probability of infection, neither for </w:t>
      </w:r>
      <w:r>
        <w:rPr>
          <w:rFonts w:ascii="Times new roman" w:hAnsi="Times new roman"/>
          <w:i/>
        </w:rPr>
        <w:t>Eimeria</w:t>
      </w:r>
      <w:r>
        <w:rPr>
          <w:rFonts w:ascii="Times new roman" w:hAnsi="Times new roman"/>
        </w:rPr>
        <w:t xml:space="preserve"> spp. (</w:t>
      </w:r>
      <w:r>
        <w:rPr>
          <w:rFonts w:cs="" w:ascii="Times new roman" w:hAnsi="Times new roman" w:cstheme="minorBidi"/>
          <w:b/>
          <w:bCs/>
        </w:rPr>
        <w:t>Figure 2b</w:t>
      </w:r>
      <w:r>
        <w:rPr>
          <w:rFonts w:ascii="Times new roman" w:hAnsi="Times new roman"/>
        </w:rPr>
        <w:t>) nor for pinworms (</w:t>
      </w:r>
      <w:r>
        <w:rPr>
          <w:rFonts w:cs="" w:ascii="Times new roman" w:hAnsi="Times new roman" w:cstheme="minorBidi"/>
          <w:b/>
          <w:bCs/>
        </w:rPr>
        <w:t>Figure 3b</w:t>
      </w:r>
      <w:r>
        <w:rPr>
          <w:rFonts w:ascii="Times new roman" w:hAnsi="Times new roman"/>
        </w:rPr>
        <w:t xml:space="preserve">). </w:t>
      </w:r>
      <w:r>
        <w:rPr>
          <w:rFonts w:cs="" w:ascii="Times new roman" w:hAnsi="Times new roman" w:cstheme="minorBidi"/>
          <w:highlight w:val="yellow"/>
        </w:rPr>
        <w:t xml:space="preserve">Results were identical for specifically </w:t>
      </w:r>
      <w:r>
        <w:rPr>
          <w:rFonts w:cs="" w:ascii="Times new roman" w:hAnsi="Times new roman" w:cstheme="minorBidi"/>
          <w:i/>
          <w:iCs/>
          <w:highlight w:val="yellow"/>
        </w:rPr>
        <w:t>Eimeria ferrisi</w:t>
      </w:r>
      <w:r>
        <w:rPr>
          <w:rFonts w:cs="" w:ascii="Times new roman" w:hAnsi="Times new roman" w:cstheme="minorBidi"/>
          <w:i w:val="false"/>
          <w:iCs w:val="false"/>
          <w:highlight w:val="yellow"/>
        </w:rPr>
        <w:t xml:space="preserve"> infected mice vs. non infected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S5a</w:t>
      </w:r>
      <w:r>
        <w:rPr>
          <w:rFonts w:cs="" w:ascii="Times new roman" w:hAnsi="Times new roman" w:cstheme="minorBidi"/>
          <w:i w:val="false"/>
          <w:iCs w:val="false"/>
          <w:highlight w:val="yellow"/>
        </w:rPr>
        <w:t>)</w:t>
      </w:r>
      <w:r>
        <w:rPr>
          <w:rFonts w:cs="" w:ascii="Times new roman" w:hAnsi="Times new roman" w:cstheme="minorBidi"/>
          <w:i/>
          <w:iCs/>
          <w:highlight w:val="yellow"/>
        </w:rPr>
        <w:t>.</w:t>
      </w:r>
      <w:r>
        <w:rPr>
          <w:rFonts w:ascii="Times new roman" w:hAnsi="Times new roman"/>
        </w:rPr>
        <w:t xml:space="preserve"> </w:t>
      </w:r>
      <w:r>
        <w:rPr>
          <w:rFonts w:ascii="Times new roman" w:hAnsi="Times new roman"/>
          <w:highlight w:val="yellow"/>
        </w:rPr>
        <w:t>Similarly</w:t>
      </w:r>
      <w:r>
        <w:rPr>
          <w:rFonts w:cs="" w:ascii="Times new roman" w:hAnsi="Times new roman" w:cstheme="minorBidi"/>
          <w:highlight w:val="yellow"/>
        </w:rPr>
        <w:t xml:space="preserve">, we could not reject the hypothesis of constant prevalence by running the analyses on both sides of the hybrid scale separately, for both parasites. </w:t>
      </w:r>
      <w:r>
        <w:rPr>
          <w:rFonts w:ascii="Times new roman" w:hAnsi="Times new roman"/>
        </w:rPr>
        <w:t xml:space="preserve">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eastAsia="Cambria" w:cs="" w:ascii="Times new roman" w:hAnsi="Times new roman" w:cstheme="minorBidi" w:eastAsiaTheme="minorHAnsi"/>
          <w:b/>
          <w:bCs/>
          <w:highlight w:val="yellow"/>
        </w:rPr>
        <w:t>No evidence of hyper- or under-mortality of hybrids compared to parents</w:t>
      </w:r>
    </w:p>
    <w:p>
      <w:pPr>
        <w:pStyle w:val="Normal"/>
        <w:rPr/>
      </w:pPr>
      <w:r>
        <w:rPr>
          <w:rFonts w:cs="" w:ascii="Times new roman" w:hAnsi="Times new roman" w:cstheme="minorBidi"/>
          <w:b w:val="false"/>
          <w:bCs w:val="false"/>
          <w:highlight w:val="yellow"/>
        </w:rPr>
        <w:t>We tested the hybridization effect on body weight as proxy of age. Modelling the body weight  along the hybrid zone showed an effect of taxon (G-test of model allowing taxon differences vs. no taxon differences (H1 vs. H0); p-value = 0.017, N = 456) and no effect of sex (G-test of models allowing sex differences vs. no sex differences (both H2 vs. H0 (p-value = 0.057), and H3 vs. H1 (p-value = 0.079), N = 456)</w:t>
      </w:r>
      <w:bookmarkStart w:id="10" w:name="__DdeLink__1773_3215858634"/>
      <w:bookmarkEnd w:id="10"/>
      <w:r>
        <w:rPr>
          <w:rFonts w:cs="" w:ascii="Times new roman" w:hAnsi="Times new roman" w:cstheme="minorBidi"/>
          <w:b w:val="false"/>
          <w:bCs w:val="false"/>
          <w:highlight w:val="yellow"/>
        </w:rPr>
        <w:t xml:space="preserve">). More notably, the model allowing taxon difference did not show a statistically significant hybridization effect (G-test; p-value = 0.214, N = 456;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S6</w:t>
      </w:r>
      <w:r>
        <w:rPr>
          <w:rFonts w:cs="" w:ascii="Times new roman" w:hAnsi="Times new roman" w:cstheme="minorBidi"/>
          <w:b w:val="false"/>
          <w:bCs w:val="false"/>
          <w:highlight w:val="yellow"/>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1" w:name="__DdeLink__3503_2122412361"/>
      <w:r>
        <w:rPr>
          <w:rFonts w:cs="" w:ascii="Times new roman" w:hAnsi="Times new roman" w:cstheme="minorBidi"/>
          <w:b/>
          <w:bCs/>
          <w:highlight w:val="yellow"/>
        </w:rPr>
        <w:t>Supplementary Table S7</w:t>
      </w:r>
      <w:bookmarkEnd w:id="11"/>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cs="" w:ascii="Times new roman" w:hAnsi="Times new roman" w:cstheme="minorBidi"/>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w:t>
      </w:r>
      <w:r>
        <w:rPr>
          <w:rFonts w:cs="" w:ascii="Times new roman" w:hAnsi="Times new roman" w:cstheme="minorBidi"/>
          <w:highlight w:val="yellow"/>
        </w:rPr>
        <w:t xml:space="preserve"> Considering only the more prevalent </w:t>
      </w:r>
      <w:r>
        <w:rPr>
          <w:rFonts w:cs="" w:ascii="Times new roman" w:hAnsi="Times new roman" w:cstheme="minorBidi"/>
          <w:i/>
          <w:iCs/>
          <w:highlight w:val="yellow"/>
        </w:rPr>
        <w:t>Eimeria</w:t>
      </w:r>
      <w:r>
        <w:rPr>
          <w:rFonts w:cs="" w:ascii="Times new roman" w:hAnsi="Times new roman" w:cstheme="minorBidi"/>
          <w:highlight w:val="yellow"/>
        </w:rPr>
        <w:t xml:space="preserve"> species, </w:t>
      </w:r>
      <w:r>
        <w:rPr>
          <w:rFonts w:cs="" w:ascii="Times new roman" w:hAnsi="Times new roman" w:cstheme="minorBidi"/>
          <w:i/>
          <w:iCs/>
          <w:highlight w:val="yellow"/>
        </w:rPr>
        <w:t>E. ferrisi,</w:t>
      </w:r>
      <w:r>
        <w:rPr>
          <w:rFonts w:cs="" w:ascii="Times new roman" w:hAnsi="Times new roman" w:cstheme="minorBidi"/>
          <w:highlight w:val="yellow"/>
        </w:rPr>
        <w:t xml:space="preserve"> infected mice (N=44), we found similar results: no significant improvement of the model when differences between sexes and parental taxa were included and significantly higher likelihood of the model with hybridization effect than the model without it (G-test; p-value = 0.02, hybridization parameter = 0.73;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S5b</w:t>
      </w:r>
      <w:r>
        <w:rPr>
          <w:rFonts w:cs="" w:ascii="Times new roman" w:hAnsi="Times new roman" w:cstheme="minorBidi"/>
          <w:highlight w:val="yellow"/>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cs="" w:ascii="Times new roman" w:hAnsi="Times new roman" w:cstheme="minorBidi"/>
          <w:b/>
          <w:bCs/>
          <w:highlight w:val="yellow"/>
        </w:rPr>
        <w:t>Supplementary Table S7</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along the hybrid index, with the hybridization effect parameter alpha 0.91 (females) and 1.46 (males)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2" w:name="no-evidence-of-body-condition-difference"/>
      <w:bookmarkEnd w:id="12"/>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along the hybrid zone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4b</w:t>
      </w:r>
      <w:r>
        <w:rPr>
          <w:rFonts w:ascii="Times new roman" w:hAnsi="Times new roman"/>
        </w:rPr>
        <w:t xml:space="preserve">). The same was true for pinworm infected individuals (G-test; p-value = 0.44) or pinworm non-infected individuals (G-test; p-value = 0.96;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4c</w:t>
      </w:r>
      <w:r>
        <w:rPr>
          <w:rFonts w:ascii="Times new roman" w:hAnsi="Times new roman"/>
        </w:rPr>
        <w:t xml:space="preserve">). </w:t>
      </w:r>
    </w:p>
    <w:p>
      <w:pPr>
        <w:pStyle w:val="Normal"/>
        <w:rPr/>
      </w:pPr>
      <w:bookmarkStart w:id="13" w:name="discussion"/>
      <w:bookmarkEnd w:id="13"/>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w:t>
      </w:r>
      <w:r>
        <w:rPr>
          <w:rFonts w:cs="" w:ascii="Times new roman" w:hAnsi="Times new roman" w:cstheme="minorBidi"/>
          <w:highlight w:val="yellow"/>
        </w:rPr>
        <w:t xml:space="preserve">ecological </w:t>
      </w:r>
      <w:r>
        <w:rPr>
          <w:rFonts w:ascii="Times new roman" w:hAnsi="Times new roman"/>
        </w:rPr>
        <w:t>differences across the HMHZ, as we did not find the probability of infection to be similarly reduced in hybrid hosts,</w:t>
      </w:r>
      <w:r>
        <w:rPr>
          <w:rFonts w:cs="" w:ascii="Times new roman" w:hAnsi="Times new roman" w:cstheme="minorBidi"/>
          <w:highlight w:val="yellow"/>
        </w:rPr>
        <w:t xml:space="preserve"> and no overall increase or decrease or mortality towards the zone centre</w:t>
      </w:r>
      <w:r>
        <w:rPr>
          <w:rFonts w:ascii="Times new roman" w:hAnsi="Times new roman"/>
        </w:rPr>
        <w:t xml:space="preserve">. </w:t>
      </w:r>
    </w:p>
    <w:p>
      <w:pPr>
        <w:pStyle w:val="Normal"/>
        <w:rPr/>
      </w:pPr>
      <w:bookmarkStart w:id="14" w:name="docs-internal-guid-2c1fbd6a-7fff-7b99-ff"/>
      <w:bookmarkEnd w:id="1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House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sz w:val="24"/>
          <w:szCs w:val="24"/>
        </w:rPr>
        <w:t xml:space="preserve"> </w:t>
      </w:r>
      <w:r>
        <w:rPr>
          <w:rFonts w:ascii="Times new roman" w:hAnsi="Times new roman"/>
        </w:rPr>
        <w:t xml:space="preserve">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cs="" w:ascii="Times new roman" w:hAnsi="Times new roman" w:cstheme="minorBidi"/>
          <w:highlight w:val="yellow"/>
        </w:rPr>
        <w:t>To understand parasite processes in host hybrid zones, it is necessary to test different types for parasites. Our parasite models present differences that are likely to involve different resistance mechanisms in their hosts (but also different impact on host health and immune systems, with intracellular parasites triggering mainly Th1 vs. extracellular parasites triggering mainly Th2 response</w:t>
      </w:r>
      <w:r>
        <w:rPr>
          <w:rFonts w:cs="" w:ascii="Times new roman" w:hAnsi="Times new roman" w:cstheme="minorBidi"/>
          <w:color w:val="auto"/>
          <w:sz w:val="24"/>
          <w:szCs w:val="24"/>
          <w:highlight w:val="yellow"/>
        </w:rPr>
        <w:t>s (</w:t>
      </w:r>
      <w:r>
        <w:rPr>
          <w:rFonts w:cs="" w:ascii="Times new roman" w:hAnsi="Times new roman" w:cstheme="minorBidi"/>
          <w:b w:val="false"/>
          <w:i w:val="false"/>
          <w:caps w:val="false"/>
          <w:smallCaps w:val="false"/>
          <w:color w:val="auto"/>
          <w:spacing w:val="0"/>
          <w:sz w:val="24"/>
          <w:szCs w:val="24"/>
          <w:highlight w:val="yellow"/>
        </w:rPr>
        <w:t>Jankovic, Sher &amp; Yap, 2001; Maizels &amp; Holland, 1998)</w:t>
      </w:r>
      <w:r>
        <w:rPr>
          <w:rFonts w:cs="" w:ascii="Times new roman" w:hAnsi="Times new roman" w:cstheme="minorBidi"/>
          <w:color w:val="auto"/>
          <w:sz w:val="24"/>
          <w:szCs w:val="24"/>
          <w:highlight w:val="yellow"/>
        </w:rPr>
        <w:t>)</w:t>
      </w:r>
      <w:r>
        <w:rPr>
          <w:rFonts w:cs="" w:ascii="Times new roman" w:hAnsi="Times new roman" w:cstheme="minorBidi"/>
          <w:highlight w:val="yellow"/>
        </w:rPr>
        <w:t xml:space="preserve">. </w:t>
      </w:r>
      <w:r>
        <w:rPr>
          <w:rFonts w:ascii="Times new roman" w:hAnsi="Times new roman"/>
        </w:rPr>
        <w:t xml:space="preserve">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 of reduced parasite loads for previously investigated parasites, we also found reduced pinworms loads in hybrids of our novel transect of the HMHZ. </w:t>
      </w:r>
      <w:bookmarkStart w:id="15" w:name="docs-internal-guid-5a4dc4d4-7fff-2cd8-2d"/>
      <w:bookmarkEnd w:id="15"/>
      <w:r>
        <w:rPr>
          <w:rFonts w:ascii="Times new roman" w:hAnsi="Times new roman"/>
          <w:b w:val="false"/>
          <w:i w:val="false"/>
          <w:caps w:val="false"/>
          <w:smallCaps w:val="false"/>
          <w:strike w:val="false"/>
          <w:dstrike w:val="false"/>
          <w:color w:val="000000"/>
          <w:sz w:val="24"/>
          <w:szCs w:val="24"/>
          <w:highlight w:val="yellow"/>
          <w:u w:val="none"/>
          <w:effect w:val="none"/>
        </w:rPr>
        <w:t>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Differences could be expected, as these two studies involved different number of mice (statistical power) and took place in distant geographical locations of the HMHZ likely to present different ecological conditions. Nevertheless, the direction and strength of the hybridization effect were very similar in the two study areas. This similarity reinforces our confidence that reduced parasite load in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w:t>
      </w:r>
      <w:r>
        <w:rPr>
          <w:rFonts w:cs="" w:ascii="Times new roman" w:hAnsi="Times new roman" w:cstheme="minorBidi"/>
          <w:highlight w:val="yellow"/>
        </w:rPr>
        <w:t xml:space="preserve">parasite load </w:t>
      </w:r>
      <w:r>
        <w:rPr>
          <w:rFonts w:ascii="Times new roman" w:hAnsi="Times new roman"/>
        </w:rPr>
        <w:t>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w:t>
      </w:r>
      <w:r>
        <w:rPr>
          <w:rFonts w:cs="" w:ascii="Times new roman" w:hAnsi="Times new roman" w:cstheme="minorBidi"/>
          <w:highlight w:val="yellow"/>
        </w:rPr>
        <w:t xml:space="preserve">; </w:t>
      </w:r>
      <w:r>
        <w:rPr>
          <w:rFonts w:cs="" w:ascii="Times new roman" w:hAnsi="Times new roman" w:cstheme="minorBidi"/>
          <w:strike w:val="false"/>
          <w:dstrike w:val="false"/>
          <w:highlight w:val="yellow"/>
        </w:rPr>
        <w:t>Hakkarainen et al., 2007</w:t>
      </w:r>
      <w:r>
        <w:rPr>
          <w:rFonts w:ascii="Times new roman" w:hAnsi="Times new roman"/>
        </w:rPr>
        <w:t xml:space="preserve">).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w:t>
      </w:r>
      <w:r>
        <w:rPr>
          <w:rFonts w:cs="" w:ascii="Times new roman" w:hAnsi="Times new roman" w:cstheme="minorBidi"/>
          <w:highlight w:val="yellow"/>
        </w:rPr>
        <w:t xml:space="preserve">An experimental setup </w:t>
      </w:r>
      <w:r>
        <w:rPr>
          <w:rFonts w:eastAsia="Times New Roman" w:cs="Times New Roman" w:ascii="Times New Roman" w:hAnsi="Times New Roman"/>
          <w:highlight w:val="yellow"/>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6" w:name="references"/>
      <w:bookmarkEnd w:id="16"/>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Behnke, J. M. (1975). Aspiculuris tetraptera in wild </w:t>
      </w:r>
      <w:r>
        <w:rPr>
          <w:rFonts w:eastAsia="Cambria" w:cs="" w:ascii="times new roman" w:hAnsi="times new roman" w:cstheme="minorBidi" w:eastAsiaTheme="minorHAnsi"/>
          <w:b w:val="false"/>
          <w:i/>
          <w:iCs/>
          <w:caps w:val="false"/>
          <w:smallCaps w:val="false"/>
          <w:strike w:val="false"/>
          <w:dstrike w:val="false"/>
          <w:color w:val="181817"/>
          <w:spacing w:val="0"/>
          <w:sz w:val="24"/>
          <w:szCs w:val="24"/>
          <w:highlight w:val="yellow"/>
          <w:u w:val="none"/>
          <w:effect w:val="none"/>
        </w:rPr>
        <w:t>Mus musculus</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The prevalence of infection in male and female mice.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Journal of Helminthology,</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49</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(2), 85-90.</w:t>
        <w:tab/>
        <w:t xml:space="preserve"> doi:10.1017/S0022149X0002318X</w:t>
      </w:r>
    </w:p>
    <w:p>
      <w:pPr>
        <w:pStyle w:val="Normal"/>
        <w:widowControl/>
        <w:spacing w:before="0" w:after="202"/>
        <w:ind w:left="0" w:right="0" w:hanging="0"/>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Behnke, J. M.</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(1976). Aspiculuris tetraptera in wild </w:t>
      </w:r>
      <w:r>
        <w:rPr>
          <w:rFonts w:eastAsia="Cambria" w:cs="" w:ascii="times new roman" w:hAnsi="times new roman" w:cstheme="minorBidi" w:eastAsiaTheme="minorHAnsi"/>
          <w:b w:val="false"/>
          <w:i/>
          <w:iCs/>
          <w:caps w:val="false"/>
          <w:smallCaps w:val="false"/>
          <w:color w:val="181817"/>
          <w:spacing w:val="0"/>
          <w:sz w:val="24"/>
          <w:highlight w:val="yellow"/>
        </w:rPr>
        <w:t>Mus musculus</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Age resistance and acquired immunity. </w:t>
      </w:r>
      <w:r>
        <w:rPr>
          <w:rFonts w:eastAsia="Cambria" w:cs="" w:ascii="times new roman" w:hAnsi="times new roman" w:cstheme="minorBidi" w:eastAsiaTheme="minorHAnsi"/>
          <w:b w:val="false"/>
          <w:i w:val="false"/>
          <w:iCs w:val="false"/>
          <w:color w:val="181817"/>
          <w:spacing w:val="0"/>
          <w:sz w:val="24"/>
          <w:highlight w:val="yellow"/>
        </w:rPr>
        <w:t>Journal of Helminthology,</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 xml:space="preserve"> </w:t>
      </w:r>
      <w:r>
        <w:rPr>
          <w:rFonts w:eastAsia="Cambria" w:cs="" w:ascii="times new roman" w:hAnsi="times new roman" w:cstheme="minorBidi" w:eastAsiaTheme="minorHAnsi"/>
          <w:b w:val="false"/>
          <w:i w:val="false"/>
          <w:iCs w:val="false"/>
          <w:color w:val="181817"/>
          <w:spacing w:val="0"/>
          <w:sz w:val="24"/>
          <w:highlight w:val="yellow"/>
        </w:rPr>
        <w:t>50</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(3</w:t>
      </w:r>
      <w:r>
        <w:rPr>
          <w:rFonts w:eastAsia="Cambria" w:cs="" w:ascii="times new roman" w:hAnsi="times new roman" w:cstheme="minorBidi" w:eastAsiaTheme="minorHAnsi"/>
          <w:b w:val="false"/>
          <w:i w:val="false"/>
          <w:caps w:val="false"/>
          <w:smallCaps w:val="false"/>
          <w:color w:val="181817"/>
          <w:spacing w:val="0"/>
          <w:sz w:val="24"/>
          <w:highlight w:val="yellow"/>
        </w:rPr>
        <w:t>),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xml:space="preserve">: A comparison of two transects. </w:t>
      </w:r>
      <w:r>
        <w:rPr>
          <w:rFonts w:ascii="Times new roman" w:hAnsi="Times new roman"/>
          <w:i w:val="false"/>
          <w:iCs w:val="false"/>
        </w:rPr>
        <w:t xml:space="preserve">Biological Journal of the Linnean Society, </w:t>
      </w:r>
      <w:r>
        <w:rPr>
          <w:rFonts w:ascii="Times new roman" w:hAnsi="Times new roman"/>
        </w:rPr>
        <w:t>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w:t>
        <w:tab/>
        <w:t xml:space="preserve"> https://doi.org/10.1146/annurev.ecolsys.30.1.565</w:t>
      </w:r>
    </w:p>
    <w:p>
      <w:pPr>
        <w:pStyle w:val="Normal"/>
        <w:rPr/>
      </w:pPr>
      <w:r>
        <w:rPr>
          <w:rFonts w:eastAsia="Cambria" w:cs="" w:ascii="Times new roman" w:hAnsi="Times new roman" w:cstheme="minorBidi" w:eastAsiaTheme="minorHAnsi"/>
          <w:strike/>
          <w:highlight w:val="yellow"/>
        </w:rPr>
        <w:t xml:space="preserve">Fuller, C. A., &amp; Blaustein, A. R. (1996). Effects of the parasite </w:t>
      </w:r>
      <w:r>
        <w:rPr>
          <w:rFonts w:eastAsia="Cambria" w:cs="" w:ascii="Times new roman" w:hAnsi="Times new roman" w:cstheme="minorBidi" w:eastAsiaTheme="minorHAnsi"/>
          <w:i/>
          <w:strike/>
          <w:highlight w:val="yellow"/>
        </w:rPr>
        <w:t>Eimeria arizonensis</w:t>
      </w:r>
      <w:r>
        <w:rPr>
          <w:rFonts w:eastAsia="Cambria" w:cs="" w:ascii="Times new roman" w:hAnsi="Times new roman" w:cstheme="minorBidi" w:eastAsiaTheme="minorHAnsi"/>
          <w:strike/>
          <w:highlight w:val="yellow"/>
        </w:rPr>
        <w:t xml:space="preserve"> on survival of deer mice (</w:t>
      </w:r>
      <w:r>
        <w:rPr>
          <w:rFonts w:eastAsia="Cambria" w:cs="" w:ascii="Times new roman" w:hAnsi="Times new roman" w:cstheme="minorBidi" w:eastAsiaTheme="minorHAnsi"/>
          <w:i/>
          <w:strike/>
          <w:highlight w:val="yellow"/>
        </w:rPr>
        <w:t>Peromyscus maniculatus</w:t>
      </w:r>
      <w:r>
        <w:rPr>
          <w:rFonts w:eastAsia="Cambria" w:cs="" w:ascii="Times new roman" w:hAnsi="Times new roman" w:cstheme="minorBidi" w:eastAsiaTheme="minorHAnsi"/>
          <w:strike/>
          <w:highlight w:val="yellow"/>
        </w:rPr>
        <w:t>). Ecology, 77, 2196–2202. https://doi.org/10.2307/2265712</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rFonts w:eastAsia="Cambria" w:cs="" w:cstheme="minorBidi" w:eastAsiaTheme="minorHAnsi"/>
          <w:strike w:val="false"/>
          <w:dstrike w:val="false"/>
        </w:rPr>
      </w:pPr>
      <w:r>
        <w:rPr>
          <w:rFonts w:eastAsia="Cambria" w:cs="" w:ascii="Times new roman" w:hAnsi="Times new roman" w:cstheme="minorBidi" w:eastAsiaTheme="minorHAnsi"/>
          <w:strike w:val="false"/>
          <w:dstrike w:val="false"/>
          <w:u w:val="none"/>
        </w:rPr>
        <w:t xml:space="preserve">Hakkarainen, H., Huhta, E., Koskela, E., Mappes, T., Soveri, T., &amp; Suorsa, P. (2007). </w:t>
      </w:r>
      <w:r>
        <w:rPr>
          <w:rFonts w:eastAsia="Cambria" w:cs="" w:ascii="Times new roman" w:hAnsi="Times new roman" w:cstheme="minorBidi" w:eastAsiaTheme="minorHAnsi"/>
          <w:i/>
          <w:strike w:val="false"/>
          <w:dstrike w:val="false"/>
          <w:u w:val="none"/>
        </w:rPr>
        <w:t>Eimeria</w:t>
      </w:r>
      <w:r>
        <w:rPr>
          <w:rFonts w:eastAsia="Cambria" w:cs="" w:ascii="Times new roman" w:hAnsi="Times new roman" w:cstheme="minorBidi" w:eastAsiaTheme="minorHAnsi"/>
          <w:strike w:val="false"/>
          <w:dstrike w:val="false"/>
          <w:u w:val="none"/>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 xml:space="preserve">Hewitt, G. M. (1975). A sex-chromosome hybrid zone in the grasshopper </w:t>
      </w:r>
      <w:r>
        <w:rPr>
          <w:rFonts w:ascii="Times new roman" w:hAnsi="Times new roman"/>
          <w:i/>
        </w:rPr>
        <w:t>Podisma pedestris</w:t>
      </w:r>
      <w:r>
        <w:rPr>
          <w:rFonts w:ascii="Times new roman" w:hAnsi="Times new roman"/>
        </w:rPr>
        <w:t xml:space="preserve"> (Orthoptera: Acrididae). Heredity, 35, 375–387. </w:t>
      </w:r>
      <w:hyperlink r:id="rId4">
        <w:r>
          <w:rPr>
            <w:rStyle w:val="InternetLink"/>
            <w:rFonts w:ascii="Times new roman" w:hAnsi="Times new roman"/>
          </w:rPr>
          <w:t>https://doi.org/10.1038/hdy.1975.108</w:t>
        </w:r>
      </w:hyperlink>
    </w:p>
    <w:p>
      <w:pPr>
        <w:pStyle w:val="Normal"/>
        <w:widowControl/>
        <w:ind w:left="0" w:right="0" w:hanging="0"/>
        <w:jc w:val="left"/>
        <w:rPr>
          <w:rFonts w:ascii="sans-serif" w:hAnsi="sans-serif"/>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144–161. </w:t>
      </w:r>
      <w:hyperlink r:id="rId5">
        <w:r>
          <w:rPr>
            <w:rStyle w:val="InternetLink"/>
            <w:rFonts w:ascii="Times new roman" w:hAnsi="Times new roman"/>
          </w:rPr>
          <w:t>https://doi.org/10.32614/RJ-2013-014</w:t>
        </w:r>
      </w:hyperlink>
    </w:p>
    <w:p>
      <w:pPr>
        <w:pStyle w:val="Normal"/>
        <w:rPr>
          <w:rFonts w:ascii="Times new roman" w:hAnsi="Times new roman" w:cs="" w:cstheme="minorBidi"/>
          <w:i w:val="false"/>
          <w:i w:val="false"/>
          <w:iCs w:val="false"/>
          <w:color w:val="00000A"/>
          <w:highlight w:val="yellow"/>
        </w:rPr>
      </w:pPr>
      <w:r>
        <w:rPr>
          <w:rFonts w:eastAsia="Cambria" w:cs="" w:ascii="Times new roman" w:hAnsi="Times new roman" w:cstheme="minorBidi" w:eastAsiaTheme="minorHAnsi"/>
          <w:b w:val="false"/>
          <w:i w:val="false"/>
          <w:iCs w:val="false"/>
          <w:caps w:val="false"/>
          <w:smallCaps w:val="false"/>
          <w:color w:val="00000A"/>
          <w:spacing w:val="0"/>
          <w:sz w:val="24"/>
          <w:highlight w:val="yellow"/>
        </w:rPr>
        <w:t>Krämer A., Kretzschmar, M., &amp; Krickeberg, K. (2010). </w:t>
      </w:r>
      <w:r>
        <w:rPr>
          <w:rFonts w:eastAsia="Cambria" w:cs="" w:ascii="Times new roman" w:hAnsi="Times new roman" w:cstheme="minorBidi" w:eastAsiaTheme="minorHAnsi"/>
          <w:b w:val="false"/>
          <w:i w:val="false"/>
          <w:iCs w:val="false"/>
          <w:color w:val="00000A"/>
          <w:spacing w:val="0"/>
          <w:sz w:val="24"/>
          <w:highlight w:val="yellow"/>
        </w:rPr>
        <w:t>Modern infectious disease epidemiology: concepts, methods, mathematical models, and public health</w:t>
      </w:r>
      <w:r>
        <w:rPr>
          <w:rFonts w:eastAsia="Cambria" w:cs="" w:ascii="Times new roman" w:hAnsi="Times new roman" w:cstheme="minorBidi" w:eastAsiaTheme="minorHAnsi"/>
          <w:b w:val="false"/>
          <w:i w:val="false"/>
          <w:iCs w:val="false"/>
          <w:caps w:val="false"/>
          <w:smallCaps w:val="false"/>
          <w:color w:val="00000A"/>
          <w:spacing w:val="0"/>
          <w:sz w:val="24"/>
          <w:highlight w:val="yellow"/>
        </w:rPr>
        <w:t>. New York, NY: Springer.</w:t>
      </w:r>
    </w:p>
    <w:p>
      <w:pPr>
        <w:pStyle w:val="Normal"/>
        <w:widowControl/>
        <w:ind w:left="0" w:right="0" w:hanging="0"/>
        <w:rPr/>
      </w:pP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Kriska, T. (1993). Parasitic helminths of house mouse (</w:t>
      </w:r>
      <w:r>
        <w:rPr>
          <w:rFonts w:eastAsia="Cambria" w:cs="" w:ascii="Times new roman" w:hAnsi="Times new roman" w:cstheme="minorBidi" w:eastAsiaTheme="minorHAnsi"/>
          <w:b w:val="false"/>
          <w:bCs w:val="false"/>
          <w:i/>
          <w:iCs/>
          <w:caps w:val="false"/>
          <w:smallCaps w:val="false"/>
          <w:color w:val="000000"/>
          <w:spacing w:val="0"/>
          <w:sz w:val="24"/>
          <w:szCs w:val="24"/>
          <w:highlight w:val="yellow"/>
        </w:rPr>
        <w:t>Mus musculus Linnaeus</w:t>
      </w: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sz w:val="24"/>
          <w:szCs w:val="24"/>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sz w:val="24"/>
            <w:szCs w:val="24"/>
          </w:rPr>
          <w:t>https://doi.org/10.1111/j.1558-5646.2011.01228.x</w:t>
        </w:r>
      </w:hyperlink>
    </w:p>
    <w:p>
      <w:pPr>
        <w:pStyle w:val="Normal"/>
        <w:widowControl/>
        <w:ind w:left="0" w:right="0" w:hanging="0"/>
        <w:jc w:val="both"/>
        <w:rPr>
          <w:rFonts w:ascii="sans-serif" w:hAnsi="sans-serif" w:cs="" w:cstheme="minorBidi"/>
          <w:b w:val="false"/>
          <w:b w:val="false"/>
          <w:i w:val="false"/>
          <w:i w:val="false"/>
          <w:caps w:val="false"/>
          <w:smallCaps w:val="false"/>
          <w:color w:val="auto"/>
          <w:spacing w:val="0"/>
          <w:sz w:val="24"/>
          <w:szCs w:val="24"/>
          <w:highlight w:val="yellow"/>
        </w:rPr>
      </w:pPr>
      <w:r>
        <w:rPr>
          <w:rFonts w:eastAsia="Cambria" w:cs="" w:ascii="Times new roman" w:hAnsi="Times new roman" w:cstheme="minorBidi" w:eastAsiaTheme="minorHAnsi"/>
          <w:b w:val="false"/>
          <w:i w:val="false"/>
          <w:caps w:val="false"/>
          <w:smallCaps w:val="false"/>
          <w:color w:val="auto"/>
          <w:spacing w:val="0"/>
          <w:sz w:val="24"/>
          <w:szCs w:val="24"/>
          <w:highlight w:val="yellow"/>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Ressouche, L., Ganem, G., Derothe, J. M., Searle, J., Renaud, F. &amp; Moulia, C. (1998). Host chromosomal evolution and parasites of the house mouse </w:t>
      </w:r>
      <w:r>
        <w:rPr>
          <w:rFonts w:cs="" w:ascii="Times new roman" w:hAnsi="Times new roman" w:cstheme="minorBidi"/>
          <w:b w:val="false"/>
          <w:i/>
          <w:iCs/>
          <w:caps w:val="false"/>
          <w:smallCaps w:val="false"/>
          <w:strike w:val="false"/>
          <w:dstrike w:val="false"/>
          <w:color w:val="000000"/>
          <w:spacing w:val="0"/>
          <w:sz w:val="24"/>
          <w:szCs w:val="24"/>
          <w:highlight w:val="yellow"/>
          <w:u w:val="none"/>
          <w:effect w:val="none"/>
        </w:rPr>
        <w:t>Mus musculus domesticus</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cs="" w:ascii="Times new roman" w:hAnsi="Times new roman" w:cstheme="minorBidi"/>
          <w:b w:val="false"/>
          <w:i w:val="false"/>
          <w:caps w:val="false"/>
          <w:smallCaps w:val="false"/>
          <w:color w:val="00000A"/>
          <w:spacing w:val="0"/>
          <w:sz w:val="24"/>
          <w:szCs w:val="24"/>
          <w:highlight w:val="yellow"/>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7" w:name="tables"/>
      <w:bookmarkEnd w:id="17"/>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Pr>
      <w:tblGrid>
        <w:gridCol w:w="2274"/>
        <w:gridCol w:w="1010"/>
        <w:gridCol w:w="1795"/>
        <w:gridCol w:w="1693"/>
        <w:gridCol w:w="1693"/>
        <w:gridCol w:w="1693"/>
        <w:gridCol w:w="1693"/>
        <w:gridCol w:w="1691"/>
      </w:tblGrid>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i/>
                <w:iCs/>
                <w:sz w:val="24"/>
                <w:szCs w:val="24"/>
              </w:rPr>
              <w:t>Eimeria</w:t>
            </w:r>
            <w:r>
              <w:rPr>
                <w:rFonts w:ascii="Times new roman" w:hAnsi="Times new roman"/>
                <w:b/>
                <w:sz w:val="24"/>
                <w:szCs w:val="24"/>
              </w:rPr>
              <w:t xml:space="preserve">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3386" w:type="dxa"/>
            <w:gridSpan w:val="2"/>
            <w:tcBorders>
              <w:top w:val="single" w:sz="2" w:space="0" w:color="000001"/>
              <w:bottom w:val="single" w:sz="2" w:space="0" w:color="000001"/>
              <w:insideH w:val="single" w:sz="2" w:space="0" w:color="000001"/>
            </w:tcBorders>
            <w:shd w:fill="EEEEEE" w:val="clear"/>
          </w:tcPr>
          <w:p>
            <w:pPr>
              <w:pStyle w:val="TableContents"/>
              <w:spacing w:lineRule="auto" w:line="480" w:before="200" w:after="200"/>
              <w:jc w:val="center"/>
              <w:rPr/>
            </w:pPr>
            <w:r>
              <w:rPr>
                <w:rFonts w:ascii="Times new roman" w:hAnsi="Times new roman"/>
                <w:sz w:val="24"/>
                <w:szCs w:val="24"/>
              </w:rPr>
              <w:t xml:space="preserve">Load in </w:t>
            </w:r>
            <w:r>
              <w:rPr>
                <w:rFonts w:eastAsia="Liberation Serif" w:cs="Liberation Serif" w:ascii="Times new roman" w:hAnsi="Times new roman"/>
                <w:color w:val="000000"/>
                <w:sz w:val="24"/>
                <w:szCs w:val="24"/>
              </w:rPr>
              <w:t xml:space="preserve">ΔCt for both parental subspecies </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Shape</w:t>
            </w:r>
          </w:p>
        </w:tc>
        <w:tc>
          <w:tcPr>
            <w:tcW w:w="3384" w:type="dxa"/>
            <w:gridSpan w:val="2"/>
            <w:vMerge w:val="restart"/>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TableContents"/>
              <w:spacing w:before="200" w:after="200"/>
              <w:jc w:val="center"/>
              <w:rPr>
                <w:rFonts w:ascii="Times new roman" w:hAnsi="Times new roman"/>
                <w:sz w:val="24"/>
                <w:szCs w:val="24"/>
              </w:rPr>
            </w:pPr>
            <w:r>
              <w:rPr>
                <w:rFonts w:ascii="Times new roman" w:hAnsi="Times new roman"/>
                <w:sz w:val="24"/>
                <w:szCs w:val="24"/>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ascii="Times new roman" w:hAnsi="Times new roman"/>
                <w:sz w:val="24"/>
                <w:szCs w:val="24"/>
              </w:rPr>
              <w:t>present study</w:t>
            </w:r>
            <w:r>
              <w:rPr>
                <w:rFonts w:cs="" w:ascii="Times new roman" w:hAnsi="Times new roman" w:cstheme="minorBidi"/>
                <w:sz w:val="24"/>
                <w:szCs w:val="24"/>
                <w:highlight w:val="yellow"/>
              </w:rPr>
              <w:t xml:space="preserve">,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w:t>
            </w:r>
            <w:r>
              <w:rPr>
                <w:rFonts w:eastAsia="Cambria" w:cs="" w:ascii="Times new roman" w:hAnsi="Times new roman" w:cstheme="minorBidi" w:eastAsiaTheme="minorHAnsi"/>
                <w:sz w:val="24"/>
                <w:szCs w:val="24"/>
                <w:highlight w:val="yellow"/>
              </w:rPr>
              <w:t xml:space="preserve"> sp.</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cs="" w:ascii="Times new roman" w:hAnsi="Times new roman" w:cstheme="minorBidi"/>
                <w:sz w:val="24"/>
                <w:szCs w:val="24"/>
                <w:highlight w:val="yellow"/>
              </w:rPr>
              <w:t xml:space="preserve">present study,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 ferrisi</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sz w:val="24"/>
                <w:szCs w:val="24"/>
              </w:rPr>
              <w:t>Pinworm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Mmm</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Mmm</w:t>
            </w:r>
          </w:p>
        </w:tc>
        <w:tc>
          <w:tcPr>
            <w:tcW w:w="1691"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Z parameter</w:t>
            </w:r>
          </w:p>
        </w:tc>
      </w:tr>
      <w:tr>
        <w:trPr/>
        <w:tc>
          <w:tcPr>
            <w:tcW w:w="2274" w:type="dxa"/>
            <w:tcBorders>
              <w:top w:val="single" w:sz="2" w:space="0" w:color="000001"/>
              <w:bottom w:val="single" w:sz="2" w:space="0" w:color="000001"/>
              <w:insideH w:val="single" w:sz="2" w:space="0" w:color="000001"/>
            </w:tcBorders>
            <w:shd w:fill="FFFFFF" w:val="clear"/>
          </w:tcPr>
          <w:p>
            <w:pPr>
              <w:pStyle w:val="Normal"/>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Normal"/>
              <w:bidi w:val="0"/>
              <w:spacing w:before="200" w:after="200"/>
              <w:jc w:val="center"/>
              <w:textAlignment w:val="center"/>
              <w:rPr/>
            </w:pPr>
            <w:r>
              <w:rPr>
                <w:rFonts w:ascii="Times new roman" w:hAnsi="Times new roman"/>
                <w:sz w:val="24"/>
                <w:szCs w:val="24"/>
              </w:rPr>
              <w:t>present study</w:t>
            </w:r>
          </w:p>
        </w:tc>
        <w:tc>
          <w:tcPr>
            <w:tcW w:w="1010" w:type="dxa"/>
            <w:tcBorders>
              <w:top w:val="single" w:sz="2" w:space="0" w:color="000001"/>
              <w:bottom w:val="single" w:sz="2" w:space="0" w:color="000001"/>
              <w:insideH w:val="single" w:sz="2" w:space="0" w:color="000001"/>
            </w:tcBorders>
            <w:shd w:fill="FFFFFF" w:val="clear"/>
          </w:tcPr>
          <w:p>
            <w:pPr>
              <w:pStyle w:val="TableContents"/>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TableContents"/>
              <w:bidi w:val="0"/>
              <w:spacing w:before="200" w:after="200"/>
              <w:jc w:val="center"/>
              <w:textAlignment w:val="center"/>
              <w:rPr/>
            </w:pPr>
            <w:r>
              <w:rPr>
                <w:rFonts w:ascii="Times new roman" w:hAnsi="Times new roman"/>
                <w:sz w:val="24"/>
                <w:szCs w:val="24"/>
              </w:rPr>
              <w:t>H3</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0.91     (0.04)</w:t>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1.46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35.57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30.38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68.67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51.86</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1.45</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2.10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2.00</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1.33</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-1.04</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-1.23</w:t>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before="200" w:after="200"/>
              <w:jc w:val="center"/>
              <w:rPr/>
            </w:pPr>
            <w:r>
              <w:rPr>
                <w:rFonts w:ascii="Times new roman" w:hAnsi="Times new roman"/>
                <w:sz w:val="24"/>
                <w:szCs w:val="24"/>
              </w:rPr>
              <w:t>present study (data from Baird et al. 2012)</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H1</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1.21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94.37</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46.81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1.88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1.34</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8" w:name="figure-legends"/>
      <w:bookmarkEnd w:id="18"/>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w:t>
      </w:r>
      <w:r>
        <w:rPr>
          <w:rFonts w:cs="" w:ascii="Times new roman" w:hAnsi="Times new roman" w:cstheme="minorBidi"/>
          <w:highlight w:val="yellow"/>
        </w:rPr>
        <w:t>point color indicates mice genotype, on a gradient ranging from blue (pure Mmd) to red (pure Mmm); increasing number of mice sampled at one locality is displayed as decrease in transparency).</w:t>
      </w:r>
      <w:r>
        <w:rPr>
          <w:rFonts w:ascii="Times new roman" w:hAnsi="Times new roman"/>
        </w:rPr>
        <w:t xml:space="preserve"> The predicted probability of infection does not differ in more admixed mice (b) for males (green) and females (orange)(</w:t>
      </w:r>
      <w:bookmarkStart w:id="19" w:name="docs-internal-guid-f56c7d2b-7fff-0977-1d"/>
      <w:bookmarkEnd w:id="19"/>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w:t>
      </w:r>
      <w:r>
        <w:rPr>
          <w:rFonts w:ascii="Times new roman" w:hAnsi="Times new roman"/>
          <w:i/>
        </w:rPr>
        <w:t>Eimeria</w:t>
      </w:r>
      <w:r>
        <w:rPr>
          <w:rFonts w:ascii="Times new roman" w:hAnsi="Times new roman"/>
        </w:rPr>
        <w:t xml:space="preserve">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w:t>
      </w:r>
      <w:r>
        <w:rPr>
          <w:rFonts w:cs="" w:ascii="Times new roman" w:hAnsi="Times new roman" w:cstheme="minorBidi"/>
          <w:highlight w:val="yellow"/>
        </w:rPr>
        <w:t>point color indicates mice genotype, on a gradient ranging from blue (pure Mmd) to red (pure Mmm); increased number of mice sampled at one point displayed as decrease in transparency)</w:t>
      </w:r>
      <w:r>
        <w:rPr>
          <w:rFonts w:ascii="Times new roman" w:hAnsi="Times new roman"/>
        </w:rPr>
        <w:t>. The predicted probability of infection does not differ in more admixed mice (b) for males (green) and females (orange)(</w:t>
      </w:r>
      <w:bookmarkStart w:id="20" w:name="docs-internal-guid-f56c7d2b-7fff-0977-1d"/>
      <w:bookmarkEnd w:id="20"/>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Pinworm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name w:val="ListLabel 3"/>
    <w:qFormat/>
    <w:rPr>
      <w:rFonts w:ascii="Times new roman" w:hAnsi="Times new roman"/>
    </w:rPr>
  </w:style>
  <w:style w:type="character" w:styleId="ListLabel4">
    <w:name w:val="ListLabel 4"/>
    <w:qFormat/>
    <w:rPr>
      <w:rFonts w:ascii="Times new roman" w:hAnsi="Times new roman"/>
    </w:rPr>
  </w:style>
  <w:style w:type="character" w:styleId="ListLabel5">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name w:val="ListLabel 6"/>
    <w:qFormat/>
    <w:rPr>
      <w:rFonts w:ascii="Times new roman" w:hAnsi="Times new roman"/>
    </w:rPr>
  </w:style>
  <w:style w:type="character" w:styleId="ListLabel7">
    <w:name w:val="ListLabel 7"/>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8">
    <w:name w:val="ListLabel 8"/>
    <w:qFormat/>
    <w:rPr>
      <w:rFonts w:ascii="Times new roman" w:hAnsi="Times new roman"/>
    </w:rPr>
  </w:style>
  <w:style w:type="character" w:styleId="ListLabel9">
    <w:name w:val="ListLabel 9"/>
    <w:qFormat/>
    <w:rPr>
      <w:rFonts w:ascii="Times new roman" w:hAnsi="Times new roman"/>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bidi w:val="0"/>
      <w:jc w:val="left"/>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Application>LibreOffice/6.1.5.2$Linux_X86_64 LibreOffice_project/10$Build-2</Application>
  <Pages>43</Pages>
  <Words>9979</Words>
  <Characters>57213</Characters>
  <CharactersWithSpaces>67031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2019-07-16T07:22:00Z</dcterms:created>
  <dc:creator/>
  <dc:description/>
  <dc:language>en-US</dc:language>
  <cp:lastModifiedBy/>
  <dcterms:modified xsi:type="dcterms:W3CDTF">2019-10-03T11:17:59Z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