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styles.xml" ContentType="application/vnd.openxmlformats-officedocument.wordprocessingml.styles+xml"/>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b/>
          <w:bCs/>
        </w:rPr>
        <w:t xml:space="preserve">Intensity of infection with intracellular </w:t>
      </w:r>
      <w:r>
        <w:rPr>
          <w:rFonts w:ascii="Times new roman" w:hAnsi="Times new roman"/>
          <w:b/>
          <w:bCs/>
          <w:i/>
        </w:rPr>
        <w:t>Eimeria</w:t>
      </w:r>
      <w:r>
        <w:rPr>
          <w:rFonts w:ascii="Times new roman" w:hAnsi="Times new roman"/>
          <w:b/>
          <w:bCs/>
        </w:rPr>
        <w:t xml:space="preserve"> spp. and pinworms is reduced in hybrid mice compared to parental subspecies</w:t>
      </w:r>
    </w:p>
    <w:p>
      <w:pPr>
        <w:pStyle w:val="Normal"/>
        <w:rPr/>
      </w:pPr>
      <w:r>
        <w:rPr>
          <w:rFonts w:ascii="Times new roman" w:hAnsi="Times new roman"/>
          <w:b/>
          <w:bCs/>
        </w:rPr>
        <w:t>Abstract</w:t>
      </w:r>
    </w:p>
    <w:p>
      <w:pPr>
        <w:pStyle w:val="Normal"/>
        <w:rPr/>
      </w:pPr>
      <w:r>
        <w:rPr>
          <w:rFonts w:eastAsia="Liberation Sans" w:cs="" w:ascii="Times new roman" w:hAnsi="Times new roman" w:cstheme="minorBidi"/>
          <w:color w:val="00000A"/>
          <w:sz w:val="24"/>
          <w:szCs w:val="24"/>
          <w:highlight w:val="yellow"/>
        </w:rPr>
        <w:t xml:space="preserve">Animal systems offering a range of hybrid genomes between two parental species </w:t>
      </w:r>
      <w:r>
        <w:rPr>
          <w:rFonts w:eastAsia="Liberation Sans" w:cs="" w:ascii="Times new roman" w:hAnsi="Times new roman" w:cstheme="minorBidi"/>
          <w:color w:val="00000A"/>
          <w:sz w:val="24"/>
          <w:szCs w:val="24"/>
          <w:highlight w:val="yellow"/>
        </w:rPr>
        <w:t>provide the</w:t>
      </w:r>
      <w:r>
        <w:rPr>
          <w:rFonts w:eastAsia="Liberation Sans" w:cs="" w:ascii="Times new roman" w:hAnsi="Times new roman" w:cstheme="minorBidi"/>
          <w:color w:val="00000A"/>
          <w:sz w:val="24"/>
          <w:szCs w:val="24"/>
          <w:highlight w:val="yellow"/>
        </w:rPr>
        <w:t xml:space="preserve"> opportunity to study the control of parasite burden by their host (resistance). In the </w:t>
      </w:r>
      <w:r>
        <w:rPr>
          <w:rFonts w:eastAsia="Liberation Sans" w:cs="Liberation Sans" w:ascii="Times new roman" w:hAnsi="Times new roman"/>
          <w:color w:val="000000"/>
          <w:sz w:val="24"/>
          <w:szCs w:val="24"/>
          <w:highlight w:val="yellow"/>
        </w:rPr>
        <w:t>European House Mouse hybrid zone, the longstanding impression is that hybrid mice are more highly parasitized and less fit than parentals persists despite the findings of recent studies.</w:t>
      </w:r>
      <w:r>
        <w:rPr>
          <w:rFonts w:eastAsia="Liberation Sans" w:cs="Liberation Sans" w:ascii="Times new roman" w:hAnsi="Times new roman"/>
          <w:color w:val="000000"/>
        </w:rPr>
        <w:t xml:space="preserve"> Working across a novel transect we assessed</w:t>
      </w:r>
      <w:r>
        <w:rPr>
          <w:rFonts w:eastAsia="Liberation Sans" w:cs="Liberation Sans" w:ascii="Times new roman" w:hAnsi="Times new roman"/>
          <w:color w:val="000000"/>
          <w:highlight w:val="yellow"/>
        </w:rPr>
        <w:t xml:space="preserve"> infections by intracellular protozoans, </w:t>
      </w:r>
      <w:r>
        <w:rPr>
          <w:rFonts w:eastAsia="Liberation Sans" w:cs="Liberation Sans" w:ascii="Times new roman" w:hAnsi="Times new roman"/>
          <w:i/>
          <w:color w:val="000000"/>
          <w:highlight w:val="yellow"/>
        </w:rPr>
        <w:t>Eimeria spp.</w:t>
      </w:r>
      <w:r>
        <w:rPr>
          <w:rFonts w:eastAsia="Liberation Sans" w:cs="Liberation Sans" w:ascii="Times new roman" w:hAnsi="Times new roman"/>
          <w:color w:val="000000"/>
          <w:highlight w:val="yellow"/>
        </w:rPr>
        <w:t xml:space="preserve">, and infections by extracellular macroparasites, pinworms. </w:t>
      </w:r>
      <w:r>
        <w:rPr>
          <w:rFonts w:eastAsia="Liberation Sans" w:cs="Liberation Sans" w:ascii="Times new roman" w:hAnsi="Times new roman"/>
          <w:color w:val="000000"/>
        </w:rPr>
        <w:t xml:space="preserve">For </w:t>
      </w:r>
      <w:r>
        <w:rPr>
          <w:rFonts w:eastAsia="Liberation Sans" w:cs="Liberation Sans" w:ascii="Times new roman" w:hAnsi="Times new roman"/>
          <w:i/>
          <w:color w:val="000000"/>
        </w:rPr>
        <w:t>Eimeria</w:t>
      </w:r>
      <w:r>
        <w:rPr>
          <w:rFonts w:eastAsia="Liberation Sans" w:cs="Liberation Sans" w:ascii="Times new roman" w:hAnsi="Times new roman"/>
          <w:color w:val="000000"/>
        </w:rPr>
        <w:t xml:space="preserve"> we found lower intensities in hybrid hosts than in parental mice but no evidence of lowered probability of infection</w:t>
      </w:r>
      <w:r>
        <w:rPr>
          <w:rFonts w:eastAsia="Liberation Sans" w:cs="Liberation Sans" w:ascii="Times new roman" w:hAnsi="Times new roman"/>
          <w:color w:val="000000"/>
          <w:highlight w:val="yellow"/>
        </w:rPr>
        <w:t xml:space="preserve"> or increased mortality</w:t>
      </w:r>
      <w:r>
        <w:rPr>
          <w:rFonts w:eastAsia="Liberation Sans" w:cs="Liberation Sans" w:ascii="Times new roman" w:hAnsi="Times new roman"/>
          <w:color w:val="000000"/>
        </w:rPr>
        <w:t xml:space="preserve"> in the centre of the hybrid zone. This means ecological factors are very unlikely to be responsible for the reduced load of infected hybrids. Focusing on parasite intensity (load in infected hosts) we also corroborated reduced pinworm loads reported for hybrid mice in previous studies. </w:t>
      </w:r>
      <w:r>
        <w:rPr>
          <w:rFonts w:eastAsia="Liberation Sans" w:cs="Liberation Sans" w:ascii="Times new roman" w:hAnsi="Times new roman"/>
        </w:rPr>
        <w:t xml:space="preserve">We conclude that intensity of diverse parasites, including the previously unstudied </w:t>
      </w:r>
      <w:r>
        <w:rPr>
          <w:rFonts w:eastAsia="Liberation Sans" w:cs="Liberation Sans" w:ascii="Times new roman" w:hAnsi="Times new roman"/>
          <w:i/>
          <w:iCs/>
        </w:rPr>
        <w:t>Eimeria</w:t>
      </w:r>
      <w:r>
        <w:rPr>
          <w:rFonts w:eastAsia="Liberation Sans" w:cs="Liberation Sans" w:ascii="Times new roman" w:hAnsi="Times new roman"/>
        </w:rPr>
        <w:t>, is reduced in hybrid mice compared to parental subspecies. We suggest caution in extrapolating this to differences in hybrid host fitness in the absence of, for example, evidence for a link between parasitemia and health.</w:t>
      </w:r>
    </w:p>
    <w:p>
      <w:pPr>
        <w:pStyle w:val="Normal"/>
        <w:spacing w:lineRule="auto" w:line="480"/>
        <w:rPr/>
      </w:pPr>
      <w:r>
        <w:rPr>
          <w:rFonts w:eastAsia="Arial" w:cs="Arial" w:ascii="Times new roman" w:hAnsi="Times new roman"/>
          <w:b/>
          <w:bCs/>
          <w:color w:val="000000"/>
        </w:rPr>
        <w:t>Keywords: parasites, hybridization, resistance, eimeria</w:t>
      </w:r>
      <w:r>
        <w:br w:type="page"/>
      </w:r>
    </w:p>
    <w:p>
      <w:pPr>
        <w:pStyle w:val="Normal"/>
        <w:rPr/>
      </w:pPr>
      <w:bookmarkStart w:id="0" w:name="introduction"/>
      <w:bookmarkEnd w:id="0"/>
      <w:r>
        <w:rPr>
          <w:rFonts w:ascii="Times new roman" w:hAnsi="Times new roman"/>
          <w:b/>
          <w:bCs/>
        </w:rPr>
        <w:t>Introduction</w:t>
      </w:r>
    </w:p>
    <w:p>
      <w:pPr>
        <w:pStyle w:val="Normal"/>
        <w:rPr/>
      </w:pPr>
      <w:r>
        <w:rPr>
          <w:rFonts w:ascii="Times new roman" w:hAnsi="Times new roman"/>
        </w:rPr>
        <w:t xml:space="preserve">The relevance of hybridization, producing individuals admixed between genetically distinct populations, is increasingly recognized by biologists. Mallet (2005) suggested that hybridization occurs in more than 10% of animal species and 25% of vascular plant species. Recently, the realization that </w:t>
      </w:r>
      <w:r>
        <w:rPr>
          <w:rFonts w:cs="" w:ascii="Times new roman" w:hAnsi="Times new roman" w:cstheme="minorBidi"/>
          <w:highlight w:val="yellow"/>
        </w:rPr>
        <w:t>humans are also</w:t>
      </w:r>
      <w:r>
        <w:rPr>
          <w:rFonts w:ascii="Times new roman" w:hAnsi="Times new roman"/>
        </w:rPr>
        <w:t xml:space="preserve"> a product of hybridization has raised interest further (Green et al., 2010). In a conservation context hybridization with introduced species can threaten autochthonous endangered animals (Simberloff, 1996). Parasites are omnipresent in natural systems </w:t>
      </w:r>
      <w:r>
        <w:rPr>
          <w:rFonts w:ascii="Times new roman" w:hAnsi="Times new roman"/>
        </w:rPr>
        <w:t xml:space="preserve">and </w:t>
      </w:r>
      <w:r>
        <w:rPr>
          <w:rFonts w:cs="" w:ascii="Times new roman" w:hAnsi="Times new roman" w:cstheme="minorBidi"/>
          <w:color w:val="00000A"/>
          <w:sz w:val="24"/>
          <w:szCs w:val="24"/>
          <w:highlight w:val="yellow"/>
        </w:rPr>
        <w:t xml:space="preserve">impact </w:t>
      </w:r>
      <w:r>
        <w:rPr>
          <w:rFonts w:cs="" w:ascii="Times new roman" w:hAnsi="Times new roman" w:cstheme="minorBidi"/>
          <w:color w:val="00000A"/>
          <w:sz w:val="24"/>
          <w:szCs w:val="24"/>
          <w:highlight w:val="yellow"/>
        </w:rPr>
        <w:t>human and animal health (</w:t>
      </w:r>
      <w:r>
        <w:rPr>
          <w:rFonts w:cs="" w:ascii="Times new roman" w:hAnsi="Times new roman" w:cstheme="minorBidi"/>
          <w:b w:val="false"/>
          <w:i w:val="false"/>
          <w:caps w:val="false"/>
          <w:smallCaps w:val="false"/>
          <w:color w:val="00000A"/>
          <w:spacing w:val="0"/>
          <w:sz w:val="24"/>
          <w:szCs w:val="24"/>
          <w:highlight w:val="yellow"/>
        </w:rPr>
        <w:t>Schurer, Mosites, Li, Meschke, &amp; Rabinowitz, 2016).</w:t>
      </w:r>
      <w:r>
        <w:rPr>
          <w:rFonts w:ascii="Times new roman" w:hAnsi="Times new roman"/>
        </w:rPr>
        <w:t xml:space="preserve"> It is </w:t>
      </w:r>
      <w:r>
        <w:rPr>
          <w:rFonts w:cs="" w:ascii="Times new roman" w:hAnsi="Times new roman" w:cstheme="minorBidi"/>
          <w:highlight w:val="yellow"/>
        </w:rPr>
        <w:t>therefore</w:t>
      </w:r>
      <w:r>
        <w:rPr>
          <w:rFonts w:ascii="Times new roman" w:hAnsi="Times new roman"/>
        </w:rPr>
        <w:t xml:space="preserve"> important for biologists to comprehend the interplay between parasites and hosts under hybridization.</w:t>
      </w:r>
    </w:p>
    <w:p>
      <w:pPr>
        <w:pStyle w:val="Normal"/>
        <w:rPr/>
      </w:pPr>
      <w:r>
        <w:rPr>
          <w:rFonts w:cs="" w:ascii="Times new roman" w:hAnsi="Times new roman" w:cstheme="minorBidi"/>
          <w:color w:val="00000A"/>
          <w:highlight w:val="yellow"/>
        </w:rPr>
        <w:t xml:space="preserve">The European house mouse hybrid zone (HMHZ), one of the first animal hybrid zones studied for differences in parasite loads (Sage, Heyneman, Lim, &amp; Wilson, 1986), is a tension zone characterized by selection against hybrids replaced by immigrating less admixed mice (Barton &amp; Hewitt, 1985). After ∼500 000 years of (mostly) allopatric divergence two house mouse subspecies, </w:t>
      </w:r>
      <w:r>
        <w:rPr>
          <w:rFonts w:cs="" w:ascii="Times new roman" w:hAnsi="Times new roman" w:cstheme="minorBidi"/>
          <w:i/>
          <w:color w:val="00000A"/>
          <w:highlight w:val="yellow"/>
        </w:rPr>
        <w:t>Mus musculus domesticus</w:t>
      </w:r>
      <w:r>
        <w:rPr>
          <w:rFonts w:cs="" w:ascii="Times new roman" w:hAnsi="Times new roman" w:cstheme="minorBidi"/>
          <w:color w:val="00000A"/>
          <w:highlight w:val="yellow"/>
        </w:rPr>
        <w:t xml:space="preserve"> and </w:t>
      </w:r>
      <w:r>
        <w:rPr>
          <w:rFonts w:cs="" w:ascii="Times new roman" w:hAnsi="Times new roman" w:cstheme="minorBidi"/>
          <w:i/>
          <w:color w:val="00000A"/>
          <w:highlight w:val="yellow"/>
        </w:rPr>
        <w:t>Mus musculus musculus</w:t>
      </w:r>
      <w:r>
        <w:rPr>
          <w:rFonts w:cs="" w:ascii="Times new roman" w:hAnsi="Times new roman" w:cstheme="minorBidi"/>
          <w:color w:val="00000A"/>
          <w:highlight w:val="yellow"/>
        </w:rPr>
        <w:t xml:space="preserve"> (hereafter Mmd and Mmm), have come into secondary contact in Europe as a result of different colonization routes south and north of the Black Sea, respectively (Boursot, Auffray, Britton-Davidian, &amp; Bonhomme, 1993; Duvaux, Belkhir, Boulesteix, &amp; Boursot, 2011). The HMHZ is about 20 km wide and more than 2500 km long, running from Scandinavia to the coast of the Black Sea (Baird &amp; Macholán, 2012; Boursot, Auffray, Britton-Davidian, &amp; Bonhomme, 1993; Jones, Kooij, Solheim, &amp; Searle, 2010; Macholán, Kryštufek, &amp; Vohralík, 2003). This zone represents a semi-permeable barrier to gene flow between the two taxa (Macholán et al., 2007; Macholán et al., 2011). The main selective forces acting against hybrids are thought to be endogenous rather than ecological (Baird &amp; Macholán, 2012; Boursot, Auffray, Britton-Davidian, &amp; Bonhomme, 1993), for example disruption of spermatogenesis in hybrids (Albrechtová et al., 2012; Turner, Schwahn, &amp; Harr, 2012). The HMHZ was. </w:t>
      </w:r>
    </w:p>
    <w:p>
      <w:pPr>
        <w:pStyle w:val="Normal"/>
        <w:rPr/>
      </w:pPr>
      <w:r>
        <w:rPr>
          <w:rFonts w:ascii="Times new roman" w:hAnsi="Times new roman"/>
        </w:rPr>
        <w:t>Parasites are traditionally seen as decreasing their hosts’ fitness, and differences in resistance to parasites between hybrid and pure hosts was suggested to affect the dynamics of hybrid zones (Fritz, Moulia, &amp; Newcombe, 1999). This traditional framework postulates differences in parasite loads in hybrids vs. parental hosts to result in effects on the strength of host species barriers</w:t>
      </w:r>
      <w:r>
        <w:rPr>
          <w:rFonts w:cs="" w:ascii="Times new roman" w:hAnsi="Times new roman" w:cstheme="minorBidi"/>
          <w:highlight w:val="yellow"/>
        </w:rPr>
        <w:t>. Nevertheless, recent work in controlled condition have shown that resistance</w:t>
      </w:r>
      <w:r>
        <w:rPr>
          <w:rFonts w:cs="" w:ascii="Times new roman" w:hAnsi="Times new roman" w:cstheme="minorBidi"/>
          <w:b w:val="false"/>
          <w:i w:val="false"/>
          <w:caps w:val="false"/>
          <w:smallCaps w:val="false"/>
          <w:strike w:val="false"/>
          <w:dstrike w:val="false"/>
          <w:color w:val="000000"/>
          <w:sz w:val="24"/>
          <w:highlight w:val="yellow"/>
          <w:u w:val="none"/>
          <w:effect w:val="none"/>
        </w:rPr>
        <w:t xml:space="preserve"> (host capacity to reduce parasite burden) and tolerance (reduced impact of a given parasite burden on host health) are not necessarily correlate</w:t>
      </w:r>
      <w:r>
        <w:rPr>
          <w:rFonts w:cs="" w:ascii="Times new roman" w:hAnsi="Times new roman" w:cstheme="minorBidi"/>
          <w:b w:val="false"/>
          <w:i w:val="false"/>
          <w:caps w:val="false"/>
          <w:smallCaps w:val="false"/>
          <w:strike w:val="false"/>
          <w:dstrike w:val="false"/>
          <w:color w:val="00000A"/>
          <w:sz w:val="24"/>
          <w:highlight w:val="yellow"/>
          <w:u w:val="none"/>
          <w:effect w:val="none"/>
        </w:rPr>
        <w:t>d (</w:t>
      </w:r>
      <w:bookmarkStart w:id="1" w:name="docs-internal-guid-5fd6d2a8-7fff-f3d9-38"/>
      <w:bookmarkEnd w:id="1"/>
      <w:r>
        <w:rPr>
          <w:rFonts w:cs="" w:ascii="Times new roman" w:hAnsi="Times new roman" w:cstheme="minorBidi"/>
          <w:b w:val="false"/>
          <w:i w:val="false"/>
          <w:caps w:val="false"/>
          <w:smallCaps w:val="false"/>
          <w:strike w:val="false"/>
          <w:dstrike w:val="false"/>
          <w:color w:val="00000A"/>
          <w:sz w:val="24"/>
          <w:highlight w:val="yellow"/>
          <w:u w:val="none"/>
          <w:effect w:val="none"/>
        </w:rPr>
        <w:t>Råberg, Sim, &amp; Read, 2007).</w:t>
      </w:r>
      <w:r>
        <w:rPr>
          <w:rFonts w:cs="" w:ascii="Times new roman" w:hAnsi="Times new roman" w:cstheme="minorBidi"/>
          <w:color w:val="00000A"/>
          <w:highlight w:val="yellow"/>
        </w:rPr>
        <w:t xml:space="preserve"> </w:t>
      </w:r>
    </w:p>
    <w:p>
      <w:pPr>
        <w:pStyle w:val="Normal"/>
        <w:rPr/>
      </w:pPr>
      <w:r>
        <w:rPr>
          <w:rFonts w:ascii="Times new roman" w:hAnsi="Times new roman"/>
        </w:rPr>
        <w:t xml:space="preserve">Initial results on parasites obtained in the HMHZ and experimental studies seemed to indicate elevated parasite loads in hybrids. This has been interpreted as potentially leading to fitness reductions in hybrids, hampering hybridization and thus reinforcing species barriers (Moulia et al., 1991; Moulia, Le Brun, Dallas, Orth, &amp; Renaud, 1993; Sage et al., 1986). Infection experiments using the protozoan </w:t>
      </w:r>
      <w:r>
        <w:rPr>
          <w:rFonts w:ascii="Times new roman" w:hAnsi="Times new roman"/>
          <w:i/>
        </w:rPr>
        <w:t>Sarcocystis muris</w:t>
      </w:r>
      <w:r>
        <w:rPr>
          <w:rFonts w:ascii="Times new roman" w:hAnsi="Times new roman"/>
        </w:rPr>
        <w:t xml:space="preserve"> led to a similar conclusion (Derothe, Le Brun, Loubes, Perriat-Sanguinet, &amp; Moulia, 2001). Other laboratory experiments, however, showed either no </w:t>
      </w:r>
      <w:bookmarkStart w:id="2" w:name="docs-internal-guid-1dcbdaca-7fff-fb01-2d"/>
      <w:bookmarkEnd w:id="2"/>
      <w:r>
        <w:rPr>
          <w:rFonts w:cs="" w:ascii="Times New Roman" w:hAnsi="Times New Roman" w:cstheme="minorBidi"/>
          <w:b w:val="false"/>
          <w:i w:val="false"/>
          <w:caps w:val="false"/>
          <w:smallCaps w:val="false"/>
          <w:strike w:val="false"/>
          <w:dstrike w:val="false"/>
          <w:color w:val="000000"/>
          <w:sz w:val="24"/>
          <w:highlight w:val="yellow"/>
          <w:u w:val="none"/>
          <w:effect w:val="none"/>
        </w:rPr>
        <w:t>effect of inter-subspecies F1</w:t>
      </w:r>
      <w:r>
        <w:rPr>
          <w:rFonts w:ascii="Times new roman" w:hAnsi="Times new roman"/>
        </w:rPr>
        <w:t xml:space="preserve"> on helminth load or even reduced load in </w:t>
      </w:r>
      <w:r>
        <w:rPr>
          <w:rFonts w:cs="" w:ascii="Times New Roman" w:hAnsi="Times New Roman" w:cstheme="minorBidi"/>
          <w:b w:val="false"/>
          <w:i w:val="false"/>
          <w:caps w:val="false"/>
          <w:smallCaps w:val="false"/>
          <w:strike w:val="false"/>
          <w:dstrike w:val="false"/>
          <w:color w:val="000000"/>
          <w:sz w:val="24"/>
          <w:highlight w:val="yellow"/>
          <w:u w:val="none"/>
          <w:effect w:val="none"/>
        </w:rPr>
        <w:t>inter-subspecies F1</w:t>
      </w:r>
      <w:r>
        <w:rPr>
          <w:rFonts w:ascii="Times new roman" w:hAnsi="Times new roman"/>
        </w:rPr>
        <w:t xml:space="preserve"> compared to pure mouse strains (Derothe, Porcherie, Perriat-Sanguinet, Loubès, &amp; Moulia, 2004; Moulia, Le Brun, Loubes, Marin, &amp; Renaud, 1995). </w:t>
      </w:r>
      <w:r>
        <w:rPr>
          <w:rFonts w:ascii="Times new roman" w:hAnsi="Times new roman"/>
        </w:rPr>
        <w:t xml:space="preserve">A </w:t>
      </w:r>
      <w:r>
        <w:rPr>
          <w:rFonts w:cs="" w:ascii="Times new roman" w:hAnsi="Times new roman" w:cstheme="minorBidi"/>
          <w:highlight w:val="yellow"/>
        </w:rPr>
        <w:t xml:space="preserve">more recent </w:t>
      </w:r>
      <w:r>
        <w:rPr>
          <w:rFonts w:ascii="Times new roman" w:hAnsi="Times new roman"/>
        </w:rPr>
        <w:t>field study</w:t>
      </w:r>
      <w:r>
        <w:rPr>
          <w:rFonts w:cs="" w:ascii="Times new roman" w:hAnsi="Times new roman" w:cstheme="minorBidi"/>
          <w:highlight w:val="yellow"/>
        </w:rPr>
        <w:t>,</w:t>
      </w:r>
      <w:r>
        <w:rPr>
          <w:rFonts w:ascii="Times new roman" w:hAnsi="Times new roman"/>
        </w:rPr>
        <w:t xml:space="preserve"> with </w:t>
      </w:r>
      <w:r>
        <w:rPr>
          <w:rFonts w:cs="" w:ascii="Times new roman" w:hAnsi="Times new roman" w:cstheme="minorBidi"/>
          <w:highlight w:val="yellow"/>
        </w:rPr>
        <w:t>high</w:t>
      </w:r>
      <w:r>
        <w:rPr>
          <w:rFonts w:ascii="Times new roman" w:hAnsi="Times new roman"/>
        </w:rPr>
        <w:t xml:space="preserve"> statistical power</w:t>
      </w:r>
      <w:r>
        <w:rPr>
          <w:rFonts w:cs="" w:ascii="Times new roman" w:hAnsi="Times new roman" w:cstheme="minorBidi"/>
          <w:highlight w:val="yellow"/>
        </w:rPr>
        <w:t xml:space="preserve"> </w:t>
      </w:r>
      <w:r>
        <w:rPr>
          <w:rFonts w:cs="" w:ascii="Times new roman" w:hAnsi="Times new roman" w:cstheme="minorBidi"/>
          <w:highlight w:val="yellow"/>
        </w:rPr>
        <w:t xml:space="preserve">(more mice sampled and more suitable statistical approach) </w:t>
      </w:r>
      <w:r>
        <w:rPr>
          <w:rFonts w:cs="" w:ascii="Times new roman" w:hAnsi="Times new roman" w:cstheme="minorBidi"/>
          <w:highlight w:val="yellow"/>
        </w:rPr>
        <w:t>and arguably improved sampling design</w:t>
      </w:r>
      <w:r>
        <w:rPr>
          <w:rFonts w:ascii="Times new roman" w:hAnsi="Times new roman"/>
        </w:rPr>
        <w:t xml:space="preserve"> found reduced helminth loads (especially the pinworms </w:t>
      </w:r>
      <w:r>
        <w:rPr>
          <w:rFonts w:ascii="Times new roman" w:hAnsi="Times new roman"/>
          <w:i/>
        </w:rPr>
        <w:t>Aspiculuris tetraptera</w:t>
      </w:r>
      <w:r>
        <w:rPr>
          <w:rFonts w:ascii="Times new roman" w:hAnsi="Times new roman"/>
        </w:rPr>
        <w:t xml:space="preserve"> and </w:t>
      </w:r>
      <w:r>
        <w:rPr>
          <w:rFonts w:ascii="Times new roman" w:hAnsi="Times new roman"/>
          <w:i/>
        </w:rPr>
        <w:t>Syphacia obvelata</w:t>
      </w:r>
      <w:r>
        <w:rPr>
          <w:rFonts w:ascii="Times new roman" w:hAnsi="Times new roman"/>
        </w:rPr>
        <w:t xml:space="preserve"> and the whipworm </w:t>
      </w:r>
      <w:r>
        <w:rPr>
          <w:rFonts w:ascii="Times new roman" w:hAnsi="Times new roman"/>
          <w:i/>
        </w:rPr>
        <w:t>Trichuris muris</w:t>
      </w:r>
      <w:r>
        <w:rPr>
          <w:rFonts w:ascii="Times new roman" w:hAnsi="Times new roman"/>
        </w:rPr>
        <w:t xml:space="preserve">) in hybrid mice (Baird et al., 2012). It should also be noted that the design of the field studies preceding the Baird et al. (2012) reappraisal usually suffered from low sample sizes and/or maintenance of mice under laboratory conditions before assessment of parasite burden, which may have allowed spurious signal to dominate the results. Nevertheless, even the basic direction of parasite load differences in hybrid mice compared to parental genotypes seems still controversial to some researchers. </w:t>
      </w:r>
    </w:p>
    <w:p>
      <w:pPr>
        <w:pStyle w:val="Normal"/>
        <w:rPr/>
      </w:pPr>
      <w:r>
        <w:rPr>
          <w:rFonts w:ascii="Times new roman" w:hAnsi="Times new roman"/>
        </w:rPr>
        <w:t xml:space="preserve">We now see that, despite working within the framework of the same hybrid zone, two different interpretations of parasite loads in hybrid mice have arisen. </w:t>
      </w:r>
      <w:r>
        <w:rPr>
          <w:rFonts w:cs="" w:ascii="Times new roman" w:hAnsi="Times new roman" w:cstheme="minorBidi"/>
          <w:highlight w:val="yellow"/>
        </w:rPr>
        <w:t xml:space="preserve">It should be noted that all the previous studies chose to focus on either helminth or protozoan parasite model. Nevertheless, </w:t>
      </w:r>
      <w:r>
        <w:rPr>
          <w:rFonts w:cs="" w:ascii="Times new roman" w:hAnsi="Times new roman" w:cstheme="minorBidi"/>
          <w:b w:val="false"/>
          <w:i w:val="false"/>
          <w:caps w:val="false"/>
          <w:smallCaps w:val="false"/>
          <w:strike w:val="false"/>
          <w:dstrike w:val="false"/>
          <w:color w:val="000000"/>
          <w:sz w:val="24"/>
          <w:highlight w:val="yellow"/>
          <w:u w:val="none"/>
          <w:effect w:val="none"/>
        </w:rPr>
        <w:t>in vertebrates,</w:t>
      </w:r>
      <w:r>
        <w:rPr>
          <w:rFonts w:cs="" w:ascii="Times new roman" w:hAnsi="Times new roman" w:cstheme="minorBidi"/>
          <w:highlight w:val="yellow"/>
        </w:rPr>
        <w:t xml:space="preserve"> t</w:t>
      </w:r>
      <w:r>
        <w:rPr>
          <w:rFonts w:cs="" w:ascii="Times new roman" w:hAnsi="Times new roman" w:cstheme="minorBidi"/>
          <w:b w:val="false"/>
          <w:i w:val="false"/>
          <w:caps w:val="false"/>
          <w:smallCaps w:val="false"/>
          <w:strike w:val="false"/>
          <w:dstrike w:val="false"/>
          <w:color w:val="000000"/>
          <w:sz w:val="24"/>
          <w:highlight w:val="yellow"/>
          <w:u w:val="none"/>
          <w:effect w:val="none"/>
        </w:rPr>
        <w:t xml:space="preserve">he immune mechanisms under parasite control differs greatly between these two groups.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Extracellular macroparasites like helminths trigger a </w:t>
      </w:r>
      <w:r>
        <w:rPr>
          <w:rFonts w:cs="" w:ascii="Times new roman" w:hAnsi="Times new roman" w:cstheme="minorBidi"/>
          <w:b w:val="false"/>
          <w:i w:val="false"/>
          <w:caps w:val="false"/>
          <w:smallCaps w:val="false"/>
          <w:strike w:val="false"/>
          <w:dstrike w:val="false"/>
          <w:color w:val="000000"/>
          <w:spacing w:val="0"/>
          <w:sz w:val="24"/>
          <w:szCs w:val="24"/>
          <w:highlight w:val="yellow"/>
          <w:u w:val="none"/>
          <w:effect w:val="none"/>
        </w:rPr>
        <w:t xml:space="preserve">T helper type 2 (Th2)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-dominated response, and intracellular microparasites like protozoan trigger a </w:t>
      </w:r>
      <w:r>
        <w:rPr>
          <w:rFonts w:cs="" w:ascii="Times new roman" w:hAnsi="Times new roman" w:cstheme="minorBidi"/>
          <w:b w:val="false"/>
          <w:i w:val="false"/>
          <w:caps w:val="false"/>
          <w:smallCaps w:val="false"/>
          <w:strike w:val="false"/>
          <w:dstrike w:val="false"/>
          <w:color w:val="000000"/>
          <w:spacing w:val="0"/>
          <w:sz w:val="24"/>
          <w:szCs w:val="24"/>
          <w:highlight w:val="yellow"/>
          <w:u w:val="none"/>
          <w:effect w:val="none"/>
        </w:rPr>
        <w:t xml:space="preserve">T helper type 1 (Th1)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-mediated response</w:t>
      </w:r>
      <w:r>
        <w:rPr>
          <w:rFonts w:cs="" w:ascii="Times new roman" w:hAnsi="Times new roman" w:cstheme="minorBidi"/>
          <w:b w:val="false"/>
          <w:i w:val="false"/>
          <w:caps w:val="false"/>
          <w:smallCaps w:val="false"/>
          <w:strike w:val="false"/>
          <w:dstrike w:val="false"/>
          <w:color w:val="000000"/>
          <w:spacing w:val="0"/>
          <w:sz w:val="20"/>
          <w:szCs w:val="24"/>
          <w:highlight w:val="yellow"/>
          <w:u w:val="none"/>
          <w:effect w:val="none"/>
        </w:rPr>
        <w:t xml:space="preserve">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w:t>
      </w:r>
      <w:r>
        <w:rPr>
          <w:rFonts w:cs="" w:ascii="Times new roman" w:hAnsi="Times new roman" w:cstheme="minorBidi"/>
          <w:b w:val="false"/>
          <w:i w:val="false"/>
          <w:caps w:val="false"/>
          <w:smallCaps w:val="false"/>
          <w:strike w:val="false"/>
          <w:dstrike w:val="false"/>
          <w:color w:val="000000"/>
          <w:spacing w:val="0"/>
          <w:sz w:val="24"/>
          <w:szCs w:val="24"/>
          <w:highlight w:val="yellow"/>
          <w:u w:val="none"/>
          <w:effect w:val="none"/>
        </w:rPr>
        <w:t xml:space="preserve">Sher &amp; Coffman, 1992). </w:t>
      </w:r>
      <w:r>
        <w:rPr>
          <w:rFonts w:ascii="Times new roman" w:hAnsi="Times new roman"/>
        </w:rPr>
        <w:t xml:space="preserve">One way forward in such circumstances is to </w:t>
      </w:r>
      <w:r>
        <w:rPr>
          <w:rFonts w:ascii="Times new roman" w:hAnsi="Times new roman"/>
        </w:rPr>
        <w:t xml:space="preserve">test hypotheses </w:t>
      </w:r>
      <w:r>
        <w:rPr>
          <w:rFonts w:ascii="Times new roman" w:hAnsi="Times new roman"/>
        </w:rPr>
        <w:t>over replicate</w:t>
      </w:r>
      <w:r>
        <w:rPr>
          <w:rFonts w:ascii="Times new roman" w:hAnsi="Times new roman"/>
        </w:rPr>
        <w:t>s and “along different axes” of parasitism</w:t>
      </w:r>
      <w:r>
        <w:rPr>
          <w:rFonts w:cs="" w:ascii="Times new roman" w:hAnsi="Times new roman" w:cstheme="minorBidi"/>
          <w:highlight w:val="yellow"/>
        </w:rPr>
        <w:t>, and to consider simultaneously helminths and protozoans to address the generality of hybrid response</w:t>
      </w:r>
      <w:r>
        <w:rPr>
          <w:rFonts w:ascii="Times new roman" w:hAnsi="Times new roman"/>
        </w:rPr>
        <w:t xml:space="preserve">. To distinguish between interpretations </w:t>
      </w:r>
      <w:r>
        <w:rPr>
          <w:rFonts w:ascii="Times new roman" w:hAnsi="Times new roman"/>
        </w:rPr>
        <w:t>of paraasite load we here</w:t>
      </w:r>
      <w:r>
        <w:rPr>
          <w:rFonts w:ascii="Times new roman" w:hAnsi="Times new roman"/>
        </w:rPr>
        <w:t xml:space="preserve"> asked if (1) parasite loads are higher or lower in hybrids compared to parentals, and (2) if these loads are consistent, or differ, </w:t>
      </w:r>
      <w:r>
        <w:rPr>
          <w:rFonts w:cs="" w:ascii="Times new roman" w:hAnsi="Times new roman" w:cstheme="minorBidi"/>
          <w:highlight w:val="yellow"/>
        </w:rPr>
        <w:t xml:space="preserve">between prevalent representative helminths and protozoan. </w:t>
      </w:r>
      <w:r>
        <w:rPr>
          <w:rFonts w:cs="" w:ascii="Times new roman" w:hAnsi="Times new roman" w:cstheme="minorBidi"/>
          <w:highlight w:val="yellow"/>
        </w:rPr>
        <w:t xml:space="preserve">We did so in </w:t>
      </w:r>
      <w:r>
        <w:rPr>
          <w:rFonts w:cs="" w:ascii="Times new roman" w:hAnsi="Times new roman" w:cstheme="minorBidi"/>
          <w:highlight w:val="yellow"/>
        </w:rPr>
        <w:t xml:space="preserve">a </w:t>
      </w:r>
      <w:r>
        <w:rPr>
          <w:rFonts w:cs="" w:ascii="Times new roman" w:hAnsi="Times new roman" w:cstheme="minorBidi"/>
          <w:highlight w:val="yellow"/>
        </w:rPr>
        <w:t xml:space="preserve">geographically </w:t>
      </w:r>
      <w:r>
        <w:rPr>
          <w:rFonts w:cs="" w:ascii="Times new roman" w:hAnsi="Times new roman" w:cstheme="minorBidi"/>
          <w:highlight w:val="yellow"/>
        </w:rPr>
        <w:t>new transect replicate of the HMHZ.</w:t>
      </w:r>
    </w:p>
    <w:p>
      <w:pPr>
        <w:pStyle w:val="Normal"/>
        <w:rPr/>
      </w:pPr>
      <w:r>
        <w:rPr>
          <w:rFonts w:ascii="Times new roman" w:hAnsi="Times new roman"/>
        </w:rPr>
        <w:t xml:space="preserve">Pinworms (oxyurids) </w:t>
      </w:r>
      <w:r>
        <w:rPr>
          <w:rFonts w:cs="" w:ascii="Times new roman" w:hAnsi="Times new roman" w:cstheme="minorBidi"/>
          <w:highlight w:val="yellow"/>
        </w:rPr>
        <w:t>have been d</w:t>
      </w:r>
      <w:r>
        <w:rPr>
          <w:rFonts w:cs="" w:ascii="Times new roman" w:hAnsi="Times new roman" w:cstheme="minorBidi"/>
          <w:color w:val="000000"/>
          <w:sz w:val="24"/>
          <w:szCs w:val="24"/>
          <w:highlight w:val="yellow"/>
        </w:rPr>
        <w:t xml:space="preserve">etected in mice in numerous field studies (see for example </w:t>
      </w:r>
      <w:bookmarkStart w:id="3" w:name="docs-internal-guid-6d4b2a51-7fff-6be5-b4"/>
      <w:bookmarkEnd w:id="3"/>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Behnke, 1975; Behnke, 1976; Kriska, 1993; </w:t>
      </w:r>
      <w:r>
        <w:rPr>
          <w:rFonts w:cs="" w:ascii="Times new roman" w:hAnsi="Times new roman" w:cstheme="minorBidi"/>
          <w:b w:val="false"/>
          <w:i w:val="false"/>
          <w:caps w:val="false"/>
          <w:smallCaps w:val="false"/>
          <w:strike w:val="false"/>
          <w:dstrike w:val="false"/>
          <w:color w:val="000000"/>
          <w:spacing w:val="0"/>
          <w:sz w:val="24"/>
          <w:szCs w:val="24"/>
          <w:highlight w:val="yellow"/>
          <w:u w:val="none"/>
          <w:effect w:val="none"/>
        </w:rPr>
        <w:t>Ressouche et al., 1998).</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 </w:t>
      </w:r>
      <w:r>
        <w:rPr>
          <w:rFonts w:cs="" w:ascii="Times new roman" w:hAnsi="Times new roman" w:cstheme="minorBidi"/>
          <w:highlight w:val="yellow"/>
        </w:rPr>
        <w:t>They</w:t>
      </w:r>
      <w:r>
        <w:rPr>
          <w:rFonts w:ascii="Times new roman" w:hAnsi="Times new roman"/>
        </w:rPr>
        <w:t xml:space="preserve"> have been shown to be the most prevalent helminths infecting house mice in the HMHZ (Goüy de Bellocq, Ribas, &amp; Baird, 2012). </w:t>
      </w:r>
      <w:r>
        <w:rPr>
          <w:rFonts w:cs="" w:ascii="Times new roman" w:hAnsi="Times new roman" w:cstheme="minorBidi"/>
          <w:sz w:val="24"/>
          <w:szCs w:val="24"/>
          <w:highlight w:val="yellow"/>
        </w:rPr>
        <w:t xml:space="preserve">They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are often considered to provoke mild symptoms on their hosts, even if in rare conditions (e.g. particularly high burden) they have been shown to affect the health of laboratory mice (Taffs, 1976)</w:t>
      </w:r>
      <w:r>
        <w:rPr>
          <w:rFonts w:cs="" w:ascii="Times new roman" w:hAnsi="Times new roman" w:cstheme="minorBidi"/>
          <w:sz w:val="24"/>
          <w:szCs w:val="24"/>
          <w:highlight w:val="yellow"/>
        </w:rPr>
        <w:t>.</w:t>
      </w:r>
      <w:r>
        <w:rPr>
          <w:rFonts w:ascii="Times new roman" w:hAnsi="Times new roman"/>
        </w:rPr>
        <w:t xml:space="preserve"> </w:t>
      </w:r>
      <w:r>
        <w:rPr>
          <w:rFonts w:ascii="Times new roman" w:hAnsi="Times new roman"/>
          <w:i/>
        </w:rPr>
        <w:t>Eimeria</w:t>
      </w:r>
      <w:r>
        <w:rPr>
          <w:rFonts w:ascii="Times new roman" w:hAnsi="Times new roman"/>
        </w:rPr>
        <w:t xml:space="preserve"> spp. are often considered host-specific, with several thousand species parasitizing different vertebrates (Chapman et al., 2013; Haberkorn, 1970). These parasites infect the intestinal epithelial cells of vertebrates and induce symptoms such as weight loss and diarrhoea. For example, infecting the NMRI mouse laboratory strain with </w:t>
      </w:r>
      <w:r>
        <w:rPr>
          <w:rFonts w:ascii="Times new roman" w:hAnsi="Times new roman"/>
          <w:i/>
        </w:rPr>
        <w:t>Eimeria</w:t>
      </w:r>
      <w:r>
        <w:rPr>
          <w:rFonts w:ascii="Times new roman" w:hAnsi="Times new roman"/>
        </w:rPr>
        <w:t xml:space="preserve"> oocysts isolated from mice captured in the HMHZ resulted in a weight loss up to 20% compared to control (Al-khlifeh et al., 2019). In the European HMHZ, three </w:t>
      </w:r>
      <w:r>
        <w:rPr>
          <w:rFonts w:ascii="Times new roman" w:hAnsi="Times new roman"/>
          <w:i/>
        </w:rPr>
        <w:t>Eimeria</w:t>
      </w:r>
      <w:r>
        <w:rPr>
          <w:rFonts w:ascii="Times new roman" w:hAnsi="Times new roman"/>
        </w:rPr>
        <w:t xml:space="preserve"> species have been identified: </w:t>
      </w:r>
      <w:r>
        <w:rPr>
          <w:rFonts w:ascii="Times new roman" w:hAnsi="Times new roman"/>
          <w:i/>
        </w:rPr>
        <w:t>E. ferrisi</w:t>
      </w:r>
      <w:r>
        <w:rPr>
          <w:rFonts w:ascii="Times new roman" w:hAnsi="Times new roman"/>
        </w:rPr>
        <w:t xml:space="preserve">, </w:t>
      </w:r>
      <w:r>
        <w:rPr>
          <w:rFonts w:ascii="Times new roman" w:hAnsi="Times new roman"/>
          <w:i/>
        </w:rPr>
        <w:t>E. falciformis</w:t>
      </w:r>
      <w:r>
        <w:rPr>
          <w:rFonts w:ascii="Times new roman" w:hAnsi="Times new roman"/>
        </w:rPr>
        <w:t xml:space="preserve">, and </w:t>
      </w:r>
      <w:r>
        <w:rPr>
          <w:rFonts w:ascii="Times new roman" w:hAnsi="Times new roman"/>
          <w:i/>
        </w:rPr>
        <w:t>E. vermiformis</w:t>
      </w:r>
      <w:r>
        <w:rPr>
          <w:rFonts w:ascii="Times new roman" w:hAnsi="Times new roman"/>
        </w:rPr>
        <w:t xml:space="preserve"> with prevalences of 16.1%, 4.2% and 1.1%, respectively (Jarquín-Díaz et al., 2019). </w:t>
      </w:r>
    </w:p>
    <w:p>
      <w:pPr>
        <w:pStyle w:val="Normal"/>
        <w:rPr/>
      </w:pPr>
      <w:r>
        <w:rPr>
          <w:rFonts w:ascii="Times new roman" w:hAnsi="Times new roman"/>
        </w:rPr>
        <w:t xml:space="preserve">We assessed </w:t>
      </w:r>
      <w:r>
        <w:rPr>
          <w:rFonts w:ascii="Times new roman" w:hAnsi="Times new roman"/>
          <w:i/>
        </w:rPr>
        <w:t>Eimeria</w:t>
      </w:r>
      <w:r>
        <w:rPr>
          <w:rFonts w:ascii="Times new roman" w:hAnsi="Times new roman"/>
        </w:rPr>
        <w:t xml:space="preserve"> infection in a novel transect of the HMHZ in Brandenburg, northeastern Germany, </w:t>
      </w:r>
      <w:r>
        <w:rPr>
          <w:rFonts w:cs="" w:ascii="Times new roman" w:hAnsi="Times new roman" w:cstheme="minorBidi"/>
          <w:highlight w:val="yellow"/>
        </w:rPr>
        <w:t xml:space="preserve">in which the hypothesis of hybrid resistance/susceptibility to parasite was never </w:t>
      </w:r>
      <w:r>
        <w:rPr>
          <w:rFonts w:cs="" w:ascii="Times new roman" w:hAnsi="Times new roman" w:cstheme="minorBidi"/>
          <w:highlight w:val="yellow"/>
        </w:rPr>
        <w:t>tested before</w:t>
      </w:r>
      <w:r>
        <w:rPr>
          <w:rFonts w:cs="" w:ascii="Times new roman" w:hAnsi="Times new roman" w:cstheme="minorBidi"/>
          <w:highlight w:val="yellow"/>
        </w:rPr>
        <w:t xml:space="preserve">. We </w:t>
      </w:r>
      <w:r>
        <w:rPr>
          <w:rFonts w:cs="" w:ascii="Times new roman" w:hAnsi="Times new roman" w:cstheme="minorBidi"/>
          <w:highlight w:val="yellow"/>
        </w:rPr>
        <w:t xml:space="preserve">assessed </w:t>
      </w:r>
      <w:r>
        <w:rPr>
          <w:rFonts w:ascii="Times new roman" w:hAnsi="Times new roman"/>
        </w:rPr>
        <w:t xml:space="preserve">the impact of host hybridization on intensity of this parasite. By focusing on parasite intensity (extent of parasite infection in only infected </w:t>
      </w:r>
      <w:r>
        <w:rPr>
          <w:rFonts w:ascii="Times new roman" w:hAnsi="Times new roman" w:cstheme="minorBidi"/>
          <w:highlight w:val="yellow"/>
        </w:rPr>
        <w:t>animals</w:t>
      </w:r>
      <w:r>
        <w:rPr>
          <w:rFonts w:ascii="Times new roman" w:hAnsi="Times new roman"/>
        </w:rPr>
        <w:t xml:space="preserve">; Bush et al. 1997), we arguably exclude ecological factors for differences in load. We show that (1) parasite loads are consistently lower in hybrids compared to parental genotypes in the HMHZ and (2) that this pattern is </w:t>
      </w:r>
      <w:r>
        <w:rPr>
          <w:rFonts w:ascii="Times new roman" w:hAnsi="Times new roman"/>
          <w:highlight w:val="yellow"/>
        </w:rPr>
        <w:t>similar for</w:t>
      </w:r>
      <w:r>
        <w:rPr>
          <w:rFonts w:eastAsia="Liberation Sans" w:cs="Liberation Sans" w:ascii="Times new roman" w:hAnsi="Times new roman"/>
          <w:color w:val="000000"/>
          <w:highlight w:val="yellow"/>
        </w:rPr>
        <w:t xml:space="preserve"> our intracellular and extracellular parasite models</w:t>
      </w:r>
      <w:r>
        <w:rPr>
          <w:rFonts w:ascii="Times new roman" w:hAnsi="Times new roman"/>
        </w:rPr>
        <w:t>.</w:t>
      </w:r>
      <w:r>
        <w:br w:type="page"/>
      </w:r>
    </w:p>
    <w:p>
      <w:pPr>
        <w:pStyle w:val="Normal"/>
        <w:rPr/>
      </w:pPr>
      <w:r>
        <w:rPr>
          <w:rFonts w:ascii="Times new roman" w:hAnsi="Times new roman"/>
          <w:b/>
          <w:bCs/>
        </w:rPr>
        <w:t>Material &amp; Methods</w:t>
      </w:r>
    </w:p>
    <w:p>
      <w:pPr>
        <w:pStyle w:val="Normal"/>
        <w:rPr/>
      </w:pPr>
      <w:r>
        <w:rPr>
          <w:rFonts w:ascii="Times new roman" w:hAnsi="Times new roman"/>
          <w:b/>
          <w:bCs/>
        </w:rPr>
        <w:t>Sampling</w:t>
      </w:r>
    </w:p>
    <w:p>
      <w:pPr>
        <w:pStyle w:val="Normal"/>
        <w:rPr/>
      </w:pPr>
      <w:r>
        <w:rPr>
          <w:rFonts w:ascii="Times new roman" w:hAnsi="Times new roman"/>
        </w:rPr>
        <w:t xml:space="preserve">Our sampled individuals consist of 660 house mice trapped using live traps placed in farms or houses between 2014 and 2017. The study area ranges from 51.68 to 53.29 degrees of latitude (200 km) and from 12.52 to 14.32 degrees of longitude (140 km). Each year mice were trapped in September when it is possible to capture a high number of mice in this region. In addition, sampling at the same season every year reduces potential seasonal variation (Abu-Madi, Behnke, Lewis, &amp; Gilbert, 2000; Haukisalmi, Henttonen, &amp; Tenora, 1988). </w:t>
      </w:r>
      <w:bookmarkStart w:id="4" w:name="docs-internal-guid-0be22610-7fff-4b69-62"/>
      <w:bookmarkEnd w:id="4"/>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The locations for trapping were selected</w:t>
      </w:r>
      <w:r>
        <w:rPr>
          <w:rFonts w:cs="" w:ascii="Times new roman" w:hAnsi="Times new roman" w:cstheme="minorBidi"/>
          <w:color w:val="000000"/>
          <w:sz w:val="24"/>
          <w:szCs w:val="24"/>
          <w:highlight w:val="yellow"/>
        </w:rPr>
        <w:t xml:space="preserve"> in a geographical range allowing t</w:t>
      </w:r>
      <w:r>
        <w:rPr>
          <w:rFonts w:ascii="Times new roman" w:hAnsi="Times new roman"/>
          <w:color w:val="000000"/>
          <w:sz w:val="24"/>
          <w:szCs w:val="24"/>
        </w:rPr>
        <w:t>o capture b</w:t>
      </w:r>
      <w:r>
        <w:rPr>
          <w:rFonts w:ascii="Times new roman" w:hAnsi="Times new roman"/>
        </w:rPr>
        <w:t xml:space="preserve">oth parental and hybrid/recombinant populations. Mice were individually isolated in cages and then euthanized by isoflurane inhalation followed by cervical dislocation and dissection within 24 hours after capture (animal experiment permit No. 2347/35/2014). Tissue samples (muscle and spleen) were put to liquid nitrogen and stored at -80°C for subsequent host genotyping. Digestive tracts were dissected and inspected for helminth parasites (see below). Ileum, caecum and colon tissues were frozen in liquid nitrogen and then stored separately at -80°C. Individual mice were measured (body length from nose to anus) and weighted. </w:t>
      </w:r>
    </w:p>
    <w:p>
      <w:pPr>
        <w:pStyle w:val="Normal"/>
        <w:rPr/>
      </w:pPr>
      <w:r>
        <w:rPr>
          <w:rFonts w:ascii="Times new roman" w:hAnsi="Times new roman"/>
          <w:b/>
          <w:bCs/>
        </w:rPr>
        <w:t>Host genotyping</w:t>
      </w:r>
    </w:p>
    <w:p>
      <w:pPr>
        <w:pStyle w:val="Normal"/>
        <w:rPr/>
      </w:pPr>
      <w:r>
        <w:rPr>
          <w:rFonts w:ascii="Times new roman" w:hAnsi="Times new roman"/>
        </w:rPr>
        <w:t>The admixture proportion of mouse genomes across the HMHZ was estimated for each mouse as a value of the hybrid index (HI) calculated as a proportion of Mmm alleles in a set of 4-14 diagnostic markers (at least 10 loci in 92% of the mice). This set consists of one mitochondrial marker (</w:t>
      </w:r>
      <w:r>
        <w:rPr>
          <w:rFonts w:ascii="Times new roman" w:hAnsi="Times new roman"/>
          <w:i/>
        </w:rPr>
        <w:t>Bam</w:t>
      </w:r>
      <w:r>
        <w:rPr>
          <w:rFonts w:ascii="Times new roman" w:hAnsi="Times new roman"/>
        </w:rPr>
        <w:t xml:space="preserve">HI, a restriction site in the </w:t>
      </w:r>
      <w:r>
        <w:rPr>
          <w:rFonts w:ascii="Times new roman" w:hAnsi="Times new roman"/>
          <w:i/>
        </w:rPr>
        <w:t>Nd1</w:t>
      </w:r>
      <w:r>
        <w:rPr>
          <w:rFonts w:ascii="Times new roman" w:hAnsi="Times new roman"/>
        </w:rPr>
        <w:t xml:space="preserve"> gene; Božíková et al., 2005; Munclinger, Božíková, Šugerková, Piálek, &amp; Macholán, 2002), one Y-linked marker (presence/absence of a short insertion in the </w:t>
      </w:r>
      <w:r>
        <w:rPr>
          <w:rFonts w:ascii="Times new roman" w:hAnsi="Times new roman"/>
          <w:i/>
        </w:rPr>
        <w:t>Zfy2</w:t>
      </w:r>
      <w:r>
        <w:rPr>
          <w:rFonts w:ascii="Times new roman" w:hAnsi="Times new roman"/>
        </w:rPr>
        <w:t xml:space="preserve"> gene; Boissinot &amp; Boursot, 1997; Nagamine et al., 1992), six X-linked markers (three B1 and B2 short interspersed nuclear elements in </w:t>
      </w:r>
      <w:r>
        <w:rPr>
          <w:rFonts w:ascii="Times new roman" w:hAnsi="Times new roman"/>
          <w:i/>
        </w:rPr>
        <w:t>Btk</w:t>
      </w:r>
      <w:r>
        <w:rPr>
          <w:rFonts w:ascii="Times new roman" w:hAnsi="Times new roman"/>
        </w:rPr>
        <w:t xml:space="preserve">, </w:t>
      </w:r>
      <w:r>
        <w:rPr>
          <w:rFonts w:ascii="Times new roman" w:hAnsi="Times new roman"/>
          <w:i/>
        </w:rPr>
        <w:t>Tsx</w:t>
      </w:r>
      <w:r>
        <w:rPr>
          <w:rFonts w:ascii="Times new roman" w:hAnsi="Times new roman"/>
        </w:rPr>
        <w:t xml:space="preserve"> (Munclinger, Boursot, &amp; Dod, 2003), and </w:t>
      </w:r>
      <w:r>
        <w:rPr>
          <w:rFonts w:ascii="Times new roman" w:hAnsi="Times new roman"/>
          <w:i/>
        </w:rPr>
        <w:t>Syap1</w:t>
      </w:r>
      <w:r>
        <w:rPr>
          <w:rFonts w:ascii="Times new roman" w:hAnsi="Times new roman"/>
        </w:rPr>
        <w:t xml:space="preserve"> (Macholán et al., 2007), </w:t>
      </w:r>
      <w:r>
        <w:rPr>
          <w:rFonts w:ascii="Times new roman" w:hAnsi="Times new roman"/>
          <w:i/>
        </w:rPr>
        <w:t>X332</w:t>
      </w:r>
      <w:r>
        <w:rPr>
          <w:rFonts w:ascii="Times new roman" w:hAnsi="Times new roman"/>
        </w:rPr>
        <w:t xml:space="preserve">, </w:t>
      </w:r>
      <w:r>
        <w:rPr>
          <w:rFonts w:ascii="Times new roman" w:hAnsi="Times new roman"/>
          <w:i/>
        </w:rPr>
        <w:t>X347</w:t>
      </w:r>
      <w:r>
        <w:rPr>
          <w:rFonts w:ascii="Times new roman" w:hAnsi="Times new roman"/>
        </w:rPr>
        <w:t xml:space="preserve"> and </w:t>
      </w:r>
      <w:r>
        <w:rPr>
          <w:rFonts w:ascii="Times new roman" w:hAnsi="Times new roman"/>
          <w:i/>
        </w:rPr>
        <w:t>X65</w:t>
      </w:r>
      <w:r>
        <w:rPr>
          <w:rFonts w:ascii="Times new roman" w:hAnsi="Times new roman"/>
        </w:rPr>
        <w:t xml:space="preserve"> (Dufková, Macholán, &amp; Piálek, 2011; Ďureje, Macholán, Baird, &amp; Piálek, 2012)), and six autosomal markers (</w:t>
      </w:r>
      <w:r>
        <w:rPr>
          <w:rFonts w:ascii="Times new roman" w:hAnsi="Times new roman"/>
          <w:i/>
        </w:rPr>
        <w:t>Es1</w:t>
      </w:r>
      <w:r>
        <w:rPr>
          <w:rFonts w:ascii="Times new roman" w:hAnsi="Times new roman"/>
        </w:rPr>
        <w:t xml:space="preserve">, </w:t>
      </w:r>
      <w:commentRangeStart w:id="0"/>
      <w:r>
        <w:rPr>
          <w:rFonts w:ascii="Times new roman" w:hAnsi="Times new roman"/>
          <w:i/>
        </w:rPr>
        <w:t>H6pd</w:t>
      </w:r>
      <w:r>
        <w:rPr>
          <w:rFonts w:ascii="Times new roman" w:hAnsi="Times new roman"/>
          <w:i/>
        </w:rPr>
      </w:r>
      <w:commentRangeEnd w:id="0"/>
      <w:r>
        <w:commentReference w:id="0"/>
      </w:r>
      <w:r>
        <w:rPr>
          <w:rFonts w:ascii="Times new roman" w:hAnsi="Times new roman"/>
        </w:rPr>
        <w:t xml:space="preserve">, </w:t>
      </w:r>
      <w:r>
        <w:rPr>
          <w:rFonts w:ascii="Times new roman" w:hAnsi="Times new roman"/>
          <w:i/>
        </w:rPr>
        <w:t>Idh1</w:t>
      </w:r>
      <w:r>
        <w:rPr>
          <w:rFonts w:ascii="Times new roman" w:hAnsi="Times new roman"/>
        </w:rPr>
        <w:t xml:space="preserve">, </w:t>
      </w:r>
      <w:r>
        <w:rPr>
          <w:rFonts w:ascii="Times new roman" w:hAnsi="Times new roman"/>
          <w:i/>
        </w:rPr>
        <w:t>Mpi</w:t>
      </w:r>
      <w:r>
        <w:rPr>
          <w:rFonts w:ascii="Times new roman" w:hAnsi="Times new roman"/>
        </w:rPr>
        <w:t xml:space="preserve">, </w:t>
      </w:r>
      <w:r>
        <w:rPr>
          <w:rFonts w:ascii="Times new roman" w:hAnsi="Times new roman"/>
          <w:i/>
        </w:rPr>
        <w:t>Np</w:t>
      </w:r>
      <w:r>
        <w:rPr>
          <w:rFonts w:ascii="Times new roman" w:hAnsi="Times new roman"/>
        </w:rPr>
        <w:t xml:space="preserve">, </w:t>
      </w:r>
      <w:r>
        <w:rPr>
          <w:rFonts w:ascii="Times new roman" w:hAnsi="Times new roman"/>
          <w:i/>
        </w:rPr>
        <w:t>Sod1</w:t>
      </w:r>
      <w:r>
        <w:rPr>
          <w:rFonts w:ascii="Times new roman" w:hAnsi="Times new roman"/>
        </w:rPr>
        <w:t xml:space="preserve">; Macholán et al., 2007). HIs ranged from 0 to 1, HI of 0 indicating a pure Mmd and HI of 1 a pure Mmm (Baird et al., 2012; Macholán et al., 2007). </w:t>
      </w:r>
      <w:r>
        <w:rPr>
          <w:rFonts w:ascii="Times new roman" w:hAnsi="Times new roman"/>
        </w:rPr>
        <w:t>H</w:t>
      </w:r>
      <w:r>
        <w:rPr>
          <w:rFonts w:cs="" w:ascii="Times new roman" w:hAnsi="Times new roman" w:cstheme="minorBidi"/>
          <w:highlight w:val="yellow"/>
        </w:rPr>
        <w:t>istogram</w:t>
      </w:r>
      <w:r>
        <w:rPr>
          <w:rFonts w:cs="" w:ascii="Times new roman" w:hAnsi="Times new roman" w:cstheme="minorBidi"/>
          <w:highlight w:val="yellow"/>
        </w:rPr>
        <w:t xml:space="preserve">s for the number </w:t>
      </w:r>
      <w:r>
        <w:rPr>
          <w:rFonts w:cs="" w:ascii="Times new roman" w:hAnsi="Times new roman" w:cstheme="minorBidi"/>
          <w:highlight w:val="yellow"/>
        </w:rPr>
        <w:t xml:space="preserve">of </w:t>
      </w:r>
      <w:r>
        <w:rPr>
          <w:rFonts w:cs="" w:ascii="Times new roman" w:hAnsi="Times new roman" w:cstheme="minorBidi"/>
          <w:highlight w:val="yellow"/>
        </w:rPr>
        <w:t xml:space="preserve">genotyped </w:t>
      </w:r>
      <w:r>
        <w:rPr>
          <w:rFonts w:cs="" w:ascii="Times new roman" w:hAnsi="Times new roman" w:cstheme="minorBidi"/>
          <w:highlight w:val="yellow"/>
        </w:rPr>
        <w:t>markers, as w</w:t>
      </w:r>
      <w:r>
        <w:rPr>
          <w:rFonts w:cs="" w:ascii="Times new roman" w:hAnsi="Times new roman" w:cstheme="minorBidi"/>
          <w:b w:val="false"/>
          <w:bCs w:val="false"/>
          <w:color w:val="00000A"/>
          <w:highlight w:val="yellow"/>
        </w:rPr>
        <w:t>ell as the</w:t>
      </w:r>
      <w:r>
        <w:rPr>
          <w:rFonts w:cs="" w:ascii="Times new roman" w:hAnsi="Times new roman" w:cstheme="minorBidi"/>
          <w:b w:val="false"/>
          <w:bCs w:val="false"/>
          <w:color w:val="00000A"/>
          <w:highlight w:val="yellow"/>
        </w:rPr>
        <w:t xml:space="preserve">ir </w:t>
      </w:r>
      <w:r>
        <w:rPr>
          <w:rFonts w:cs="" w:ascii="Times new roman" w:hAnsi="Times new roman" w:cstheme="minorBidi"/>
          <w:b w:val="false"/>
          <w:bCs w:val="false"/>
          <w:color w:val="00000A"/>
          <w:highlight w:val="yellow"/>
        </w:rPr>
        <w:t xml:space="preserve">distribution along the hybrid index </w:t>
      </w:r>
      <w:r>
        <w:rPr>
          <w:rFonts w:cs="" w:ascii="Times new roman" w:hAnsi="Times new roman" w:cstheme="minorBidi"/>
          <w:b w:val="false"/>
          <w:bCs w:val="false"/>
          <w:color w:val="00000A"/>
          <w:highlight w:val="yellow"/>
        </w:rPr>
        <w:t>do indicate no bias in genotyping (</w:t>
      </w:r>
      <w:r>
        <w:rPr>
          <w:rFonts w:cs="" w:ascii="Times new roman" w:hAnsi="Times new roman" w:cstheme="minorBidi"/>
          <w:b/>
          <w:bCs/>
          <w:color w:val="00000A"/>
          <w:highlight w:val="yellow"/>
        </w:rPr>
        <w:t>Supplementary Figure S1</w:t>
      </w:r>
      <w:r>
        <w:rPr>
          <w:rFonts w:cs="" w:ascii="Times new roman" w:hAnsi="Times new roman" w:cstheme="minorBidi"/>
          <w:b/>
          <w:bCs/>
          <w:color w:val="00000A"/>
          <w:highlight w:val="yellow"/>
        </w:rPr>
        <w:t>)</w:t>
      </w:r>
      <w:r>
        <w:rPr>
          <w:rFonts w:cs="" w:ascii="Times new roman" w:hAnsi="Times new roman" w:cstheme="minorBidi"/>
          <w:b w:val="false"/>
          <w:bCs w:val="false"/>
          <w:color w:val="00000A"/>
          <w:highlight w:val="yellow"/>
        </w:rPr>
        <w:t>.</w:t>
      </w:r>
      <w:r>
        <w:rPr>
          <w:rFonts w:cs="" w:ascii="Times new roman" w:hAnsi="Times new roman" w:cstheme="minorBidi"/>
          <w:b/>
          <w:bCs/>
          <w:color w:val="CE181E"/>
          <w:highlight w:val="yellow"/>
        </w:rPr>
        <w:t xml:space="preserve"> </w:t>
      </w:r>
    </w:p>
    <w:p>
      <w:pPr>
        <w:pStyle w:val="Normal"/>
        <w:rPr/>
      </w:pPr>
      <w:r>
        <w:rPr>
          <w:rFonts w:ascii="Times new roman" w:hAnsi="Times new roman"/>
        </w:rPr>
        <w:t xml:space="preserve">The </w:t>
      </w:r>
      <w:r>
        <w:rPr>
          <w:rFonts w:cs="" w:ascii="Times new roman" w:hAnsi="Times new roman" w:cstheme="minorBidi"/>
          <w:highlight w:val="yellow"/>
        </w:rPr>
        <w:t>expected</w:t>
      </w:r>
      <w:r>
        <w:rPr>
          <w:rFonts w:ascii="Times new roman" w:hAnsi="Times new roman"/>
        </w:rPr>
        <w:t xml:space="preserve"> </w:t>
      </w:r>
      <w:r>
        <w:rPr>
          <w:rFonts w:cs="" w:ascii="Times new roman" w:hAnsi="Times new roman" w:cstheme="minorBidi"/>
          <w:highlight w:val="yellow"/>
        </w:rPr>
        <w:t>centre</w:t>
      </w:r>
      <w:r>
        <w:rPr>
          <w:rFonts w:ascii="Times new roman" w:hAnsi="Times new roman"/>
        </w:rPr>
        <w:t xml:space="preserve"> of the HMHZ across the study area was estimated using the program Geneland v4.0.8 (</w:t>
      </w:r>
      <w:r>
        <w:rPr>
          <w:rFonts w:ascii="Times new roman" w:hAnsi="Times new roman"/>
        </w:rPr>
        <w:t xml:space="preserve">with </w:t>
      </w:r>
      <w:r>
        <w:rPr>
          <w:rFonts w:ascii="Times new roman" w:hAnsi="Times new roman"/>
        </w:rPr>
        <w:t>graphical resolution increased over default</w:t>
      </w:r>
      <w:r>
        <w:rPr>
          <w:rFonts w:ascii="Times new roman" w:hAnsi="Times new roman"/>
          <w:sz w:val="24"/>
          <w:szCs w:val="24"/>
        </w:rPr>
        <w:t xml:space="preserve">s, </w:t>
      </w:r>
      <w:r>
        <w:rPr>
          <w:rFonts w:ascii="Times new roman" w:hAnsi="Times new roman"/>
          <w:sz w:val="24"/>
          <w:szCs w:val="24"/>
        </w:rPr>
        <w:t xml:space="preserve">the modified </w:t>
      </w:r>
      <w:r>
        <w:rPr>
          <w:rFonts w:cs="" w:ascii="Times new roman" w:hAnsi="Times new roman" w:cstheme="minorBidi"/>
          <w:sz w:val="24"/>
          <w:szCs w:val="24"/>
          <w:highlight w:val="yellow"/>
        </w:rPr>
        <w:t>c</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ode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is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available at</w:t>
      </w:r>
      <w:r>
        <w:rPr>
          <w:rFonts w:cs="" w:ascii="Times new roman" w:hAnsi="Times new roman" w:cstheme="minorBidi"/>
          <w:b w:val="false"/>
          <w:caps w:val="false"/>
          <w:smallCaps w:val="false"/>
          <w:strike w:val="false"/>
          <w:dstrike w:val="false"/>
          <w:color w:val="000000"/>
          <w:sz w:val="24"/>
          <w:szCs w:val="24"/>
          <w:highlight w:val="yellow"/>
          <w:u w:val="none"/>
          <w:effect w:val="none"/>
        </w:rPr>
        <w:t xml:space="preserve"> </w:t>
      </w:r>
      <w:hyperlink r:id="rId2">
        <w:r>
          <w:rPr>
            <w:rStyle w:val="InternetLink"/>
            <w:rFonts w:cs="" w:ascii="Times new roman" w:hAnsi="Times new roman" w:cstheme="minorBidi"/>
            <w:b w:val="false"/>
            <w:i w:val="false"/>
            <w:caps w:val="false"/>
            <w:smallCaps w:val="false"/>
            <w:strike w:val="false"/>
            <w:dstrike w:val="false"/>
            <w:color w:val="00000A"/>
            <w:sz w:val="24"/>
            <w:szCs w:val="24"/>
            <w:highlight w:val="yellow"/>
            <w:u w:val="none"/>
            <w:effect w:val="none"/>
          </w:rPr>
          <w:t>https://github.com/alicebalard/Geneland</w:t>
        </w:r>
      </w:hyperlink>
      <w:r>
        <w:rPr>
          <w:rStyle w:val="InternetLink"/>
          <w:rFonts w:cs="" w:ascii="Times new roman" w:hAnsi="Times new roman" w:cstheme="minorBidi"/>
          <w:b w:val="false"/>
          <w:i w:val="false"/>
          <w:caps w:val="false"/>
          <w:smallCaps w:val="false"/>
          <w:strike w:val="false"/>
          <w:dstrike w:val="false"/>
          <w:color w:val="00000A"/>
          <w:sz w:val="24"/>
          <w:szCs w:val="24"/>
          <w:highlight w:val="yellow"/>
          <w:u w:val="none"/>
          <w:effect w:val="none"/>
        </w:rPr>
        <w:t xml:space="preserve"> </w:t>
      </w:r>
      <w:r>
        <w:rPr>
          <w:rStyle w:val="InternetLink"/>
          <w:rFonts w:cs="" w:ascii="Times new roman" w:hAnsi="Times new roman" w:cstheme="minorBidi"/>
          <w:b w:val="false"/>
          <w:i w:val="false"/>
          <w:caps w:val="false"/>
          <w:smallCaps w:val="false"/>
          <w:strike w:val="false"/>
          <w:dstrike w:val="false"/>
          <w:color w:val="00000A"/>
          <w:sz w:val="24"/>
          <w:szCs w:val="24"/>
          <w:highlight w:val="yellow"/>
          <w:u w:val="none"/>
          <w:effect w:val="none"/>
        </w:rPr>
        <w:t>as a complete R-package</w:t>
      </w:r>
      <w:r>
        <w:rPr>
          <w:rFonts w:ascii="Times new roman" w:hAnsi="Times new roman"/>
          <w:sz w:val="24"/>
          <w:szCs w:val="24"/>
        </w:rPr>
        <w:t xml:space="preserve">), </w:t>
      </w:r>
      <w:r>
        <w:rPr>
          <w:rFonts w:ascii="Times new roman" w:hAnsi="Times new roman"/>
        </w:rPr>
        <w:t xml:space="preserve">based on a subset of the six autosomal markers that were genotyped in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all individuals with 6 diploid markers (N=598 mice)</w:t>
      </w:r>
      <w:r>
        <w:rPr>
          <w:rFonts w:ascii="Times new roman" w:hAnsi="Times new roman"/>
        </w:rPr>
        <w:t>. Geneland uses a Markov chain Monte Carlo (MCMC) approach to combine both geographical and genetic information (Guillot, Mortier, &amp; Estoup, 2005). The number of clusters was set to 2, 10</w:t>
      </w:r>
      <w:r>
        <w:rPr>
          <w:rFonts w:ascii="Times new roman" w:hAnsi="Times new roman"/>
          <w:vertAlign w:val="superscript"/>
        </w:rPr>
        <w:t>6</w:t>
      </w:r>
      <w:r>
        <w:rPr>
          <w:rFonts w:ascii="Times new roman" w:hAnsi="Times new roman"/>
        </w:rPr>
        <w:t xml:space="preserve"> MCMC iterations were performed and saved every 100th iterations (10</w:t>
      </w:r>
      <w:r>
        <w:rPr>
          <w:rFonts w:ascii="Times new roman" w:hAnsi="Times new roman"/>
          <w:vertAlign w:val="superscript"/>
        </w:rPr>
        <w:t>4</w:t>
      </w:r>
      <w:r>
        <w:rPr>
          <w:rFonts w:ascii="Times new roman" w:hAnsi="Times new roman"/>
        </w:rPr>
        <w:t xml:space="preserve"> iterations saved). The first 200 iterations were discarded as burn-in and the resolution of the map was set to 2000 pixels for the x axis and 1400 for the y axes corresponding roughly to 1 pixel for 100m (Macholán et al., 2011). </w:t>
      </w:r>
      <w:r>
        <w:rPr/>
        <w:br/>
      </w:r>
    </w:p>
    <w:p>
      <w:pPr>
        <w:pStyle w:val="Normal"/>
        <w:rPr>
          <w:rFonts w:ascii="Times new roman" w:hAnsi="Times new roman"/>
          <w:b/>
          <w:b/>
          <w:bCs/>
        </w:rPr>
      </w:pPr>
      <w:r>
        <w:rPr/>
      </w:r>
    </w:p>
    <w:p>
      <w:pPr>
        <w:pStyle w:val="Normal"/>
        <w:rPr/>
      </w:pPr>
      <w:bookmarkStart w:id="5" w:name="parasite-load-estimation"/>
      <w:bookmarkEnd w:id="5"/>
      <w:r>
        <w:rPr>
          <w:rFonts w:ascii="Times new roman" w:hAnsi="Times new roman"/>
          <w:b/>
          <w:bCs/>
        </w:rPr>
        <w:t>Parasite load estimation</w:t>
      </w:r>
    </w:p>
    <w:p>
      <w:pPr>
        <w:pStyle w:val="Normal"/>
        <w:rPr/>
      </w:pPr>
      <w:r>
        <w:rPr>
          <w:rFonts w:ascii="Times new roman" w:hAnsi="Times new roman"/>
        </w:rPr>
        <w:t xml:space="preserve">Mouse digestive tracts were dissected and inspected for helminth presence with a binocular microscope. Helminths were counted and stored in 70% ethanol for later identification by molecular analysis and, when more than one worm per host was present, in 3.5% formalin for later morphological comparison with species descriptions. </w:t>
      </w:r>
      <w:r>
        <w:rPr>
          <w:rFonts w:cs="" w:ascii="Times new roman" w:hAnsi="Times new roman" w:cstheme="minorBidi"/>
          <w:highlight w:val="yellow"/>
        </w:rPr>
        <w:t>As in this study we need a high statistical power to test our hypothesis, we</w:t>
      </w:r>
      <w:r>
        <w:rPr>
          <w:rFonts w:ascii="Times new roman" w:hAnsi="Times new roman"/>
        </w:rPr>
        <w:t xml:space="preserve"> considered only the most prevalent helminths, the oxyurids </w:t>
      </w:r>
      <w:r>
        <w:rPr>
          <w:rFonts w:ascii="Times new roman" w:hAnsi="Times new roman"/>
          <w:i/>
        </w:rPr>
        <w:t>Syphacia obvelata</w:t>
      </w:r>
      <w:r>
        <w:rPr>
          <w:rFonts w:ascii="Times new roman" w:hAnsi="Times new roman"/>
        </w:rPr>
        <w:t xml:space="preserve"> and </w:t>
      </w:r>
      <w:r>
        <w:rPr>
          <w:rFonts w:ascii="Times new roman" w:hAnsi="Times new roman"/>
          <w:i/>
        </w:rPr>
        <w:t>Aspiculuris tetraptera</w:t>
      </w:r>
      <w:r>
        <w:rPr>
          <w:rFonts w:ascii="Times new roman" w:hAnsi="Times new roman"/>
        </w:rPr>
        <w:t xml:space="preserve">. </w:t>
      </w:r>
      <w:r>
        <w:rPr>
          <w:rFonts w:ascii="Times new roman" w:hAnsi="Times new roman"/>
          <w:highlight w:val="yellow"/>
        </w:rPr>
        <w:t>Histograms</w:t>
      </w:r>
      <w:r>
        <w:rPr>
          <w:rFonts w:cs="" w:ascii="Times new roman" w:hAnsi="Times new roman" w:cstheme="minorBidi"/>
          <w:highlight w:val="yellow"/>
        </w:rPr>
        <w:t xml:space="preserve"> presenting the distribution of other counts </w:t>
      </w:r>
      <w:r>
        <w:rPr>
          <w:rFonts w:cs="" w:ascii="Times new roman" w:hAnsi="Times new roman" w:cstheme="minorBidi"/>
          <w:highlight w:val="yellow"/>
        </w:rPr>
        <w:t xml:space="preserve">for other helminths </w:t>
      </w:r>
      <w:r>
        <w:rPr>
          <w:rFonts w:cs="" w:ascii="Times new roman" w:hAnsi="Times new roman" w:cstheme="minorBidi"/>
          <w:highlight w:val="yellow"/>
        </w:rPr>
        <w:t xml:space="preserve">can be found in </w:t>
      </w:r>
      <w:r>
        <w:rPr>
          <w:rFonts w:cs="" w:ascii="Times new roman" w:hAnsi="Times new roman" w:cstheme="minorBidi"/>
          <w:b/>
          <w:bCs/>
          <w:highlight w:val="yellow"/>
        </w:rPr>
        <w:t>Supplementary Figure S2</w:t>
      </w:r>
      <w:r>
        <w:rPr>
          <w:rFonts w:cs="" w:ascii="Times new roman" w:hAnsi="Times new roman" w:cstheme="minorBidi"/>
          <w:b w:val="false"/>
          <w:bCs w:val="false"/>
          <w:highlight w:val="yellow"/>
        </w:rPr>
        <w:t xml:space="preserve"> </w:t>
      </w:r>
      <w:r>
        <w:rPr>
          <w:rFonts w:cs="" w:ascii="Times new roman" w:hAnsi="Times new roman" w:cstheme="minorBidi"/>
          <w:b w:val="false"/>
          <w:bCs w:val="false"/>
          <w:highlight w:val="yellow"/>
        </w:rPr>
        <w:t xml:space="preserve">and data is available in </w:t>
      </w:r>
      <w:r>
        <w:rPr>
          <w:rFonts w:cs="" w:ascii="Times new roman" w:hAnsi="Times new roman" w:cstheme="minorBidi"/>
          <w:b/>
          <w:bCs/>
          <w:highlight w:val="yellow"/>
        </w:rPr>
        <w:t>Supplementary Tables S3</w:t>
      </w:r>
      <w:r>
        <w:rPr>
          <w:rFonts w:cs="" w:ascii="Times new roman" w:hAnsi="Times new roman" w:cstheme="minorBidi"/>
          <w:b/>
          <w:bCs/>
          <w:highlight w:val="yellow"/>
        </w:rPr>
        <w:t>.</w:t>
      </w:r>
    </w:p>
    <w:p>
      <w:pPr>
        <w:pStyle w:val="Normal"/>
        <w:rPr/>
      </w:pPr>
      <w:r>
        <w:rPr>
          <w:rFonts w:ascii="Times new roman" w:hAnsi="Times new roman"/>
        </w:rPr>
        <w:t xml:space="preserve">DNA was extracted from ileum and caecum tissues and quantitative PCR (qPCR) was used for estimation of </w:t>
      </w:r>
      <w:r>
        <w:rPr>
          <w:rFonts w:ascii="Times new roman" w:hAnsi="Times new roman"/>
          <w:i/>
        </w:rPr>
        <w:t>Eimeria</w:t>
      </w:r>
      <w:r>
        <w:rPr>
          <w:rFonts w:ascii="Times new roman" w:hAnsi="Times new roman"/>
        </w:rPr>
        <w:t xml:space="preserve"> spp. load. DNA extraction was performed using the innuPREP DNA Mini Kit (Analytik Jena AG, Jena, Germany) following the instructions of the manufacturer with additional mechanical tissue disruption with liquid nitrogen in a mortar. Both quality and quantity of isolated DNA were measured by spectrophotometry in a NanoDrop 2000c (Thermo Scientific, Waltham, USA). The presence of </w:t>
      </w:r>
      <w:r>
        <w:rPr>
          <w:rFonts w:ascii="Times new roman" w:hAnsi="Times new roman"/>
          <w:i/>
        </w:rPr>
        <w:t>Eimeria</w:t>
      </w:r>
      <w:r>
        <w:rPr>
          <w:rFonts w:ascii="Times new roman" w:hAnsi="Times new roman"/>
        </w:rPr>
        <w:t xml:space="preserve"> spp. was tested using qPCR to detect intracellular stages of the parasite as well as house mouse house keeping gene as internal reference. Primers used for </w:t>
      </w:r>
      <w:r>
        <w:rPr>
          <w:rFonts w:ascii="Times new roman" w:hAnsi="Times new roman"/>
          <w:i/>
        </w:rPr>
        <w:t>Eimeria</w:t>
      </w:r>
      <w:r>
        <w:rPr>
          <w:rFonts w:ascii="Times new roman" w:hAnsi="Times new roman"/>
        </w:rPr>
        <w:t xml:space="preserve"> spp. detection targeted a short mitochondrial </w:t>
      </w:r>
      <w:r>
        <w:rPr>
          <w:rFonts w:ascii="Times new roman" w:hAnsi="Times new roman"/>
          <w:i/>
        </w:rPr>
        <w:t>COI</w:t>
      </w:r>
      <w:r>
        <w:rPr>
          <w:rFonts w:ascii="Times new roman" w:hAnsi="Times new roman"/>
        </w:rPr>
        <w:t xml:space="preserve"> region (Eim_COI_qX-F: TGTCTATTCACTTGGGCTATTGT; Eim_COI_qX-R: GGATCACCGTTAAATGAGGCA), while </w:t>
      </w:r>
      <w:r>
        <w:rPr>
          <w:rFonts w:ascii="Times new roman" w:hAnsi="Times new roman"/>
          <w:i/>
        </w:rPr>
        <w:t>Mus musculus</w:t>
      </w:r>
      <w:r>
        <w:rPr>
          <w:rFonts w:ascii="Times new roman" w:hAnsi="Times new roman"/>
        </w:rPr>
        <w:t xml:space="preserve"> primers targeted the </w:t>
      </w:r>
      <w:r>
        <w:rPr>
          <w:rFonts w:ascii="Times new roman" w:hAnsi="Times new roman"/>
          <w:i/>
        </w:rPr>
        <w:t>CDC42</w:t>
      </w:r>
      <w:r>
        <w:rPr>
          <w:rFonts w:ascii="Times new roman" w:hAnsi="Times new roman"/>
        </w:rPr>
        <w:t xml:space="preserve"> nuclear gene (Ms_gDNA_CDC42_F: CTCTCCTCCCCTCTGTCTTG; Ms_gDNA_CDC42_R: TCCTTTTGGGTTGAGTTTCC; </w:t>
      </w:r>
      <w:r>
        <w:rPr>
          <w:rFonts w:cs="" w:ascii="Times new roman" w:hAnsi="Times new roman" w:cstheme="minorBidi"/>
          <w:highlight w:val="yellow"/>
        </w:rPr>
        <w:t>Al-khlifeh et al., 2019;</w:t>
      </w:r>
      <w:r>
        <w:rPr>
          <w:rFonts w:eastAsia="Cambria" w:cs="" w:ascii="Times new roman" w:hAnsi="Times new roman" w:cstheme="minorBidi"/>
          <w:color w:val="00000A"/>
          <w:kern w:val="0"/>
          <w:sz w:val="24"/>
          <w:szCs w:val="24"/>
          <w:highlight w:val="yellow"/>
          <w:lang w:val="en-US" w:eastAsia="en-US" w:bidi="ar-SA"/>
        </w:rPr>
        <w:t xml:space="preserve"> Jarquín-Díaz et al., </w:t>
      </w:r>
      <w:r>
        <w:rPr>
          <w:rFonts w:eastAsia="Cambria" w:cs="" w:ascii="Times new roman" w:hAnsi="Times new roman" w:cstheme="minorBidi"/>
          <w:color w:val="00000A"/>
          <w:kern w:val="0"/>
          <w:sz w:val="24"/>
          <w:szCs w:val="24"/>
          <w:highlight w:val="yellow"/>
          <w:highlight w:val="yellow"/>
          <w:lang w:val="en-US" w:eastAsia="en-US" w:bidi="ar-SA"/>
        </w:rPr>
        <w:t xml:space="preserve">2019). </w:t>
      </w:r>
      <w:r>
        <w:rPr>
          <w:rFonts w:eastAsia="Cambria" w:cs="" w:ascii="Times new roman" w:hAnsi="Times new roman" w:cstheme="minorBidi"/>
          <w:color w:val="00000A"/>
          <w:kern w:val="0"/>
          <w:sz w:val="24"/>
          <w:szCs w:val="24"/>
          <w:highlight w:val="yellow"/>
          <w:highlight w:val="yellow"/>
          <w:lang w:val="en-US" w:eastAsia="en-US" w:bidi="ar-SA"/>
        </w:rPr>
        <w:t xml:space="preserve">These qPCRs had been independently confirmed to allow detection of experimental infection (Al-khlifeh et al., 2019) and with genotyping PCRs using different primers and markers (Jarquín-Díaz et al., 2019). </w:t>
      </w:r>
      <w:r>
        <w:rPr>
          <w:rFonts w:ascii="Times new roman" w:hAnsi="Times new roman"/>
        </w:rPr>
        <w:t xml:space="preserve">Reactions were performed using 1X iTaqTM Universal SYBRⓇ Green Supermix (Bio-Rad Laboratories GmbH, München, Germany), 400 nM of each primer and 50 ng of DNA template in 20 µL final volume. Cycling amplification was carried out in a MastercyclerⓇ RealPlex 2 thermocycler (Eppendorf, Hamburg, Germany) with the following amplification program: 95°C initial denaturation (2 min) followed by 40 cycles of 95°C denaturation (15 s), 55°C annealing (15 s) and 68°C extension (20 s). Melting curve analyses were performed in order to detect primer dimer formation and unspecific amplification. ΔCt was calculated as difference of the threshold cycle (Ct) between mouse and </w:t>
      </w:r>
      <w:r>
        <w:rPr>
          <w:rFonts w:ascii="Times new roman" w:hAnsi="Times new roman"/>
          <w:i/>
        </w:rPr>
        <w:t xml:space="preserve">Eimeria </w:t>
      </w:r>
      <w:r>
        <w:rPr>
          <w:rFonts w:ascii="Times new roman" w:hAnsi="Times new roman"/>
        </w:rPr>
        <w:t>spp. values (corresponding to a log2 ratio between parasite and mouse D</w:t>
      </w:r>
      <w:r>
        <w:rPr>
          <w:rFonts w:eastAsia="Cambria" w:cs="" w:ascii="Times new roman" w:hAnsi="Times new roman" w:cstheme="minorBidi"/>
          <w:color w:val="000000"/>
          <w:kern w:val="0"/>
          <w:sz w:val="24"/>
          <w:szCs w:val="24"/>
          <w:highlight w:val="yellow"/>
          <w:lang w:val="en-US" w:eastAsia="en-US" w:bidi="ar-SA"/>
        </w:rPr>
        <w:t>NA)</w:t>
      </w:r>
      <w:bookmarkStart w:id="6" w:name="docs-internal-guid-e3eafc64-7fff-75db-f1"/>
      <w:bookmarkEnd w:id="6"/>
      <w:r>
        <w:rPr>
          <w:rFonts w:eastAsia="Cambria" w:cs="" w:ascii="Times new roman" w:hAnsi="Times new roman" w:cstheme="minorBidi"/>
          <w:color w:val="000000"/>
          <w:kern w:val="0"/>
          <w:sz w:val="24"/>
          <w:szCs w:val="24"/>
          <w:highlight w:val="yellow"/>
          <w:lang w:val="en-US" w:eastAsia="en-US" w:bidi="ar-SA"/>
        </w:rPr>
        <w:t xml:space="preserve">. </w:t>
      </w:r>
      <w:r>
        <w:rPr>
          <w:rFonts w:eastAsia="Cambria" w:cs="" w:ascii="Times new roman" w:hAnsi="Times new roman" w:cstheme="minorBidi"/>
          <w:b w:val="false"/>
          <w:i w:val="false"/>
          <w:caps w:val="false"/>
          <w:smallCaps w:val="false"/>
          <w:strike w:val="false"/>
          <w:dstrike w:val="false"/>
          <w:color w:val="000000"/>
          <w:kern w:val="0"/>
          <w:sz w:val="24"/>
          <w:szCs w:val="24"/>
          <w:highlight w:val="yellow"/>
          <w:u w:val="none"/>
          <w:effect w:val="none"/>
          <w:lang w:val="en-US" w:eastAsia="en-US" w:bidi="ar-SA"/>
        </w:rPr>
        <w:t>This method was validated in an infection experiment in NMRI mice (</w:t>
      </w:r>
      <w:r>
        <w:rPr>
          <w:rFonts w:eastAsia="Cambria" w:cs="" w:ascii="Times new roman" w:hAnsi="Times new roman" w:cstheme="minorBidi"/>
          <w:color w:val="000000"/>
          <w:kern w:val="0"/>
          <w:sz w:val="24"/>
          <w:szCs w:val="24"/>
          <w:highlight w:val="yellow"/>
          <w:lang w:val="en-US" w:eastAsia="en-US" w:bidi="ar-SA"/>
        </w:rPr>
        <w:t xml:space="preserve">Al-khlifeh et al., 2019). We considered ΔCt = -5 our limit of detection </w:t>
      </w:r>
      <w:r>
        <w:rPr>
          <w:rFonts w:eastAsia="Cambria" w:cs="" w:ascii="Times new roman" w:hAnsi="Times new roman" w:cstheme="minorBidi"/>
          <w:color w:val="000000"/>
          <w:kern w:val="0"/>
          <w:sz w:val="24"/>
          <w:szCs w:val="24"/>
          <w:highlight w:val="yellow"/>
          <w:lang w:val="en-US" w:eastAsia="en-US" w:bidi="ar-SA"/>
        </w:rPr>
        <w:t xml:space="preserve">as at this limit it was possible to obtain genotyping data for all samples using independent PCR </w:t>
      </w:r>
      <w:r>
        <w:rPr>
          <w:rFonts w:eastAsia="Cambria" w:cs="" w:ascii="Times new roman" w:hAnsi="Times new roman" w:cstheme="minorBidi"/>
          <w:color w:val="000000"/>
          <w:kern w:val="0"/>
          <w:sz w:val="24"/>
          <w:szCs w:val="24"/>
          <w:highlight w:val="yellow"/>
          <w:lang w:val="en-US" w:eastAsia="en-US" w:bidi="ar-SA"/>
        </w:rPr>
        <w:t xml:space="preserve">reactions </w:t>
      </w:r>
      <w:r>
        <w:rPr>
          <w:rFonts w:eastAsia="Cambria" w:cs="" w:ascii="Times new roman" w:hAnsi="Times new roman" w:cstheme="minorBidi"/>
          <w:color w:val="000000"/>
          <w:kern w:val="0"/>
          <w:sz w:val="24"/>
          <w:szCs w:val="24"/>
          <w:highlight w:val="yellow"/>
          <w:lang w:val="en-US" w:eastAsia="en-US" w:bidi="ar-SA"/>
        </w:rPr>
        <w:t>(Ahmed et al., 2019; Jarquín-Díaz et al., 2019)</w:t>
      </w:r>
      <w:r>
        <w:rPr>
          <w:rFonts w:ascii="Times new roman" w:hAnsi="Times new roman"/>
        </w:rPr>
        <w:t>. Samples with a ΔCt lower than -5 were considered negative (unspecific signal due to amplification of non-target DNA). Samples with a ΔCt higher than -5 for at least one of the two intestinal tissues were considered positive, and in the case of detection in both tissues, the higher value was taken as a proxy of individual parasite load. This parasite load of the intestinal tissue stage is denoted as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throughout this paper. </w:t>
      </w:r>
      <w:r>
        <w:rPr>
          <w:rFonts w:cs="" w:ascii="Times new roman" w:hAnsi="Times new roman" w:cstheme="minorBidi"/>
          <w:i/>
          <w:iCs/>
          <w:highlight w:val="yellow"/>
        </w:rPr>
        <w:t>Eimeria</w:t>
      </w:r>
      <w:r>
        <w:rPr>
          <w:rFonts w:cs="" w:ascii="Times new roman" w:hAnsi="Times new roman" w:cstheme="minorBidi"/>
          <w:highlight w:val="yellow"/>
        </w:rPr>
        <w:t xml:space="preserve"> identification at the species level was performed by means of two PCR markers (18S and COI) followed by a confirmation of morpholog</w:t>
      </w:r>
      <w:r>
        <w:rPr>
          <w:rFonts w:cs="" w:ascii="Times new roman" w:hAnsi="Times new roman" w:cstheme="minorBidi"/>
          <w:highlight w:val="yellow"/>
        </w:rPr>
        <w:t>y</w:t>
      </w:r>
      <w:r>
        <w:rPr>
          <w:rFonts w:cs="" w:ascii="Times new roman" w:hAnsi="Times new roman" w:cstheme="minorBidi"/>
          <w:highlight w:val="yellow"/>
        </w:rPr>
        <w:t xml:space="preserve"> and tissue preference as described in Jarquín-Díaz et al., 2019 </w:t>
      </w:r>
      <w:r>
        <w:rPr>
          <w:rFonts w:cs="" w:ascii="Times new roman" w:hAnsi="Times new roman" w:cstheme="minorBidi"/>
          <w:highlight w:val="yellow"/>
        </w:rPr>
        <w:t>(</w:t>
      </w:r>
      <w:r>
        <w:rPr>
          <w:rFonts w:cs="" w:ascii="Times new roman" w:hAnsi="Times new roman" w:cstheme="minorBidi"/>
          <w:highlight w:val="yellow"/>
        </w:rPr>
        <w:t xml:space="preserve">column “eimeriaSpecies” of </w:t>
      </w:r>
      <w:r>
        <w:rPr>
          <w:rFonts w:cs="" w:ascii="Times new roman" w:hAnsi="Times new roman" w:cstheme="minorBidi"/>
          <w:b/>
          <w:bCs/>
          <w:highlight w:val="yellow"/>
        </w:rPr>
        <w:t>Supplementary Tables S3</w:t>
      </w:r>
      <w:r>
        <w:rPr>
          <w:rFonts w:cs="" w:ascii="Times new roman" w:hAnsi="Times new roman" w:cstheme="minorBidi"/>
          <w:b w:val="false"/>
          <w:bCs w:val="false"/>
          <w:highlight w:val="yellow"/>
        </w:rPr>
        <w:t>).</w:t>
      </w:r>
    </w:p>
    <w:p>
      <w:pPr>
        <w:pStyle w:val="Normal"/>
        <w:rPr>
          <w:rFonts w:ascii="Times new roman" w:hAnsi="Times new roman" w:cs="" w:cstheme="minorBidi"/>
          <w:b w:val="false"/>
          <w:b w:val="false"/>
          <w:bCs w:val="false"/>
          <w:highlight w:val="yellow"/>
        </w:rPr>
      </w:pPr>
      <w:r>
        <w:rPr/>
      </w:r>
    </w:p>
    <w:p>
      <w:pPr>
        <w:pStyle w:val="Normal"/>
        <w:rPr/>
      </w:pPr>
      <w:bookmarkStart w:id="7" w:name="general-parasite-assessment"/>
      <w:bookmarkEnd w:id="7"/>
      <w:r>
        <w:rPr>
          <w:rFonts w:ascii="Times new roman" w:hAnsi="Times new roman"/>
          <w:b/>
          <w:bCs/>
        </w:rPr>
        <w:t>General parasite assessment</w:t>
      </w:r>
    </w:p>
    <w:p>
      <w:pPr>
        <w:pStyle w:val="Normal"/>
        <w:rPr/>
      </w:pPr>
      <w:r>
        <w:rPr>
          <w:rFonts w:ascii="Times new roman" w:hAnsi="Times new roman"/>
        </w:rPr>
        <w:t xml:space="preserve">As the distributions of parasite loads are expected to be highly skewed (Bliss &amp; Fisher, 1953), the median (as an estimator for the mode) is more informative than the mean (Rózsa, Reiczigel, &amp; Majoros, 2000). We therefore </w:t>
      </w:r>
      <w:r>
        <w:rPr>
          <w:rFonts w:cs="" w:ascii="Times new roman" w:hAnsi="Times new roman" w:cstheme="minorBidi"/>
          <w:highlight w:val="yellow"/>
        </w:rPr>
        <w:t>report</w:t>
      </w:r>
      <w:r>
        <w:rPr>
          <w:rFonts w:ascii="Times new roman" w:hAnsi="Times new roman"/>
        </w:rPr>
        <w:t xml:space="preserve"> the median of parasite load across all hosts (median abundance) and of parasite load of infected host (median intensity) for pinworms, and only median intensity for </w:t>
      </w:r>
      <w:r>
        <w:rPr>
          <w:rFonts w:ascii="Times new roman" w:hAnsi="Times new roman"/>
          <w:i/>
        </w:rPr>
        <w:t>Eimeria</w:t>
      </w:r>
      <w:r>
        <w:rPr>
          <w:rFonts w:ascii="Times new roman" w:hAnsi="Times new roman"/>
        </w:rPr>
        <w:t xml:space="preserve"> spp. </w:t>
      </w:r>
      <w:r>
        <w:rPr>
          <w:rFonts w:ascii="Times new roman" w:hAnsi="Times new roman"/>
        </w:rPr>
        <w:t>F</w:t>
      </w:r>
      <w:r>
        <w:rPr>
          <w:rFonts w:cs="" w:ascii="Times new roman" w:hAnsi="Times new roman" w:cstheme="minorBidi"/>
          <w:highlight w:val="yellow"/>
        </w:rPr>
        <w:t xml:space="preserve">or </w:t>
      </w:r>
      <w:r>
        <w:rPr>
          <w:rFonts w:cs="" w:ascii="Times new roman" w:hAnsi="Times new roman" w:cstheme="minorBidi"/>
          <w:highlight w:val="yellow"/>
        </w:rPr>
        <w:t xml:space="preserve">qPCR some uninfected </w:t>
      </w:r>
      <w:r>
        <w:rPr>
          <w:rFonts w:cs="" w:ascii="Times new roman" w:hAnsi="Times new roman" w:cstheme="minorBidi"/>
          <w:highlight w:val="yellow"/>
        </w:rPr>
        <w:t xml:space="preserve">samples </w:t>
      </w:r>
      <w:r>
        <w:rPr>
          <w:rFonts w:cs="" w:ascii="Times new roman" w:hAnsi="Times new roman" w:cstheme="minorBidi"/>
          <w:highlight w:val="yellow"/>
        </w:rPr>
        <w:t xml:space="preserve">present </w:t>
      </w:r>
      <w:r>
        <w:rPr>
          <w:rFonts w:cs="" w:ascii="Times new roman" w:hAnsi="Times new roman" w:cstheme="minorBidi"/>
          <w:highlight w:val="yellow"/>
        </w:rPr>
        <w:t xml:space="preserve">technical noise due to unspecific amplification of non-target DNA. </w:t>
      </w:r>
      <w:r>
        <w:rPr>
          <w:rFonts w:cs="" w:ascii="Times new roman" w:hAnsi="Times new roman" w:cstheme="minorBidi"/>
          <w:highlight w:val="yellow"/>
        </w:rPr>
        <w:t xml:space="preserve">We therefore used a qPCR threshold </w:t>
      </w:r>
      <w:r>
        <w:rPr>
          <w:rFonts w:cs="" w:ascii="Times new roman" w:hAnsi="Times new roman" w:cstheme="minorBidi"/>
          <w:highlight w:val="yellow"/>
        </w:rPr>
        <w:t>validated</w:t>
      </w:r>
      <w:r>
        <w:rPr>
          <w:rFonts w:cs="" w:ascii="Times new roman" w:hAnsi="Times new roman" w:cstheme="minorBidi"/>
          <w:highlight w:val="yellow"/>
        </w:rPr>
        <w:t xml:space="preserve"> </w:t>
      </w:r>
      <w:r>
        <w:rPr>
          <w:rFonts w:cs="" w:ascii="Times new roman" w:hAnsi="Times new roman" w:cstheme="minorBidi"/>
          <w:highlight w:val="yellow"/>
        </w:rPr>
        <w:t xml:space="preserve">by </w:t>
      </w:r>
      <w:r>
        <w:rPr>
          <w:rFonts w:cs="" w:ascii="Times new roman" w:hAnsi="Times new roman" w:cstheme="minorBidi"/>
          <w:highlight w:val="yellow"/>
        </w:rPr>
        <w:t xml:space="preserve">independent genotyping PCRs (see “Fig. </w:t>
      </w:r>
      <w:r>
        <w:rPr>
          <w:rFonts w:cs="" w:ascii="Times new roman" w:hAnsi="Times new roman" w:cstheme="minorBidi"/>
          <w:highlight w:val="yellow"/>
        </w:rPr>
        <w:t xml:space="preserve">4” of </w:t>
      </w:r>
      <w:r>
        <w:rPr>
          <w:rFonts w:cs="" w:ascii="Times new roman" w:hAnsi="Times new roman" w:cstheme="minorBidi"/>
          <w:highlight w:val="yellow"/>
        </w:rPr>
        <w:t>Jarquín-Díaz et al., 2019) to establish the infection status of each sample (</w:t>
      </w:r>
      <w:r>
        <w:rPr>
          <w:rFonts w:cs="" w:ascii="Times new roman" w:hAnsi="Times new roman" w:cstheme="minorBidi"/>
          <w:highlight w:val="yellow"/>
        </w:rPr>
        <w:t xml:space="preserve">and we don’t report </w:t>
      </w:r>
      <w:r>
        <w:rPr>
          <w:rFonts w:cs="" w:ascii="Times new roman" w:hAnsi="Times new roman" w:cstheme="minorBidi"/>
          <w:highlight w:val="yellow"/>
        </w:rPr>
        <w:t xml:space="preserve">abundance </w:t>
      </w:r>
      <w:r>
        <w:rPr>
          <w:rFonts w:cs="" w:ascii="Times new roman" w:hAnsi="Times new roman" w:cstheme="minorBidi"/>
          <w:highlight w:val="yellow"/>
        </w:rPr>
        <w:t xml:space="preserve">for </w:t>
      </w:r>
      <w:r>
        <w:rPr>
          <w:rFonts w:cs="" w:ascii="Times new roman" w:hAnsi="Times new roman" w:cstheme="minorBidi"/>
          <w:i/>
          <w:iCs/>
          <w:highlight w:val="yellow"/>
        </w:rPr>
        <w:t>Eimeria,</w:t>
      </w:r>
      <w:r>
        <w:rPr>
          <w:rFonts w:cs="" w:ascii="Times new roman" w:hAnsi="Times new roman" w:cstheme="minorBidi"/>
          <w:i w:val="false"/>
          <w:iCs w:val="false"/>
          <w:highlight w:val="yellow"/>
        </w:rPr>
        <w:t xml:space="preserve"> see </w:t>
      </w:r>
      <w:r>
        <w:rPr>
          <w:rFonts w:cs="" w:ascii="Times new roman" w:hAnsi="Times new roman" w:cstheme="minorBidi"/>
          <w:i w:val="false"/>
          <w:iCs w:val="false"/>
          <w:highlight w:val="yellow"/>
        </w:rPr>
        <w:t xml:space="preserve">Jarquín-Díaz et al., 2019 </w:t>
      </w:r>
      <w:r>
        <w:rPr>
          <w:rFonts w:cs="" w:ascii="Times new roman" w:hAnsi="Times new roman" w:cstheme="minorBidi"/>
          <w:i w:val="false"/>
          <w:iCs w:val="false"/>
          <w:highlight w:val="yellow"/>
        </w:rPr>
        <w:t>for details</w:t>
      </w:r>
      <w:r>
        <w:rPr>
          <w:rFonts w:cs="" w:ascii="Times new roman" w:hAnsi="Times new roman" w:cstheme="minorBidi"/>
          <w:highlight w:val="yellow"/>
        </w:rPr>
        <w:t>)</w:t>
      </w:r>
      <w:r>
        <w:rPr>
          <w:rFonts w:ascii="Times new roman" w:hAnsi="Times new roman"/>
        </w:rPr>
        <w:t>. Prevalence (relative frequency of infected individuals amongst all tested individuals) confidence intervals were obtained with Sterne’s exact method (Reiczigel, Földi, &amp; Ozsvári, 2010; Sterne, 1954). Calculations were performed using the epiR package (Nunes et al., 2018) running within the R statistical computing environment (R Development Core Team, 2008).</w:t>
      </w:r>
    </w:p>
    <w:p>
      <w:pPr>
        <w:pStyle w:val="Normal"/>
        <w:rPr>
          <w:rFonts w:eastAsia="Cambria" w:cs="" w:cstheme="minorBidi" w:eastAsiaTheme="minorHAnsi"/>
          <w:highlight w:val="yellow"/>
        </w:rPr>
      </w:pPr>
      <w:r>
        <w:rPr>
          <w:rFonts w:eastAsia="Cambria" w:cs="" w:ascii="Times new roman" w:hAnsi="Times new roman" w:cstheme="minorBidi" w:eastAsiaTheme="minorHAnsi"/>
          <w:b/>
          <w:bCs/>
          <w:highlight w:val="yellow"/>
        </w:rPr>
        <w:t>Statistical design: testing hybrid resistance/susceptibility in a natural system</w:t>
      </w:r>
    </w:p>
    <w:p>
      <w:pPr>
        <w:pStyle w:val="Normal"/>
        <w:rPr/>
      </w:pPr>
      <w:r>
        <w:rPr>
          <w:rFonts w:cs="" w:ascii="Times new roman" w:hAnsi="Times new roman" w:cstheme="minorBidi"/>
          <w:highlight w:val="yellow"/>
        </w:rPr>
        <w:t xml:space="preserve">According to the SIR model </w:t>
      </w:r>
      <w:r>
        <w:rPr>
          <w:rFonts w:cs="" w:ascii="Times new roman" w:hAnsi="Times new roman" w:cstheme="minorBidi"/>
          <w:highlight w:val="yellow"/>
        </w:rPr>
        <w:t>of epdidemiology</w:t>
      </w:r>
      <w:r>
        <w:rPr>
          <w:rFonts w:cs="" w:ascii="Times new roman" w:hAnsi="Times new roman" w:cstheme="minorBidi"/>
          <w:highlight w:val="yellow"/>
        </w:rPr>
        <w:t>, individuals can be divided into susceptible (S), infected (I), and removed (R, dead or recovered). Animals captured in the field can show (1) absence, or (2) presence of a given parasite. Absence of parasite in a given host can result from absence of exposure to parasit</w:t>
      </w:r>
      <w:r>
        <w:rPr>
          <w:rFonts w:cs="" w:ascii="Times new roman" w:hAnsi="Times new roman" w:cstheme="minorBidi"/>
          <w:strike w:val="false"/>
          <w:dstrike w:val="false"/>
          <w:highlight w:val="yellow"/>
        </w:rPr>
        <w:t>e, complete host resistance, recovery, or death (</w:t>
      </w:r>
      <w:r>
        <w:rPr>
          <w:rFonts w:cs="" w:ascii="Times new roman" w:hAnsi="Times new roman" w:cstheme="minorBidi"/>
          <w:b w:val="false"/>
          <w:i w:val="false"/>
          <w:iCs w:val="false"/>
          <w:caps w:val="false"/>
          <w:smallCaps w:val="false"/>
          <w:strike w:val="false"/>
          <w:dstrike w:val="false"/>
          <w:color w:val="00000A"/>
          <w:spacing w:val="0"/>
          <w:sz w:val="24"/>
          <w:highlight w:val="yellow"/>
        </w:rPr>
        <w:t>Krämer, Kretzschmar, &amp; Krickeberg, 2010).</w:t>
      </w:r>
      <w:r>
        <w:rPr>
          <w:rFonts w:cs="" w:ascii="Times new roman" w:hAnsi="Times new roman" w:cstheme="minorBidi"/>
          <w:highlight w:val="yellow"/>
        </w:rPr>
        <w:t xml:space="preserve"> On the other hand,</w:t>
      </w:r>
      <w:r>
        <w:rPr>
          <w:rFonts w:cs="" w:ascii="Times new roman" w:hAnsi="Times new roman" w:cstheme="minorBidi"/>
          <w:sz w:val="24"/>
          <w:szCs w:val="24"/>
          <w:highlight w:val="yellow"/>
        </w:rPr>
        <w:t xml:space="preserve"> </w:t>
      </w:r>
      <w:r>
        <w:rPr>
          <w:rFonts w:cs="" w:ascii="Times new roman" w:hAnsi="Times new roman" w:cstheme="minorBidi"/>
          <w:highlight w:val="yellow"/>
        </w:rPr>
        <w:t>quantitative parasite load depends on intrinsic host or parasite components or their interaction</w:t>
      </w:r>
      <w:r>
        <w:rPr>
          <w:rFonts w:cs="" w:ascii="Times new roman" w:hAnsi="Times new roman" w:cstheme="minorBidi"/>
          <w:b w:val="false"/>
          <w:bCs w:val="false"/>
          <w:highlight w:val="yellow"/>
        </w:rPr>
        <w:t xml:space="preserve">s. </w:t>
      </w:r>
      <w:r>
        <w:rPr>
          <w:rFonts w:cs="" w:ascii="Times new roman" w:hAnsi="Times new roman" w:cstheme="minorBidi"/>
          <w:b w:val="false"/>
          <w:bCs w:val="false"/>
          <w:highlight w:val="yellow"/>
        </w:rPr>
        <w:t xml:space="preserve">We argue that when </w:t>
      </w:r>
      <w:r>
        <w:rPr>
          <w:rFonts w:cs="" w:ascii="Times new roman" w:hAnsi="Times new roman" w:cstheme="minorBidi"/>
          <w:b w:val="false"/>
          <w:bCs w:val="false"/>
          <w:highlight w:val="yellow"/>
        </w:rPr>
        <w:t xml:space="preserve">testing the hypotheses of hybrid resistance or susceptibility in a natural system, one </w:t>
      </w:r>
      <w:r>
        <w:rPr>
          <w:rFonts w:cs="" w:ascii="Times new roman" w:hAnsi="Times new roman" w:cstheme="minorBidi"/>
          <w:b w:val="false"/>
          <w:bCs w:val="false"/>
          <w:highlight w:val="yellow"/>
        </w:rPr>
        <w:t xml:space="preserve">a </w:t>
      </w:r>
      <w:r>
        <w:rPr>
          <w:rFonts w:cs="" w:ascii="Times new roman" w:hAnsi="Times new roman" w:cstheme="minorBidi"/>
          <w:b w:val="false"/>
          <w:bCs w:val="false"/>
          <w:highlight w:val="yellow"/>
        </w:rPr>
        <w:t xml:space="preserve">focus on the latter </w:t>
      </w:r>
      <w:r>
        <w:rPr>
          <w:rFonts w:cs="" w:ascii="Times new roman" w:hAnsi="Times new roman" w:cstheme="minorBidi"/>
          <w:b w:val="false"/>
          <w:bCs w:val="false"/>
          <w:highlight w:val="yellow"/>
        </w:rPr>
        <w:t xml:space="preserve">is beneficial. Therefore, we </w:t>
      </w:r>
      <w:r>
        <w:rPr>
          <w:rFonts w:cs="" w:ascii="Times new roman" w:hAnsi="Times new roman" w:cstheme="minorBidi"/>
          <w:b w:val="false"/>
          <w:bCs w:val="false"/>
          <w:highlight w:val="yellow"/>
        </w:rPr>
        <w:t xml:space="preserve">test </w:t>
      </w:r>
      <w:r>
        <w:rPr>
          <w:rFonts w:cs="" w:ascii="Times new roman" w:hAnsi="Times new roman" w:cstheme="minorBidi"/>
          <w:b w:val="false"/>
          <w:bCs w:val="false"/>
          <w:highlight w:val="yellow"/>
        </w:rPr>
        <w:t xml:space="preserve">a </w:t>
      </w:r>
      <w:r>
        <w:rPr>
          <w:rFonts w:cs="" w:ascii="Times new roman" w:hAnsi="Times new roman" w:cstheme="minorBidi"/>
          <w:b w:val="false"/>
          <w:bCs w:val="false"/>
          <w:highlight w:val="yellow"/>
        </w:rPr>
        <w:t xml:space="preserve">potential increase or decrease of parasite load in infected animals (intensity) towards the centre of the zone compared to its sides. We performed this analysis for our parasites of interest, but first verified that we could exclude </w:t>
      </w:r>
      <w:r>
        <w:rPr>
          <w:rFonts w:cs="" w:ascii="Times new roman" w:hAnsi="Times new roman" w:cstheme="minorBidi"/>
          <w:b w:val="false"/>
          <w:bCs w:val="false"/>
          <w:highlight w:val="yellow"/>
        </w:rPr>
        <w:t xml:space="preserve">differences </w:t>
      </w:r>
      <w:r>
        <w:rPr>
          <w:rFonts w:cs="" w:ascii="Times new roman" w:hAnsi="Times new roman" w:cstheme="minorBidi"/>
          <w:b w:val="false"/>
          <w:bCs w:val="false"/>
          <w:highlight w:val="yellow"/>
        </w:rPr>
        <w:t xml:space="preserve">in prevalence (probability of infection) along </w:t>
      </w:r>
      <w:r>
        <w:rPr>
          <w:rFonts w:cs="" w:ascii="Times new roman" w:hAnsi="Times new roman" w:cstheme="minorBidi"/>
          <w:b w:val="false"/>
          <w:bCs w:val="false"/>
          <w:highlight w:val="yellow"/>
        </w:rPr>
        <w:t xml:space="preserve">the </w:t>
      </w:r>
      <w:r>
        <w:rPr>
          <w:rFonts w:cs="" w:ascii="Times new roman" w:hAnsi="Times new roman" w:cstheme="minorBidi"/>
          <w:b w:val="false"/>
          <w:bCs w:val="false"/>
          <w:highlight w:val="yellow"/>
        </w:rPr>
        <w:t xml:space="preserve">hybrid </w:t>
      </w:r>
      <w:r>
        <w:rPr>
          <w:rFonts w:cs="" w:ascii="Times new roman" w:hAnsi="Times new roman" w:cstheme="minorBidi"/>
          <w:b w:val="false"/>
          <w:bCs w:val="false"/>
          <w:highlight w:val="yellow"/>
        </w:rPr>
        <w:t xml:space="preserve">index for </w:t>
      </w:r>
      <w:r>
        <w:rPr>
          <w:rFonts w:cs="" w:ascii="Times new roman" w:hAnsi="Times new roman" w:cstheme="minorBidi"/>
          <w:b w:val="false"/>
          <w:bCs w:val="false"/>
          <w:highlight w:val="yellow"/>
        </w:rPr>
        <w:t xml:space="preserve">each parasite. </w:t>
      </w:r>
      <w:r>
        <w:rPr>
          <w:rFonts w:cs="" w:ascii="Times new roman" w:hAnsi="Times new roman" w:cstheme="minorBidi"/>
          <w:b w:val="false"/>
          <w:bCs w:val="false"/>
          <w:highlight w:val="yellow"/>
        </w:rPr>
        <w:t xml:space="preserve">This leaves </w:t>
      </w:r>
      <w:r>
        <w:rPr>
          <w:rFonts w:cs="" w:ascii="Times new roman" w:hAnsi="Times new roman" w:cstheme="minorBidi"/>
          <w:b w:val="false"/>
          <w:bCs w:val="false"/>
          <w:highlight w:val="yellow"/>
        </w:rPr>
        <w:t xml:space="preserve">mortality </w:t>
      </w:r>
      <w:r>
        <w:rPr>
          <w:rFonts w:cs="" w:ascii="Times new roman" w:hAnsi="Times new roman" w:cstheme="minorBidi"/>
          <w:b w:val="false"/>
          <w:bCs w:val="false"/>
          <w:highlight w:val="yellow"/>
        </w:rPr>
        <w:t xml:space="preserve">as the only epidemiological factor (in the SIR model) to potentially influence both prevalence and intensity, we therefore additionally tested increased mortality by analyzing differences in (infected/uninfected) age categories along the hybrid index </w:t>
      </w:r>
      <w:r>
        <w:rPr>
          <w:rFonts w:cs="" w:ascii="Times new roman" w:hAnsi="Times new roman" w:cstheme="minorBidi"/>
          <w:b w:val="false"/>
          <w:bCs w:val="false"/>
          <w:highlight w:val="yellow"/>
        </w:rPr>
        <w:t xml:space="preserve">(see below: </w:t>
      </w:r>
      <w:r>
        <w:rPr>
          <w:rFonts w:cs="" w:ascii="Times new roman" w:hAnsi="Times new roman" w:cstheme="minorBidi"/>
          <w:b w:val="false"/>
          <w:bCs w:val="false"/>
          <w:i w:val="false"/>
          <w:caps w:val="false"/>
          <w:smallCaps w:val="false"/>
          <w:strike w:val="false"/>
          <w:dstrike w:val="false"/>
          <w:color w:val="000000"/>
          <w:sz w:val="24"/>
          <w:szCs w:val="24"/>
          <w:highlight w:val="yellow"/>
          <w:u w:val="none"/>
          <w:effect w:val="none"/>
        </w:rPr>
        <w:t>Statist</w:t>
      </w:r>
      <w:r>
        <w:rPr>
          <w:rFonts w:cs="" w:ascii="Times new roman" w:hAnsi="Times new roman" w:cstheme="minorBidi"/>
          <w:b w:val="false"/>
          <w:bCs w:val="false"/>
          <w:i w:val="false"/>
          <w:caps w:val="false"/>
          <w:smallCaps w:val="false"/>
          <w:strike w:val="false"/>
          <w:dstrike w:val="false"/>
          <w:color w:val="00000A"/>
          <w:sz w:val="24"/>
          <w:szCs w:val="24"/>
          <w:highlight w:val="yellow"/>
          <w:u w:val="none"/>
          <w:effect w:val="none"/>
        </w:rPr>
        <w:t xml:space="preserve">ical test for different </w:t>
      </w:r>
      <w:r>
        <w:rPr>
          <w:rFonts w:cs="" w:ascii="Times new roman" w:hAnsi="Times new roman"/>
          <w:b w:val="false"/>
          <w:bCs w:val="false"/>
          <w:i w:val="false"/>
          <w:caps w:val="false"/>
          <w:smallCaps w:val="false"/>
          <w:strike w:val="false"/>
          <w:dstrike w:val="false"/>
          <w:color w:val="00000A"/>
          <w:sz w:val="24"/>
          <w:szCs w:val="24"/>
          <w:highlight w:val="yellow"/>
          <w:u w:val="none"/>
          <w:effect w:val="none"/>
        </w:rPr>
        <w:t>mortality of hybrids</w:t>
      </w:r>
      <w:r>
        <w:rPr>
          <w:rFonts w:cs="" w:ascii="Times new roman" w:hAnsi="Times new roman" w:cstheme="minorBidi"/>
          <w:b w:val="false"/>
          <w:bCs w:val="false"/>
          <w:highlight w:val="yellow"/>
        </w:rPr>
        <w:t>)</w:t>
      </w:r>
      <w:r>
        <w:rPr>
          <w:rFonts w:cs="" w:ascii="Times new roman" w:hAnsi="Times new roman" w:cstheme="minorBidi"/>
          <w:b w:val="false"/>
          <w:bCs w:val="false"/>
          <w:highlight w:val="yellow"/>
        </w:rPr>
        <w:t xml:space="preserve">. </w:t>
      </w:r>
    </w:p>
    <w:p>
      <w:pPr>
        <w:pStyle w:val="Normal"/>
        <w:rPr/>
      </w:pPr>
      <w:r>
        <w:rPr>
          <w:rFonts w:cs="" w:ascii="Times new roman" w:hAnsi="Times new roman" w:cstheme="minorBidi"/>
          <w:b w:val="false"/>
          <w:bCs w:val="false"/>
          <w:highlight w:val="yellow"/>
        </w:rPr>
        <w:t xml:space="preserve">The hybridization level on each individual was modelled as the degree to which new gene combinations are brought together compared to the pure subspecies. This was estimated from the hybrid index using the function for expected heterozygosity (Baird et al., 2012): </w:t>
      </w:r>
    </w:p>
    <w:p>
      <w:pPr>
        <w:pStyle w:val="Normal"/>
        <w:jc w:val="center"/>
        <w:rPr/>
      </w:pPr>
      <w:r>
        <w:rPr>
          <w:rFonts w:cs="" w:ascii="Times new roman" w:hAnsi="Times new roman" w:cstheme="minorBidi"/>
          <w:b w:val="false"/>
          <w:bCs w:val="false"/>
          <w:i/>
          <w:highlight w:val="yellow"/>
        </w:rPr>
        <w:t xml:space="preserve">He = 2 · HI · (1 </w:t>
      </w:r>
      <w:r>
        <w:rPr>
          <w:rFonts w:cs="" w:ascii="Times new roman" w:hAnsi="Times new roman" w:cstheme="minorBidi"/>
          <w:b w:val="false"/>
          <w:bCs w:val="false"/>
          <w:highlight w:val="yellow"/>
        </w:rPr>
        <w:t xml:space="preserve">− </w:t>
      </w:r>
      <w:r>
        <w:rPr>
          <w:rFonts w:cs="" w:ascii="Times new roman" w:hAnsi="Times new roman" w:cstheme="minorBidi"/>
          <w:b w:val="false"/>
          <w:bCs w:val="false"/>
          <w:i/>
          <w:highlight w:val="yellow"/>
        </w:rPr>
        <w:t>HI) ,           (Eq. 1)</w:t>
      </w:r>
    </w:p>
    <w:p>
      <w:pPr>
        <w:pStyle w:val="Normal"/>
        <w:rPr>
          <w:rFonts w:eastAsia="Cambria" w:cs="" w:cstheme="minorBidi" w:eastAsiaTheme="minorHAnsi"/>
          <w:color w:val="00000A"/>
        </w:rPr>
      </w:pPr>
      <w:r>
        <w:rPr>
          <w:rFonts w:eastAsia="Cambria" w:cs="" w:ascii="Times new roman" w:hAnsi="Times new roman" w:cstheme="minorBidi" w:eastAsiaTheme="minorHAnsi"/>
          <w:b/>
          <w:bCs/>
          <w:color w:val="00000A"/>
        </w:rPr>
        <w:t>Statistical prediction of probability of infection by parasites along the hybrid zone</w:t>
      </w:r>
    </w:p>
    <w:p>
      <w:pPr>
        <w:pStyle w:val="Normal"/>
        <w:rPr>
          <w:highlight w:val="yellow"/>
        </w:rPr>
      </w:pPr>
      <w:r>
        <w:rPr>
          <w:rFonts w:ascii="Times new roman" w:hAnsi="Times new roman"/>
          <w:highlight w:val="yellow"/>
        </w:rPr>
        <w:t>W</w:t>
      </w:r>
      <w:r>
        <w:rPr>
          <w:rFonts w:ascii="Times new roman" w:hAnsi="Times new roman"/>
          <w:highlight w:val="yellow"/>
        </w:rPr>
        <w:t xml:space="preserve">e considered the predicted probability of infection along the HI </w:t>
      </w:r>
      <w:r>
        <w:rPr>
          <w:rFonts w:ascii="Times new roman" w:hAnsi="Times new roman"/>
          <w:highlight w:val="yellow"/>
        </w:rPr>
        <w:t xml:space="preserve">as equivalent with the prevalence and modeled </w:t>
      </w:r>
      <w:r>
        <w:rPr>
          <w:rFonts w:ascii="Times new roman" w:hAnsi="Times new roman"/>
          <w:highlight w:val="yellow"/>
        </w:rPr>
        <w:t xml:space="preserve">dichotomous response variable (uninfected = 0; infected = 1) by logistic regression. </w:t>
      </w:r>
      <w:r>
        <w:rPr>
          <w:rFonts w:ascii="Times new roman" w:hAnsi="Times new roman"/>
          <w:highlight w:val="yellow"/>
        </w:rPr>
        <w:t xml:space="preserve">We performed two analyses, one testing for prevalence differences </w:t>
      </w:r>
      <w:r>
        <w:rPr>
          <w:rFonts w:cs="" w:ascii="Times new roman" w:hAnsi="Times new roman" w:cstheme="minorBidi"/>
          <w:highlight w:val="yellow"/>
        </w:rPr>
        <w:t xml:space="preserve">on both half of the hybrid index separately and a second one with a unified </w:t>
      </w:r>
      <w:r>
        <w:rPr>
          <w:rFonts w:ascii="Times new roman" w:hAnsi="Times new roman"/>
          <w:highlight w:val="yellow"/>
        </w:rPr>
        <w:t xml:space="preserve">“genetic distance to zone centre” </w:t>
      </w:r>
      <w:r>
        <w:rPr>
          <w:rFonts w:ascii="Times new roman" w:hAnsi="Times new roman"/>
          <w:highlight w:val="yellow"/>
        </w:rPr>
        <w:t>(for individuals with HI between 0 and 0.5 the proxy is HI, for individuals with HI between 0.5 and 1 the proxy is 1 – HI)</w:t>
      </w:r>
      <w:r>
        <w:rPr>
          <w:rFonts w:ascii="Times new roman" w:hAnsi="Times new roman"/>
          <w:highlight w:val="yellow"/>
        </w:rPr>
        <w:t xml:space="preserve">. </w:t>
      </w:r>
      <w:r>
        <w:rPr>
          <w:rFonts w:ascii="Times new roman" w:hAnsi="Times new roman"/>
          <w:highlight w:val="yellow"/>
        </w:rPr>
        <w:t xml:space="preserve">This means </w:t>
      </w:r>
      <w:r>
        <w:rPr>
          <w:rFonts w:cs="" w:ascii="Times new roman" w:hAnsi="Times new roman" w:cstheme="minorBidi"/>
          <w:highlight w:val="yellow"/>
        </w:rPr>
        <w:t xml:space="preserve">we do not blindly </w:t>
      </w:r>
      <w:r>
        <w:rPr>
          <w:rFonts w:cs="" w:ascii="Times new roman" w:hAnsi="Times new roman" w:cstheme="minorBidi"/>
          <w:highlight w:val="yellow"/>
        </w:rPr>
        <w:t xml:space="preserve">assume equality of prevalence at both ends of the hybrid </w:t>
      </w:r>
      <w:r>
        <w:rPr>
          <w:rFonts w:cs="" w:ascii="Times new roman" w:hAnsi="Times new roman" w:cstheme="minorBidi"/>
          <w:highlight w:val="yellow"/>
        </w:rPr>
        <w:t>index</w:t>
      </w:r>
      <w:r>
        <w:rPr>
          <w:rFonts w:cs="" w:ascii="Times new roman" w:hAnsi="Times new roman" w:cstheme="minorBidi"/>
          <w:highlight w:val="yellow"/>
        </w:rPr>
        <w:t xml:space="preserve">, </w:t>
      </w:r>
      <w:r>
        <w:rPr>
          <w:rFonts w:cs="" w:ascii="Times new roman" w:hAnsi="Times new roman" w:cstheme="minorBidi"/>
          <w:highlight w:val="yellow"/>
        </w:rPr>
        <w:t xml:space="preserve">but also maximize </w:t>
      </w:r>
      <w:r>
        <w:rPr>
          <w:rFonts w:cs="" w:ascii="Times new roman" w:hAnsi="Times new roman" w:cstheme="minorBidi"/>
          <w:highlight w:val="yellow"/>
        </w:rPr>
        <w:t xml:space="preserve">power to reject the null hypothesis </w:t>
      </w:r>
      <w:r>
        <w:rPr>
          <w:rFonts w:cs="" w:ascii="Times new roman" w:hAnsi="Times new roman" w:cstheme="minorBidi"/>
          <w:highlight w:val="yellow"/>
        </w:rPr>
        <w:t xml:space="preserve">(esp. in case of a negative result </w:t>
      </w:r>
      <w:r>
        <w:rPr>
          <w:rFonts w:cs="" w:ascii="Times new roman" w:hAnsi="Times new roman" w:cstheme="minorBidi"/>
          <w:highlight w:val="yellow"/>
        </w:rPr>
        <w:t>in the separate analysis</w:t>
      </w:r>
      <w:r>
        <w:rPr>
          <w:rFonts w:cs="" w:ascii="Times new roman" w:hAnsi="Times new roman" w:cstheme="minorBidi"/>
          <w:highlight w:val="yellow"/>
        </w:rPr>
        <w:t xml:space="preserve">). </w:t>
      </w:r>
      <w:r>
        <w:rPr>
          <w:rFonts w:ascii="Times new roman" w:hAnsi="Times new roman"/>
          <w:highlight w:val="yellow"/>
        </w:rPr>
        <w:t xml:space="preserve">Analyses were done in R with the function glm from the stats package (R Development Core Team, 2008) </w:t>
      </w:r>
      <w:r>
        <w:rPr>
          <w:rFonts w:ascii="Times new roman" w:hAnsi="Times new roman"/>
          <w:highlight w:val="yellow"/>
        </w:rPr>
        <w:t xml:space="preserve">including host sex and </w:t>
      </w:r>
      <w:r>
        <w:rPr>
          <w:rFonts w:ascii="Times new roman" w:hAnsi="Times new roman"/>
          <w:highlight w:val="yellow"/>
        </w:rPr>
        <w:t xml:space="preserve">interaction </w:t>
      </w:r>
      <w:r>
        <w:rPr>
          <w:rFonts w:ascii="Times new roman" w:hAnsi="Times new roman"/>
          <w:highlight w:val="yellow"/>
        </w:rPr>
        <w:t>terms with the variable representing hybrid genetics</w:t>
      </w:r>
      <w:r>
        <w:rPr>
          <w:rFonts w:ascii="Times new roman" w:hAnsi="Times new roman"/>
          <w:highlight w:val="yellow"/>
        </w:rPr>
        <w:t>.</w:t>
      </w:r>
    </w:p>
    <w:p>
      <w:pPr>
        <w:pStyle w:val="Normal"/>
        <w:rPr/>
      </w:pPr>
      <w:r>
        <w:rPr>
          <w:rFonts w:cs="" w:ascii="Times new roman" w:hAnsi="Times new roman" w:cstheme="minorBidi"/>
          <w:b/>
          <w:bCs/>
          <w:i w:val="false"/>
          <w:caps w:val="false"/>
          <w:smallCaps w:val="false"/>
          <w:strike w:val="false"/>
          <w:dstrike w:val="false"/>
          <w:color w:val="000000"/>
          <w:sz w:val="24"/>
          <w:szCs w:val="24"/>
          <w:highlight w:val="yellow"/>
          <w:u w:val="none"/>
          <w:effect w:val="none"/>
        </w:rPr>
        <w:t>Statist</w:t>
      </w:r>
      <w:r>
        <w:rPr>
          <w:rFonts w:cs="" w:ascii="Times new roman" w:hAnsi="Times new roman" w:cstheme="minorBidi"/>
          <w:b/>
          <w:bCs/>
          <w:i w:val="false"/>
          <w:caps w:val="false"/>
          <w:smallCaps w:val="false"/>
          <w:strike w:val="false"/>
          <w:dstrike w:val="false"/>
          <w:color w:val="00000A"/>
          <w:sz w:val="24"/>
          <w:szCs w:val="24"/>
          <w:highlight w:val="yellow"/>
          <w:u w:val="none"/>
          <w:effect w:val="none"/>
        </w:rPr>
        <w:t xml:space="preserve">ical test </w:t>
      </w:r>
      <w:r>
        <w:rPr>
          <w:rFonts w:cs="" w:ascii="Times new roman" w:hAnsi="Times new roman" w:cstheme="minorBidi"/>
          <w:b/>
          <w:bCs/>
          <w:i w:val="false"/>
          <w:caps w:val="false"/>
          <w:smallCaps w:val="false"/>
          <w:strike w:val="false"/>
          <w:dstrike w:val="false"/>
          <w:color w:val="00000A"/>
          <w:sz w:val="24"/>
          <w:szCs w:val="24"/>
          <w:highlight w:val="yellow"/>
          <w:u w:val="none"/>
          <w:effect w:val="none"/>
        </w:rPr>
        <w:t xml:space="preserve">for different </w:t>
      </w:r>
      <w:r>
        <w:rPr>
          <w:rFonts w:ascii="Times new roman" w:hAnsi="Times new roman"/>
          <w:b/>
          <w:bCs/>
          <w:i w:val="false"/>
          <w:caps w:val="false"/>
          <w:smallCaps w:val="false"/>
          <w:strike w:val="false"/>
          <w:dstrike w:val="false"/>
          <w:color w:val="00000A"/>
          <w:sz w:val="24"/>
          <w:szCs w:val="24"/>
          <w:highlight w:val="yellow"/>
          <w:u w:val="none"/>
          <w:effect w:val="none"/>
        </w:rPr>
        <w:t>mortality of hybrids</w:t>
      </w:r>
    </w:p>
    <w:p>
      <w:pPr>
        <w:pStyle w:val="TextBody"/>
        <w:rPr/>
      </w:pPr>
      <w:r>
        <w:rPr>
          <w:rFonts w:cs="" w:ascii="Times new roman" w:hAnsi="Times new roman" w:cstheme="minorBidi"/>
          <w:b w:val="false"/>
          <w:bCs/>
          <w:i w:val="false"/>
          <w:caps w:val="false"/>
          <w:smallCaps w:val="false"/>
          <w:strike w:val="false"/>
          <w:dstrike w:val="false"/>
          <w:color w:val="00000A"/>
          <w:sz w:val="24"/>
          <w:szCs w:val="24"/>
          <w:highlight w:val="yellow"/>
          <w:u w:val="none"/>
          <w:effect w:val="none"/>
        </w:rPr>
        <w:t>Secondly,</w:t>
      </w:r>
      <w:r>
        <w:rPr>
          <w:rFonts w:cs="" w:ascii="Times New Roman" w:hAnsi="Times New Roman" w:cstheme="minorBidi"/>
          <w:b w:val="false"/>
          <w:bCs/>
          <w:i w:val="false"/>
          <w:caps w:val="false"/>
          <w:smallCaps w:val="false"/>
          <w:strike w:val="false"/>
          <w:dstrike w:val="false"/>
          <w:color w:val="00000A"/>
          <w:sz w:val="24"/>
          <w:szCs w:val="24"/>
          <w:highlight w:val="yellow"/>
          <w:u w:val="none"/>
          <w:effect w:val="none"/>
        </w:rPr>
        <w:t xml:space="preserve"> morbidity </w:t>
      </w:r>
      <w:r>
        <w:rPr>
          <w:rFonts w:cs="" w:ascii="Times New Roman" w:hAnsi="Times New Roman" w:cstheme="minorBidi"/>
          <w:b w:val="false"/>
          <w:bCs/>
          <w:i w:val="false"/>
          <w:caps w:val="false"/>
          <w:smallCaps w:val="false"/>
          <w:strike w:val="false"/>
          <w:dstrike w:val="false"/>
          <w:color w:val="00000A"/>
          <w:sz w:val="24"/>
          <w:szCs w:val="24"/>
          <w:highlight w:val="yellow"/>
          <w:u w:val="none"/>
          <w:effect w:val="none"/>
        </w:rPr>
        <w:t xml:space="preserve">or mortality caused by </w:t>
      </w:r>
      <w:r>
        <w:rPr>
          <w:rFonts w:cs="" w:ascii="Times new roman" w:hAnsi="Times new roman" w:cstheme="minorBidi"/>
          <w:b w:val="false"/>
          <w:bCs/>
          <w:i w:val="false"/>
          <w:caps w:val="false"/>
          <w:smallCaps w:val="false"/>
          <w:strike w:val="false"/>
          <w:dstrike w:val="false"/>
          <w:color w:val="00000A"/>
          <w:sz w:val="24"/>
          <w:szCs w:val="24"/>
          <w:highlight w:val="yellow"/>
          <w:u w:val="none"/>
          <w:effect w:val="none"/>
        </w:rPr>
        <w:t>h</w:t>
      </w:r>
      <w:r>
        <w:rPr>
          <w:rFonts w:cs="" w:ascii="Times New Roman" w:hAnsi="Times New Roman" w:cstheme="minorBidi"/>
          <w:b w:val="false"/>
          <w:bCs/>
          <w:i w:val="false"/>
          <w:caps w:val="false"/>
          <w:smallCaps w:val="false"/>
          <w:strike w:val="false"/>
          <w:dstrike w:val="false"/>
          <w:color w:val="00000A"/>
          <w:sz w:val="24"/>
          <w:szCs w:val="24"/>
          <w:highlight w:val="yellow"/>
          <w:u w:val="none"/>
          <w:effect w:val="none"/>
        </w:rPr>
        <w:t xml:space="preserve">yperparasitism </w:t>
      </w:r>
      <w:r>
        <w:rPr>
          <w:rFonts w:cs="" w:ascii="Times New Roman" w:hAnsi="Times New Roman" w:cstheme="minorBidi"/>
          <w:b w:val="false"/>
          <w:bCs/>
          <w:i w:val="false"/>
          <w:caps w:val="false"/>
          <w:smallCaps w:val="false"/>
          <w:strike w:val="false"/>
          <w:dstrike w:val="false"/>
          <w:color w:val="00000A"/>
          <w:sz w:val="24"/>
          <w:szCs w:val="24"/>
          <w:highlight w:val="yellow"/>
          <w:u w:val="none"/>
          <w:effect w:val="none"/>
        </w:rPr>
        <w:t xml:space="preserve">could </w:t>
      </w:r>
      <w:r>
        <w:rPr>
          <w:rFonts w:cs="" w:ascii="Times New Roman" w:hAnsi="Times New Roman" w:cstheme="minorBidi"/>
          <w:b w:val="false"/>
          <w:bCs/>
          <w:i w:val="false"/>
          <w:caps w:val="false"/>
          <w:smallCaps w:val="false"/>
          <w:strike w:val="false"/>
          <w:dstrike w:val="false"/>
          <w:color w:val="00000A"/>
          <w:sz w:val="24"/>
          <w:szCs w:val="24"/>
          <w:highlight w:val="yellow"/>
          <w:u w:val="none"/>
          <w:effect w:val="none"/>
        </w:rPr>
        <w:t xml:space="preserve">impact both prevalence and intensity </w:t>
      </w:r>
      <w:r>
        <w:rPr>
          <w:rFonts w:cs="" w:ascii="Times New Roman" w:hAnsi="Times New Roman" w:cstheme="minorBidi"/>
          <w:b w:val="false"/>
          <w:bCs/>
          <w:i w:val="false"/>
          <w:caps w:val="false"/>
          <w:smallCaps w:val="false"/>
          <w:strike w:val="false"/>
          <w:dstrike w:val="false"/>
          <w:color w:val="00000A"/>
          <w:sz w:val="24"/>
          <w:szCs w:val="24"/>
          <w:highlight w:val="yellow"/>
          <w:u w:val="none"/>
          <w:effect w:val="none"/>
        </w:rPr>
        <w:t>measure</w:t>
      </w:r>
      <w:r>
        <w:rPr>
          <w:rFonts w:cs="" w:ascii="Times New Roman" w:hAnsi="Times New Roman" w:cstheme="minorBidi"/>
          <w:b w:val="false"/>
          <w:bCs/>
          <w:i w:val="false"/>
          <w:caps w:val="false"/>
          <w:smallCaps w:val="false"/>
          <w:strike w:val="false"/>
          <w:dstrike w:val="false"/>
          <w:color w:val="00000A"/>
          <w:sz w:val="24"/>
          <w:szCs w:val="24"/>
          <w:highlight w:val="yellow"/>
          <w:u w:val="none"/>
          <w:effect w:val="none"/>
        </w:rPr>
        <w:t xml:space="preserve">s </w:t>
      </w:r>
      <w:r>
        <w:rPr>
          <w:rFonts w:cs="" w:ascii="Times New Roman" w:hAnsi="Times New Roman" w:cstheme="minorBidi"/>
          <w:b w:val="false"/>
          <w:bCs/>
          <w:i w:val="false"/>
          <w:caps w:val="false"/>
          <w:smallCaps w:val="false"/>
          <w:strike w:val="false"/>
          <w:dstrike w:val="false"/>
          <w:color w:val="00000A"/>
          <w:sz w:val="24"/>
          <w:szCs w:val="24"/>
          <w:highlight w:val="yellow"/>
          <w:u w:val="none"/>
          <w:effect w:val="none"/>
        </w:rPr>
        <w:t xml:space="preserve">of parasite loads, as only the surviving, less parasitized mice </w:t>
      </w:r>
      <w:r>
        <w:rPr>
          <w:rFonts w:cs="" w:ascii="Times New Roman" w:hAnsi="Times New Roman" w:cstheme="minorBidi"/>
          <w:b w:val="false"/>
          <w:bCs/>
          <w:i w:val="false"/>
          <w:caps w:val="false"/>
          <w:smallCaps w:val="false"/>
          <w:strike w:val="false"/>
          <w:dstrike w:val="false"/>
          <w:color w:val="00000A"/>
          <w:sz w:val="24"/>
          <w:szCs w:val="24"/>
          <w:highlight w:val="yellow"/>
          <w:u w:val="none"/>
          <w:effect w:val="none"/>
        </w:rPr>
        <w:t xml:space="preserve">could </w:t>
      </w:r>
      <w:r>
        <w:rPr>
          <w:rFonts w:cs="" w:ascii="Times New Roman" w:hAnsi="Times New Roman" w:cstheme="minorBidi"/>
          <w:b w:val="false"/>
          <w:bCs/>
          <w:i w:val="false"/>
          <w:caps w:val="false"/>
          <w:smallCaps w:val="false"/>
          <w:strike w:val="false"/>
          <w:dstrike w:val="false"/>
          <w:color w:val="00000A"/>
          <w:sz w:val="24"/>
          <w:szCs w:val="24"/>
          <w:highlight w:val="yellow"/>
          <w:u w:val="none"/>
          <w:effect w:val="none"/>
        </w:rPr>
        <w:t xml:space="preserve">be captured. This, </w:t>
      </w:r>
      <w:r>
        <w:rPr>
          <w:rFonts w:cs="" w:ascii="Times New Roman" w:hAnsi="Times New Roman" w:cstheme="minorBidi"/>
          <w:b w:val="false"/>
          <w:bCs/>
          <w:i w:val="false"/>
          <w:caps w:val="false"/>
          <w:smallCaps w:val="false"/>
          <w:strike w:val="false"/>
          <w:dstrike w:val="false"/>
          <w:color w:val="00000A"/>
          <w:sz w:val="24"/>
          <w:szCs w:val="24"/>
          <w:highlight w:val="yellow"/>
          <w:u w:val="none"/>
          <w:effect w:val="none"/>
        </w:rPr>
        <w:t xml:space="preserve">however, </w:t>
      </w:r>
      <w:r>
        <w:rPr>
          <w:rFonts w:cs="" w:ascii="Times New Roman" w:hAnsi="Times New Roman" w:cstheme="minorBidi"/>
          <w:b w:val="false"/>
          <w:bCs/>
          <w:i w:val="false"/>
          <w:caps w:val="false"/>
          <w:smallCaps w:val="false"/>
          <w:strike w:val="false"/>
          <w:dstrike w:val="false"/>
          <w:color w:val="00000A"/>
          <w:sz w:val="24"/>
          <w:szCs w:val="24"/>
          <w:highlight w:val="yellow"/>
          <w:u w:val="none"/>
          <w:effect w:val="none"/>
        </w:rPr>
        <w:t xml:space="preserve">would </w:t>
      </w:r>
      <w:r>
        <w:rPr>
          <w:rFonts w:cs="" w:ascii="Times New Roman" w:hAnsi="Times New Roman" w:cstheme="minorBidi"/>
          <w:b w:val="false"/>
          <w:bCs/>
          <w:i w:val="false"/>
          <w:caps w:val="false"/>
          <w:smallCaps w:val="false"/>
          <w:strike w:val="false"/>
          <w:dstrike w:val="false"/>
          <w:color w:val="00000A"/>
          <w:sz w:val="24"/>
          <w:szCs w:val="24"/>
          <w:highlight w:val="yellow"/>
          <w:u w:val="none"/>
          <w:effect w:val="none"/>
        </w:rPr>
        <w:t xml:space="preserve">also </w:t>
      </w:r>
      <w:r>
        <w:rPr>
          <w:rFonts w:cs="" w:ascii="Times New Roman" w:hAnsi="Times New Roman" w:cstheme="minorBidi"/>
          <w:b w:val="false"/>
          <w:bCs/>
          <w:i w:val="false"/>
          <w:caps w:val="false"/>
          <w:smallCaps w:val="false"/>
          <w:strike w:val="false"/>
          <w:dstrike w:val="false"/>
          <w:color w:val="00000A"/>
          <w:sz w:val="24"/>
          <w:szCs w:val="24"/>
          <w:highlight w:val="yellow"/>
          <w:u w:val="none"/>
          <w:effect w:val="none"/>
        </w:rPr>
        <w:t>lead to differen</w:t>
      </w:r>
      <w:r>
        <w:rPr>
          <w:rFonts w:cs="" w:ascii="Times New Roman" w:hAnsi="Times New Roman" w:cstheme="minorBidi"/>
          <w:b w:val="false"/>
          <w:bCs/>
          <w:i w:val="false"/>
          <w:caps w:val="false"/>
          <w:smallCaps w:val="false"/>
          <w:strike w:val="false"/>
          <w:dstrike w:val="false"/>
          <w:color w:val="00000A"/>
          <w:sz w:val="24"/>
          <w:szCs w:val="24"/>
          <w:highlight w:val="yellow"/>
          <w:u w:val="none"/>
          <w:effect w:val="none"/>
        </w:rPr>
        <w:t xml:space="preserve">ces in </w:t>
      </w:r>
      <w:r>
        <w:rPr>
          <w:rFonts w:cs="" w:ascii="Times New Roman" w:hAnsi="Times New Roman" w:cstheme="minorBidi"/>
          <w:b w:val="false"/>
          <w:bCs/>
          <w:i w:val="false"/>
          <w:caps w:val="false"/>
          <w:smallCaps w:val="false"/>
          <w:strike w:val="false"/>
          <w:dstrike w:val="false"/>
          <w:color w:val="00000A"/>
          <w:sz w:val="24"/>
          <w:szCs w:val="24"/>
          <w:highlight w:val="yellow"/>
          <w:u w:val="none"/>
          <w:effect w:val="none"/>
        </w:rPr>
        <w:t xml:space="preserve">age distribution along the hybrid index. </w:t>
      </w:r>
      <w:r>
        <w:rPr>
          <w:rFonts w:cs="" w:ascii="Times New Roman" w:hAnsi="Times New Roman" w:cstheme="minorBidi"/>
          <w:b w:val="false"/>
          <w:bCs/>
          <w:i w:val="false"/>
          <w:caps w:val="false"/>
          <w:smallCaps w:val="false"/>
          <w:strike w:val="false"/>
          <w:dstrike w:val="false"/>
          <w:color w:val="00000A"/>
          <w:sz w:val="24"/>
          <w:szCs w:val="24"/>
          <w:highlight w:val="yellow"/>
          <w:u w:val="none"/>
          <w:effect w:val="none"/>
        </w:rPr>
        <w:t xml:space="preserve">We used an age </w:t>
      </w:r>
      <w:r>
        <w:rPr>
          <w:rFonts w:cs="" w:ascii="Times new roman" w:hAnsi="Times new roman" w:cstheme="minorBidi"/>
          <w:b w:val="false"/>
          <w:bCs/>
          <w:i w:val="false"/>
          <w:caps w:val="false"/>
          <w:smallCaps w:val="false"/>
          <w:strike w:val="false"/>
          <w:dstrike w:val="false"/>
          <w:color w:val="000000"/>
          <w:sz w:val="24"/>
          <w:szCs w:val="24"/>
          <w:highlight w:val="yellow"/>
          <w:u w:val="none"/>
          <w:effect w:val="none"/>
        </w:rPr>
        <w:t>estimation based on weight (as in Behnke, 1976)</w:t>
      </w:r>
      <w:r>
        <w:rPr>
          <w:rFonts w:cs="" w:ascii="Times new roman" w:hAnsi="Times new roman" w:cstheme="minorBidi"/>
          <w:b w:val="false"/>
          <w:bCs/>
          <w:caps w:val="false"/>
          <w:smallCaps w:val="false"/>
          <w:strike w:val="false"/>
          <w:dstrike w:val="false"/>
          <w:color w:val="000000"/>
          <w:sz w:val="24"/>
          <w:szCs w:val="24"/>
          <w:highlight w:val="yellow"/>
          <w:u w:val="none"/>
          <w:effect w:val="none"/>
        </w:rPr>
        <w:t xml:space="preserve"> as a proxy t</w:t>
      </w:r>
      <w:r>
        <w:rPr>
          <w:rFonts w:cs="" w:ascii="Times new roman" w:hAnsi="Times new roman" w:cstheme="minorBidi"/>
          <w:b w:val="false"/>
          <w:bCs/>
          <w:i w:val="false"/>
          <w:caps w:val="false"/>
          <w:smallCaps w:val="false"/>
          <w:strike w:val="false"/>
          <w:dstrike w:val="false"/>
          <w:color w:val="000000"/>
          <w:sz w:val="24"/>
          <w:szCs w:val="24"/>
          <w:highlight w:val="yellow"/>
          <w:u w:val="none"/>
          <w:effect w:val="none"/>
        </w:rPr>
        <w:t>o t</w:t>
      </w:r>
      <w:r>
        <w:rPr>
          <w:rFonts w:cs="" w:ascii="Times new roman" w:hAnsi="Times new roman" w:cstheme="minorBidi"/>
          <w:highlight w:val="yellow"/>
        </w:rPr>
        <w:t>est if hybrid mice were younger or older than that expected for intermediate between pure hybridizing taxa (“additivity”). Values of body weight are well described by the Normal distribution, parameterized by its standard deviation (allowed to vary freely during maximum likelihood searches) and its mean defined as:</w:t>
      </w:r>
    </w:p>
    <w:p>
      <w:pPr>
        <w:pStyle w:val="Normal"/>
        <w:jc w:val="center"/>
        <w:rPr/>
      </w:pPr>
      <w:r>
        <w:rPr>
          <w:rFonts w:eastAsia="Cambria" w:cs="" w:ascii="Times new roman" w:hAnsi="Times new roman" w:cstheme="minorBidi" w:eastAsiaTheme="minorHAnsi"/>
          <w:i/>
          <w:highlight w:val="yellow"/>
        </w:rPr>
        <w:t xml:space="preserve">ExpectedBodyWeight = (BW1 + (BW2 </w:t>
      </w:r>
      <w:r>
        <w:rPr>
          <w:rFonts w:eastAsia="Cambria" w:cs="" w:ascii="Times new roman" w:hAnsi="Times new roman" w:cstheme="minorBidi" w:eastAsiaTheme="minorHAnsi"/>
          <w:highlight w:val="yellow"/>
        </w:rPr>
        <w:t>−</w:t>
      </w:r>
      <w:r>
        <w:rPr>
          <w:rFonts w:eastAsia="Cambria" w:cs="" w:ascii="Times new roman" w:hAnsi="Times new roman" w:cstheme="minorBidi" w:eastAsiaTheme="minorHAnsi"/>
          <w:i/>
          <w:highlight w:val="yellow"/>
        </w:rPr>
        <w:t xml:space="preserve"> BW1) · HI) · (1 </w:t>
      </w:r>
      <w:r>
        <w:rPr>
          <w:rFonts w:eastAsia="Cambria" w:cs="" w:ascii="Times new roman" w:hAnsi="Times new roman" w:cstheme="minorBidi" w:eastAsiaTheme="minorHAnsi"/>
          <w:highlight w:val="yellow"/>
        </w:rPr>
        <w:t>−</w:t>
      </w:r>
      <w:r>
        <w:rPr>
          <w:rFonts w:eastAsia="Cambria" w:cs="" w:ascii="Times new roman" w:hAnsi="Times new roman" w:cstheme="minorBidi" w:eastAsiaTheme="minorHAnsi"/>
          <w:i/>
          <w:highlight w:val="yellow"/>
        </w:rPr>
        <w:t xml:space="preserve"> alpha · He) ,     (Eq. 2)</w:t>
      </w:r>
    </w:p>
    <w:p>
      <w:pPr>
        <w:pStyle w:val="Normal"/>
        <w:rPr/>
      </w:pPr>
      <w:r>
        <w:rPr>
          <w:rFonts w:cs="" w:ascii="Times new roman" w:hAnsi="Times new roman" w:cstheme="minorBidi"/>
          <w:highlight w:val="yellow"/>
        </w:rPr>
        <w:t xml:space="preserve">where BW1 is the expected body weight of pure Mmd, BW2 the expected body weight of pure Mmm. Alpha represent the hybridization effect, or deviation from additivity between the two parental genomes. We allowed difference between sex and taxons, </w:t>
      </w:r>
      <w:r>
        <w:rPr>
          <w:rFonts w:cs="" w:ascii="Times new roman" w:hAnsi="Times new roman" w:cstheme="minorBidi"/>
          <w:b w:val="false"/>
          <w:bCs/>
          <w:i w:val="false"/>
          <w:caps w:val="false"/>
          <w:smallCaps w:val="false"/>
          <w:strike w:val="false"/>
          <w:dstrike w:val="false"/>
          <w:color w:val="000000"/>
          <w:sz w:val="24"/>
          <w:szCs w:val="24"/>
          <w:highlight w:val="yellow"/>
          <w:u w:val="none"/>
          <w:effect w:val="none"/>
        </w:rPr>
        <w:t xml:space="preserve">fit the models using maximum likelihood (using the R package mle2; Bolker, 2017), either including or excluding the hybridization effect parameter (by setting HI = 0 in </w:t>
      </w:r>
      <w:r>
        <w:rPr>
          <w:rFonts w:cs="" w:ascii="Times new roman" w:hAnsi="Times new roman" w:cstheme="minorBidi"/>
          <w:b w:val="false"/>
          <w:bCs/>
          <w:i/>
          <w:caps w:val="false"/>
          <w:smallCaps w:val="false"/>
          <w:strike w:val="false"/>
          <w:dstrike w:val="false"/>
          <w:color w:val="000000"/>
          <w:sz w:val="24"/>
          <w:szCs w:val="24"/>
          <w:highlight w:val="yellow"/>
          <w:u w:val="none"/>
          <w:effect w:val="none"/>
        </w:rPr>
        <w:t>ExpectedBodyWeight</w:t>
      </w:r>
      <w:r>
        <w:rPr>
          <w:rFonts w:cs="" w:ascii="Times new roman" w:hAnsi="Times new roman" w:cstheme="minorBidi"/>
          <w:b w:val="false"/>
          <w:bCs/>
          <w:i w:val="false"/>
          <w:caps w:val="false"/>
          <w:smallCaps w:val="false"/>
          <w:strike w:val="false"/>
          <w:dstrike w:val="false"/>
          <w:color w:val="000000"/>
          <w:sz w:val="24"/>
          <w:szCs w:val="24"/>
          <w:highlight w:val="yellow"/>
          <w:u w:val="none"/>
          <w:effect w:val="none"/>
        </w:rPr>
        <w:t xml:space="preserve">), and we compared these two models using the G-test. </w:t>
      </w:r>
    </w:p>
    <w:p>
      <w:pPr>
        <w:pStyle w:val="Normal"/>
        <w:rPr>
          <w:rFonts w:ascii="Times new roman" w:hAnsi="Times new roman" w:cs="" w:cstheme="minorBidi"/>
          <w:b w:val="false"/>
          <w:b w:val="false"/>
          <w:bCs/>
          <w:i w:val="false"/>
          <w:i w:val="false"/>
          <w:caps w:val="false"/>
          <w:smallCaps w:val="false"/>
          <w:strike w:val="false"/>
          <w:dstrike w:val="false"/>
          <w:color w:val="000000"/>
          <w:sz w:val="24"/>
          <w:szCs w:val="24"/>
          <w:highlight w:val="yellow"/>
          <w:u w:val="none"/>
          <w:effect w:val="none"/>
        </w:rPr>
      </w:pPr>
      <w:r>
        <w:rPr/>
      </w:r>
    </w:p>
    <w:p>
      <w:pPr>
        <w:pStyle w:val="Normal"/>
        <w:rPr>
          <w:rFonts w:ascii="Times new roman" w:hAnsi="Times new roman" w:cs="" w:cstheme="minorBidi"/>
          <w:b w:val="false"/>
          <w:b w:val="false"/>
          <w:bCs/>
          <w:i w:val="false"/>
          <w:i w:val="false"/>
          <w:caps w:val="false"/>
          <w:smallCaps w:val="false"/>
          <w:strike w:val="false"/>
          <w:dstrike w:val="false"/>
          <w:color w:val="000000"/>
          <w:sz w:val="24"/>
          <w:szCs w:val="24"/>
          <w:highlight w:val="yellow"/>
          <w:u w:val="none"/>
          <w:effect w:val="none"/>
        </w:rPr>
      </w:pPr>
      <w:r>
        <w:rPr/>
      </w:r>
    </w:p>
    <w:p>
      <w:pPr>
        <w:pStyle w:val="Normal"/>
        <w:rPr/>
      </w:pPr>
      <w:r>
        <w:rPr>
          <w:rFonts w:ascii="Times new roman" w:hAnsi="Times new roman"/>
          <w:b/>
          <w:bCs/>
        </w:rPr>
        <w:t>Statistical test of the host hybridization effect on parasite intensity</w:t>
      </w:r>
    </w:p>
    <w:p>
      <w:pPr>
        <w:pStyle w:val="Normal"/>
        <w:rPr/>
      </w:pPr>
      <w:r>
        <w:rPr>
          <w:rFonts w:ascii="Times new roman" w:hAnsi="Times new roman"/>
        </w:rPr>
        <w:t>I</w:t>
      </w:r>
      <w:r>
        <w:rPr>
          <w:rFonts w:ascii="Times new roman" w:hAnsi="Times new roman"/>
        </w:rPr>
        <w:t xml:space="preserve">t has been shown that macroparasites tend to aggregate within their hosts, the majority of host carrying no or a low burden, and a minority a high one (Shaw &amp; Dobson, 1995). We modelled this distribution of parasite burden in infected hosts as negative binomial. Following the approach of Baird et al. (2012), we tested if hybrid mice had higher or lower parasite burdens than that expected in case of additivity (if the relationship between host parasite load and hybrid index was linear). </w:t>
      </w:r>
    </w:p>
    <w:p>
      <w:pPr>
        <w:pStyle w:val="Normal"/>
        <w:rPr/>
      </w:pPr>
      <w:r>
        <w:rPr>
          <w:rFonts w:ascii="Times new roman" w:hAnsi="Times new roman"/>
        </w:rPr>
        <w:t>The parasite load for a given HI was then estimated as follows:</w:t>
      </w:r>
    </w:p>
    <w:p>
      <w:pPr>
        <w:pStyle w:val="Normal"/>
        <w:jc w:val="center"/>
        <w:rPr/>
      </w:pPr>
      <w:r>
        <w:rPr>
          <w:rFonts w:ascii="Times new roman" w:hAnsi="Times new roman"/>
          <w:i/>
        </w:rPr>
        <w:t xml:space="preserve">ExpectedLoad = (L1 + (L2 </w:t>
      </w:r>
      <w:r>
        <w:rPr>
          <w:rFonts w:ascii="Times new roman" w:hAnsi="Times new roman"/>
        </w:rPr>
        <w:t>−</w:t>
      </w:r>
      <w:r>
        <w:rPr>
          <w:rFonts w:ascii="Times new roman" w:hAnsi="Times new roman"/>
          <w:i/>
        </w:rPr>
        <w:t xml:space="preserve"> L1) · HI) · (1 </w:t>
      </w:r>
      <w:r>
        <w:rPr>
          <w:rFonts w:ascii="Times new roman" w:hAnsi="Times new roman"/>
        </w:rPr>
        <w:t>−</w:t>
      </w:r>
      <w:r>
        <w:rPr>
          <w:rFonts w:ascii="Times new roman" w:hAnsi="Times new roman"/>
          <w:i/>
        </w:rPr>
        <w:t xml:space="preserve"> alpha · He) ,           (Eq. </w:t>
      </w:r>
      <w:r>
        <w:rPr>
          <w:rFonts w:cs="" w:ascii="Times new roman" w:hAnsi="Times new roman" w:cstheme="minorBidi"/>
          <w:i/>
          <w:highlight w:val="yellow"/>
        </w:rPr>
        <w:t>3</w:t>
      </w:r>
      <w:r>
        <w:rPr>
          <w:rFonts w:ascii="Times new roman" w:hAnsi="Times new roman"/>
          <w:i/>
        </w:rPr>
        <w:t>)</w:t>
      </w:r>
    </w:p>
    <w:p>
      <w:pPr>
        <w:pStyle w:val="Normal"/>
        <w:rPr/>
      </w:pPr>
      <w:r>
        <w:rPr>
          <w:rFonts w:ascii="Times new roman" w:hAnsi="Times new roman"/>
        </w:rPr>
        <w:t>where L1 is the parasite load of pure Mmd, L2 the parasite load of pure Mmm, and alpha the hybridization effect (deviation of parasite estimated load from the additive model). We considered four nested hypotheses increasing in complexity, and compared them with the G-test (likelihood ratio test) to consider a more complex hypothesis only when justified by a significant increase in likelihood. Expected parasite load is fixed to be identical for both subspecies and both host sexes in hypothesis H0. The more complex H1 allows load differences for the host sexes, H2 allows different loads between the subspecies at the extremes of the hybrid index, and H3 allows differences both between the subspecies and sexes.</w:t>
      </w:r>
    </w:p>
    <w:p>
      <w:pPr>
        <w:pStyle w:val="Normal"/>
        <w:rPr/>
      </w:pPr>
      <w:r>
        <w:rPr>
          <w:rFonts w:ascii="Times new roman" w:hAnsi="Times new roman"/>
        </w:rPr>
        <w:t xml:space="preserve">Adequate distributions of values for each parasite and detection method considered were selected using log likelihood and AIC criteria and by comparing goodness-of-fits plots (density, CDF, Q-Q, P-P) (R packages MASS (Venables &amp; Ripley, 2002) and fitdistrplus (Delignette-Muller &amp; Dutang, 2015) </w:t>
      </w:r>
      <w:r>
        <w:rPr>
          <w:rFonts w:cs="" w:ascii="Times new roman" w:hAnsi="Times new roman" w:cstheme="minorBidi"/>
          <w:highlight w:val="yellow"/>
        </w:rPr>
        <w:t xml:space="preserve">(see </w:t>
      </w:r>
      <w:r>
        <w:rPr>
          <w:rFonts w:cs="" w:ascii="Times new roman" w:hAnsi="Times new roman" w:cstheme="minorBidi"/>
          <w:b/>
          <w:bCs/>
          <w:highlight w:val="yellow"/>
        </w:rPr>
        <w:t>Supplementary Figure S4)</w:t>
      </w:r>
      <w:r>
        <w:rPr>
          <w:rFonts w:ascii="Times new roman" w:hAnsi="Times new roman"/>
        </w:rPr>
        <w:t xml:space="preserve">. The negative binomial distribution should perform well for macroparasite counts (Crofton, 1971; Shaw &amp; Dobson, 1995), which was confirmed for helminths </w:t>
      </w:r>
      <w:r>
        <w:rPr>
          <w:rFonts w:cs="" w:ascii="Times new roman" w:hAnsi="Times new roman" w:cstheme="minorBidi"/>
          <w:highlight w:val="yellow"/>
        </w:rPr>
        <w:t>in a previous  transect</w:t>
      </w:r>
      <w:r>
        <w:rPr>
          <w:rFonts w:ascii="Times new roman" w:hAnsi="Times new roman"/>
        </w:rPr>
        <w:t xml:space="preserve"> (Baird et al., 2012). Values of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were found to be well described by the Weibull distribution after being positively shifted. </w:t>
      </w:r>
    </w:p>
    <w:p>
      <w:pPr>
        <w:pStyle w:val="Normal"/>
        <w:rPr/>
      </w:pPr>
      <w:r>
        <w:rPr>
          <w:rFonts w:ascii="Times new roman" w:hAnsi="Times new roman"/>
        </w:rPr>
        <w:t xml:space="preserve">The Negative Binomial distribution is parameterized by two arguments: its expectation (Expected Load, Eq. </w:t>
      </w:r>
      <w:r>
        <w:rPr>
          <w:rFonts w:cs="" w:ascii="Times new roman" w:hAnsi="Times new roman" w:cstheme="minorBidi"/>
          <w:highlight w:val="yellow"/>
        </w:rPr>
        <w:t>3</w:t>
      </w:r>
      <w:r>
        <w:rPr>
          <w:rFonts w:ascii="Times new roman" w:hAnsi="Times new roman"/>
        </w:rPr>
        <w:t>), and the inverse of its aggregation defined, which is allowed to vary across HI as:</w:t>
      </w:r>
    </w:p>
    <w:p>
      <w:pPr>
        <w:pStyle w:val="Normal"/>
        <w:jc w:val="center"/>
        <w:rPr/>
      </w:pPr>
      <w:r>
        <w:rPr>
          <w:rFonts w:ascii="Times new roman" w:hAnsi="Times new roman"/>
          <w:i/>
          <w:iCs/>
        </w:rPr>
        <w:t xml:space="preserve">Aggregation = (A1 + (A2 − A1) · HI) + Z · He , </w:t>
      </w:r>
      <w:r>
        <w:rPr>
          <w:rFonts w:ascii="Times new roman" w:hAnsi="Times new roman"/>
        </w:rPr>
        <w:t xml:space="preserve">   </w:t>
      </w:r>
      <w:r>
        <w:rPr>
          <w:rFonts w:ascii="Times new roman" w:hAnsi="Times new roman"/>
          <w:i/>
          <w:iCs/>
        </w:rPr>
        <w:t xml:space="preserve">       (Eq. </w:t>
      </w:r>
      <w:r>
        <w:rPr>
          <w:rFonts w:cs="" w:ascii="Times new roman" w:hAnsi="Times new roman" w:cstheme="minorBidi"/>
          <w:i/>
          <w:iCs/>
          <w:highlight w:val="yellow"/>
        </w:rPr>
        <w:t>4</w:t>
      </w:r>
      <w:r>
        <w:rPr>
          <w:rFonts w:ascii="Times new roman" w:hAnsi="Times new roman"/>
          <w:i/>
          <w:iCs/>
        </w:rPr>
        <w:t xml:space="preserve">) </w:t>
      </w:r>
    </w:p>
    <w:p>
      <w:pPr>
        <w:pStyle w:val="Normal"/>
        <w:rPr/>
      </w:pPr>
      <w:r>
        <w:rPr>
          <w:rFonts w:ascii="Times new roman" w:hAnsi="Times new roman"/>
        </w:rPr>
        <w:t xml:space="preserve">Z being the deviation from the additive model, in proportion to </w:t>
      </w:r>
      <w:r>
        <w:rPr>
          <w:rFonts w:ascii="Times new roman" w:hAnsi="Times new roman"/>
          <w:i/>
        </w:rPr>
        <w:t>He</w:t>
      </w:r>
      <w:r>
        <w:rPr>
          <w:rFonts w:ascii="Times new roman" w:hAnsi="Times new roman"/>
        </w:rPr>
        <w:t>, which is maximal in the zone centre (Baird et al., 2012). The Weibull distribution is parametrized by its shape and scale parameters (allowed to vary freely during maximum likelihood search) linked by the formula:</w:t>
      </w:r>
    </w:p>
    <w:p>
      <w:pPr>
        <w:pStyle w:val="Normal"/>
        <w:jc w:val="center"/>
        <w:rPr>
          <w:i/>
          <w:i/>
          <w:iCs/>
        </w:rPr>
      </w:pPr>
      <w:r>
        <w:rPr>
          <w:rFonts w:ascii="Times new roman" w:hAnsi="Times new roman"/>
          <w:i/>
          <w:iCs/>
        </w:rPr>
        <w:t xml:space="preserve">Scale = ExpectedLoad / Ⲅ (1 + 1/ shape) ,           (Eq. </w:t>
      </w:r>
      <w:r>
        <w:rPr>
          <w:rFonts w:cs="" w:ascii="Times new roman" w:hAnsi="Times new roman" w:cstheme="minorBidi"/>
          <w:i/>
          <w:iCs/>
          <w:highlight w:val="yellow"/>
        </w:rPr>
        <w:t>5</w:t>
      </w:r>
      <w:r>
        <w:rPr>
          <w:rFonts w:ascii="Times new roman" w:hAnsi="Times new roman"/>
          <w:i/>
          <w:iCs/>
        </w:rPr>
        <w:t>)</w:t>
      </w:r>
    </w:p>
    <w:p>
      <w:pPr>
        <w:pStyle w:val="Normal"/>
        <w:rPr/>
      </w:pPr>
      <w:r>
        <w:rPr>
          <w:rFonts w:ascii="Times new roman" w:hAnsi="Times new roman"/>
          <w:i/>
        </w:rPr>
        <w:t xml:space="preserve">Ⲅ  </w:t>
      </w:r>
      <w:r>
        <w:rPr>
          <w:rFonts w:ascii="Times new roman" w:hAnsi="Times new roman"/>
        </w:rPr>
        <w:t xml:space="preserve">being the gamma function. </w:t>
      </w:r>
    </w:p>
    <w:p>
      <w:pPr>
        <w:pStyle w:val="Normal"/>
        <w:rPr/>
      </w:pPr>
      <w:r>
        <w:rPr>
          <w:rFonts w:ascii="Times new roman" w:hAnsi="Times new roman"/>
        </w:rPr>
        <w:t xml:space="preserve">We fit the models using likelihood maximisation (using the R package mle2; Bolker, 2017). Parasite load was estimated either including or excluding the hybridization effect parameter (by setting HI = 0 in </w:t>
      </w:r>
      <w:r>
        <w:rPr>
          <w:rFonts w:ascii="Times new roman" w:hAnsi="Times new roman"/>
          <w:i/>
        </w:rPr>
        <w:t>ExpectedLoad</w:t>
      </w:r>
      <w:r>
        <w:rPr>
          <w:rFonts w:ascii="Times new roman" w:hAnsi="Times new roman"/>
        </w:rPr>
        <w:t>), and we compared these two models using the G-test. In the case of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the Weibull distribution requires positive values as input. Therefore, we estimated an extra “shift parameter” </w:t>
      </w:r>
      <w:r>
        <w:rPr>
          <w:rFonts w:cs="" w:ascii="Times new roman" w:hAnsi="Times new roman" w:cstheme="minorBidi"/>
          <w:highlight w:val="yellow"/>
        </w:rPr>
        <w:t>which was optimized</w:t>
      </w:r>
      <w:r>
        <w:rPr>
          <w:rFonts w:ascii="Times new roman" w:hAnsi="Times new roman"/>
        </w:rPr>
        <w:t xml:space="preserve"> by maximum likelihood.</w:t>
      </w:r>
    </w:p>
    <w:p>
      <w:pPr>
        <w:pStyle w:val="Normal"/>
        <w:rPr/>
      </w:pPr>
      <w:bookmarkStart w:id="8" w:name="test-of-body-condition-differences-betwe"/>
      <w:bookmarkEnd w:id="8"/>
      <w:r>
        <w:rPr>
          <w:rFonts w:ascii="Times new roman" w:hAnsi="Times new roman"/>
          <w:b/>
          <w:bCs/>
        </w:rPr>
        <w:t xml:space="preserve">Test of body condition differences between infected and non-infected mice </w:t>
      </w:r>
      <w:r>
        <w:rPr>
          <w:rFonts w:cs="" w:ascii="Times new roman" w:hAnsi="Times new roman" w:cstheme="minorBidi"/>
          <w:b/>
          <w:bCs/>
          <w:highlight w:val="yellow"/>
        </w:rPr>
        <w:t>across</w:t>
      </w:r>
      <w:r>
        <w:rPr>
          <w:rFonts w:ascii="Times new roman" w:hAnsi="Times new roman"/>
          <w:b/>
          <w:bCs/>
        </w:rPr>
        <w:t xml:space="preserve"> the hybrid zone</w:t>
      </w:r>
    </w:p>
    <w:p>
      <w:pPr>
        <w:pStyle w:val="Normal"/>
        <w:rPr/>
      </w:pPr>
      <w:r>
        <w:rPr>
          <w:rFonts w:cs="" w:ascii="Times new roman" w:hAnsi="Times new roman" w:cstheme="minorBidi"/>
          <w:highlight w:val="yellow"/>
        </w:rPr>
        <w:t xml:space="preserve">After the previous tests on hybrid resistance/susceptibility to parasites, we wanted to see if our field system could allow to test for differences in tolerance to parasites. </w:t>
      </w:r>
      <w:r>
        <w:rPr>
          <w:rFonts w:cs="" w:ascii="Times new roman" w:hAnsi="Times new roman" w:cstheme="minorBidi"/>
          <w:highlight w:val="yellow"/>
        </w:rPr>
        <w:t xml:space="preserve">We thus </w:t>
      </w:r>
      <w:r>
        <w:rPr>
          <w:rFonts w:cs="" w:ascii="Times new roman" w:hAnsi="Times new roman" w:cstheme="minorBidi"/>
          <w:highlight w:val="yellow"/>
        </w:rPr>
        <w:t xml:space="preserve">tested </w:t>
      </w:r>
      <w:r>
        <w:rPr>
          <w:rFonts w:cs="" w:ascii="Times new roman" w:hAnsi="Times new roman" w:cstheme="minorBidi"/>
          <w:highlight w:val="yellow"/>
        </w:rPr>
        <w:t xml:space="preserve">whether </w:t>
      </w:r>
      <w:r>
        <w:rPr>
          <w:rFonts w:cs="" w:ascii="Times new roman" w:hAnsi="Times new roman" w:cstheme="minorBidi"/>
          <w:highlight w:val="yellow"/>
        </w:rPr>
        <w:t>we could detect</w:t>
      </w:r>
      <w:r>
        <w:rPr>
          <w:rFonts w:cs="" w:ascii="Times new roman" w:hAnsi="Times new roman" w:cstheme="minorBidi"/>
          <w:b w:val="false"/>
          <w:bCs w:val="false"/>
          <w:highlight w:val="yellow"/>
        </w:rPr>
        <w:t xml:space="preserve"> different body condition between infected and non-infected mice along the hybrid index. </w:t>
      </w:r>
      <w:r>
        <w:rPr>
          <w:rFonts w:ascii="Times new roman" w:hAnsi="Times new roman"/>
        </w:rPr>
        <w:t xml:space="preserve">Residuals from ordinary least squares regression of body weight by body length were estimated for each individual, separately for males and females. Pregnant females were excluded from the analysis. Individuals with a positive residual were considered in better condition than individuals with a negative one, as this index correlates with variation in fat, water, and lean dry mass (Schulte-Hostedde, Zinner, Millar, &amp; Hickling, 2005). We tested if hybrid mice had higher or lower residuals than that expected for intermediate between pure hybridizing taxa (“additivity”), and if the potential hybridization effect was different between infected and not infected mice, for </w:t>
      </w:r>
      <w:r>
        <w:rPr>
          <w:rFonts w:ascii="Times new roman" w:hAnsi="Times new roman"/>
          <w:i/>
        </w:rPr>
        <w:t>Eimeria</w:t>
      </w:r>
      <w:r>
        <w:rPr>
          <w:rFonts w:ascii="Times new roman" w:hAnsi="Times new roman"/>
        </w:rPr>
        <w:t xml:space="preserve"> spp. as well as for pinworm infections. Differences between the subspecies were allowed.</w:t>
      </w:r>
    </w:p>
    <w:p>
      <w:pPr>
        <w:pStyle w:val="Normal"/>
        <w:rPr/>
      </w:pPr>
      <w:r>
        <w:rPr>
          <w:rFonts w:ascii="Times new roman" w:hAnsi="Times new roman"/>
        </w:rPr>
        <w:t>Values of residuals of body weight by body length regression are well described by the Normal distribution, parameterized by its standard deviation (allowed to vary freely during maximum likelihood searches) and its mean defined as:</w:t>
      </w:r>
    </w:p>
    <w:p>
      <w:pPr>
        <w:pStyle w:val="Normal"/>
        <w:jc w:val="center"/>
        <w:rPr/>
      </w:pPr>
      <w:r>
        <w:rPr>
          <w:rFonts w:ascii="Times new roman" w:hAnsi="Times new roman"/>
          <w:i/>
        </w:rPr>
        <w:t xml:space="preserve">ExpectedResidual = (R1 + (R2 </w:t>
      </w:r>
      <w:r>
        <w:rPr>
          <w:rFonts w:ascii="Times new roman" w:hAnsi="Times new roman"/>
        </w:rPr>
        <w:t>−</w:t>
      </w:r>
      <w:r>
        <w:rPr>
          <w:rFonts w:ascii="Times new roman" w:hAnsi="Times new roman"/>
          <w:i/>
        </w:rPr>
        <w:t xml:space="preserve"> R1) · HI) · (1 </w:t>
      </w:r>
      <w:r>
        <w:rPr>
          <w:rFonts w:ascii="Times new roman" w:hAnsi="Times new roman"/>
        </w:rPr>
        <w:t>−</w:t>
      </w:r>
      <w:r>
        <w:rPr>
          <w:rFonts w:ascii="Times new roman" w:hAnsi="Times new roman"/>
          <w:i/>
        </w:rPr>
        <w:t xml:space="preserve"> alpha · He) ,     (Eq. </w:t>
      </w:r>
      <w:r>
        <w:rPr>
          <w:rFonts w:cs="" w:ascii="Times new roman" w:hAnsi="Times new roman" w:cstheme="minorBidi"/>
          <w:i/>
          <w:highlight w:val="yellow"/>
        </w:rPr>
        <w:t>6</w:t>
      </w:r>
      <w:r>
        <w:rPr>
          <w:rFonts w:ascii="Times new roman" w:hAnsi="Times new roman"/>
          <w:i/>
        </w:rPr>
        <w:t>)</w:t>
      </w:r>
    </w:p>
    <w:p>
      <w:pPr>
        <w:pStyle w:val="Normal"/>
        <w:rPr/>
      </w:pPr>
      <w:r>
        <w:rPr>
          <w:rFonts w:ascii="Times new roman" w:hAnsi="Times new roman"/>
        </w:rPr>
        <w:t xml:space="preserve">where R1 is the expected residual value of pure Mmd, R2 the expected residual value of pure Mmm, and alpha the hybridization effect. We fit the models using maximum likelihood (using the R package mle2; Bolker, 2017), either including or excluding the hybridization effect parameter (by setting HI = 0 in </w:t>
      </w:r>
      <w:r>
        <w:rPr>
          <w:rFonts w:ascii="Times new roman" w:hAnsi="Times new roman"/>
          <w:i/>
        </w:rPr>
        <w:t>ExpectedResiduals</w:t>
      </w:r>
      <w:r>
        <w:rPr>
          <w:rFonts w:ascii="Times new roman" w:hAnsi="Times new roman"/>
        </w:rPr>
        <w:t xml:space="preserve">), and we compared these two models using the G-test. </w:t>
      </w:r>
    </w:p>
    <w:p>
      <w:pPr>
        <w:pStyle w:val="Normal"/>
        <w:rPr/>
      </w:pPr>
      <w:r>
        <w:rPr>
          <w:rFonts w:ascii="Times new roman" w:hAnsi="Times new roman"/>
        </w:rPr>
        <w:t>All graphics were produced using the R packages ggplot2 (Wickham, 2016) and ggmap (Kahle &amp; Wickham, 2013), and compiled using the free software inkscape v.0.92 (</w:t>
      </w:r>
      <w:hyperlink r:id="rId3">
        <w:r>
          <w:rPr>
            <w:rStyle w:val="InternetLink"/>
            <w:rFonts w:ascii="Times new roman" w:hAnsi="Times new roman"/>
          </w:rPr>
          <w:t>https://inkscape.org</w:t>
        </w:r>
      </w:hyperlink>
      <w:r>
        <w:rPr>
          <w:rFonts w:ascii="Times new roman" w:hAnsi="Times new roman"/>
        </w:rPr>
        <w:t>). Full R code used for this article can be found at:</w:t>
        <w:tab/>
        <w:t xml:space="preserve"> https://github.com/alicebalard/Article_IntensityEimeriaHMHZ/tree/master/code</w:t>
      </w:r>
    </w:p>
    <w:p>
      <w:pPr>
        <w:pStyle w:val="Normal"/>
        <w:rPr/>
      </w:pPr>
      <w:r>
        <w:rPr>
          <w:rFonts w:ascii="Times new roman" w:hAnsi="Times new roman"/>
          <w:b/>
          <w:bCs/>
        </w:rPr>
        <w:t>Results</w:t>
      </w:r>
    </w:p>
    <w:p>
      <w:pPr>
        <w:pStyle w:val="Normal"/>
        <w:rPr/>
      </w:pPr>
      <w:r>
        <w:rPr>
          <w:rFonts w:ascii="Times new roman" w:hAnsi="Times new roman"/>
          <w:b/>
          <w:bCs/>
        </w:rPr>
        <w:t>Host genotyping and characterization of the HMHZ for a novel transect</w:t>
      </w:r>
    </w:p>
    <w:p>
      <w:pPr>
        <w:pStyle w:val="Normal"/>
        <w:rPr/>
      </w:pPr>
      <w:r>
        <w:rPr>
          <w:rFonts w:ascii="Times new roman" w:hAnsi="Times new roman"/>
        </w:rPr>
        <w:t>We caught and genotyped a total</w:t>
      </w:r>
      <w:r>
        <w:rPr>
          <w:rFonts w:cs="" w:ascii="Times new roman" w:hAnsi="Times new roman" w:cstheme="minorBidi"/>
          <w:highlight w:val="yellow"/>
        </w:rPr>
        <w:t xml:space="preserve"> of 650 mice (359 females, 291 males) over four sampling seasons (2014: </w:t>
      </w:r>
      <w:r>
        <w:rPr>
          <w:rFonts w:cs="" w:ascii="Times new roman" w:hAnsi="Times new roman" w:cstheme="minorBidi"/>
          <w:i/>
          <w:highlight w:val="yellow"/>
        </w:rPr>
        <w:t>N</w:t>
      </w:r>
      <w:r>
        <w:rPr>
          <w:rFonts w:cs="" w:ascii="Times new roman" w:hAnsi="Times new roman" w:cstheme="minorBidi"/>
          <w:highlight w:val="yellow"/>
        </w:rPr>
        <w:t xml:space="preserve">=86; 2015: </w:t>
      </w:r>
      <w:r>
        <w:rPr>
          <w:rFonts w:cs="" w:ascii="Times new roman" w:hAnsi="Times new roman" w:cstheme="minorBidi"/>
          <w:i/>
          <w:highlight w:val="yellow"/>
        </w:rPr>
        <w:t>N</w:t>
      </w:r>
      <w:r>
        <w:rPr>
          <w:rFonts w:cs="" w:ascii="Times new roman" w:hAnsi="Times new roman" w:cstheme="minorBidi"/>
          <w:highlight w:val="yellow"/>
        </w:rPr>
        <w:t xml:space="preserve">=156; 2016: </w:t>
      </w:r>
      <w:r>
        <w:rPr>
          <w:rFonts w:cs="" w:ascii="Times new roman" w:hAnsi="Times new roman" w:cstheme="minorBidi"/>
          <w:i/>
          <w:highlight w:val="yellow"/>
        </w:rPr>
        <w:t>N</w:t>
      </w:r>
      <w:r>
        <w:rPr>
          <w:rFonts w:cs="" w:ascii="Times new roman" w:hAnsi="Times new roman" w:cstheme="minorBidi"/>
          <w:highlight w:val="yellow"/>
        </w:rPr>
        <w:t xml:space="preserve">=167; 2017: </w:t>
      </w:r>
      <w:r>
        <w:rPr>
          <w:rFonts w:cs="" w:ascii="Times new roman" w:hAnsi="Times new roman" w:cstheme="minorBidi"/>
          <w:i/>
          <w:highlight w:val="yellow"/>
        </w:rPr>
        <w:t>N</w:t>
      </w:r>
      <w:r>
        <w:rPr>
          <w:rFonts w:cs="" w:ascii="Times new roman" w:hAnsi="Times new roman" w:cstheme="minorBidi"/>
          <w:highlight w:val="yellow"/>
        </w:rPr>
        <w:t>=241) at 149 localities</w:t>
      </w:r>
      <w:r>
        <w:rPr>
          <w:rFonts w:ascii="Times new roman" w:hAnsi="Times new roman"/>
        </w:rPr>
        <w:t xml:space="preserve">. A median of 2 mice per locality were captured. A </w:t>
      </w:r>
      <w:r>
        <w:rPr>
          <w:rFonts w:ascii="Times new roman" w:hAnsi="Times new roman"/>
        </w:rPr>
        <w:t xml:space="preserve">table </w:t>
      </w:r>
      <w:r>
        <w:rPr>
          <w:rFonts w:ascii="Times new roman" w:hAnsi="Times new roman"/>
        </w:rPr>
        <w:t xml:space="preserve">of individual </w:t>
      </w:r>
      <w:r>
        <w:rPr>
          <w:rFonts w:cs="" w:ascii="Times new roman" w:hAnsi="Times new roman" w:cstheme="minorBidi"/>
          <w:highlight w:val="yellow"/>
        </w:rPr>
        <w:t xml:space="preserve">mouse </w:t>
      </w:r>
      <w:r>
        <w:rPr>
          <w:rFonts w:cs="" w:ascii="Times new roman" w:hAnsi="Times new roman" w:cstheme="minorBidi"/>
          <w:highlight w:val="yellow"/>
        </w:rPr>
        <w:t xml:space="preserve">data </w:t>
      </w:r>
      <w:r>
        <w:rPr>
          <w:rFonts w:cs="" w:ascii="Times new roman" w:hAnsi="Times new roman" w:cstheme="minorBidi"/>
          <w:highlight w:val="yellow"/>
        </w:rPr>
        <w:t>including</w:t>
      </w:r>
      <w:r>
        <w:rPr>
          <w:rFonts w:ascii="Times new roman" w:hAnsi="Times new roman"/>
        </w:rPr>
        <w:t xml:space="preserve"> hybrid indices, georeferences and parasite loads is available in </w:t>
      </w:r>
      <w:r>
        <w:rPr>
          <w:rFonts w:cs="" w:ascii="Times new roman" w:hAnsi="Times new roman" w:cstheme="minorBidi"/>
          <w:b/>
          <w:bCs/>
          <w:highlight w:val="yellow"/>
        </w:rPr>
        <w:t>Supplementary Table S3</w:t>
      </w:r>
      <w:r>
        <w:rPr>
          <w:rFonts w:cs="" w:ascii="Times new roman" w:hAnsi="Times new roman" w:cstheme="minorBidi"/>
          <w:highlight w:val="yellow"/>
        </w:rPr>
        <w:t>.</w:t>
      </w:r>
      <w:r>
        <w:rPr>
          <w:rFonts w:ascii="Times new roman" w:hAnsi="Times new roman"/>
        </w:rPr>
        <w:t xml:space="preserve"> </w:t>
      </w:r>
      <w:r>
        <w:rPr>
          <w:rFonts w:cs="" w:ascii="Times new roman" w:hAnsi="Times new roman" w:cstheme="minorBidi"/>
          <w:highlight w:val="yellow"/>
        </w:rPr>
        <w:t>On the probability map of the hybrid zone centre,</w:t>
      </w:r>
      <w:r>
        <w:rPr>
          <w:rFonts w:ascii="Times new roman" w:hAnsi="Times new roman"/>
        </w:rPr>
        <w:t xml:space="preserve"> shown in</w:t>
      </w:r>
      <w:r>
        <w:rPr>
          <w:rFonts w:cs="" w:ascii="Times new roman" w:hAnsi="Times new roman" w:cstheme="minorBidi"/>
        </w:rPr>
        <w:t xml:space="preserve"> </w:t>
      </w:r>
      <w:r>
        <w:rPr>
          <w:rFonts w:cs="" w:ascii="Times new roman" w:hAnsi="Times new roman" w:cstheme="minorBidi"/>
          <w:b/>
          <w:bCs/>
        </w:rPr>
        <w:t>Figure 1</w:t>
      </w:r>
      <w:r>
        <w:rPr>
          <w:rFonts w:cs="" w:ascii="Times new roman" w:hAnsi="Times new roman" w:cstheme="minorBidi"/>
        </w:rPr>
        <w:t xml:space="preserve">, </w:t>
      </w:r>
      <w:r>
        <w:rPr>
          <w:rFonts w:cs="" w:ascii="Times new roman" w:hAnsi="Times new roman" w:cstheme="minorBidi"/>
          <w:highlight w:val="yellow"/>
        </w:rPr>
        <w:t>we see that</w:t>
      </w:r>
      <w:r>
        <w:rPr>
          <w:rFonts w:ascii="Times new roman" w:hAnsi="Times new roman"/>
        </w:rPr>
        <w:t xml:space="preserve"> the HMHZ runs across the former East Germany, making a broad arc around the city of Berlin, approaching within ca. 20 km of the bordering Oder River near Eberswalde.</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 </w:t>
      </w:r>
    </w:p>
    <w:p>
      <w:pPr>
        <w:pStyle w:val="Normal"/>
        <w:rPr/>
      </w:pPr>
      <w:r>
        <w:rPr>
          <w:rFonts w:ascii="Times new roman" w:hAnsi="Times new roman"/>
          <w:b/>
          <w:bCs/>
        </w:rPr>
        <w:t>Parasite prevalence and intensity</w:t>
      </w:r>
    </w:p>
    <w:p>
      <w:pPr>
        <w:pStyle w:val="Normal"/>
        <w:rPr/>
      </w:pPr>
      <w:r>
        <w:rPr>
          <w:rFonts w:ascii="Times new roman" w:hAnsi="Times new roman"/>
        </w:rPr>
        <w:t xml:space="preserve">To investigate </w:t>
      </w:r>
      <w:r>
        <w:rPr>
          <w:rFonts w:ascii="Times new roman" w:hAnsi="Times new roman"/>
          <w:i/>
        </w:rPr>
        <w:t>Eimeria</w:t>
      </w:r>
      <w:r>
        <w:rPr>
          <w:rFonts w:ascii="Times new roman" w:hAnsi="Times new roman"/>
        </w:rPr>
        <w:t xml:space="preserve"> infections we checked 384 mice sampled in 2016 and 2017 for the presence and intensity of tissue stages </w:t>
      </w:r>
      <w:r>
        <w:rPr>
          <w:rFonts w:cs="" w:ascii="Times new roman" w:hAnsi="Times new roman" w:cstheme="minorBidi"/>
        </w:rPr>
        <w:t>(</w:t>
      </w:r>
      <w:r>
        <w:rPr>
          <w:rFonts w:cs="" w:ascii="Times new roman" w:hAnsi="Times new roman" w:cstheme="minorBidi"/>
          <w:b/>
          <w:bCs/>
        </w:rPr>
        <w:t>Figure 2a</w:t>
      </w:r>
      <w:r>
        <w:rPr>
          <w:rFonts w:cs="" w:ascii="Times new roman" w:hAnsi="Times new roman" w:cstheme="minorBidi"/>
        </w:rPr>
        <w:t>)</w:t>
      </w:r>
      <w:r>
        <w:rPr>
          <w:rFonts w:ascii="Times new roman" w:hAnsi="Times new roman"/>
        </w:rPr>
        <w:t xml:space="preserve">. The estimated parasite prevalence was 18.2% (70/384) (Sterne’s Exact method CI 95%: [14.5, 22.5]). To quantify the intensity of infection we determined the amount of </w:t>
      </w:r>
      <w:r>
        <w:rPr>
          <w:rFonts w:ascii="Times new roman" w:hAnsi="Times new roman"/>
          <w:i/>
        </w:rPr>
        <w:t>Eimeria</w:t>
      </w:r>
      <w:r>
        <w:rPr>
          <w:rFonts w:ascii="Times new roman" w:hAnsi="Times new roman"/>
        </w:rPr>
        <w:t xml:space="preserve"> mitochondrial DNA per host nuclear DNA using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The median </w:t>
      </w:r>
      <w:r>
        <w:rPr>
          <w:rFonts w:ascii="Times new roman" w:hAnsi="Times new roman"/>
          <w:i/>
        </w:rPr>
        <w:t xml:space="preserve">Eimeria </w:t>
      </w:r>
      <w:r>
        <w:rPr>
          <w:rFonts w:ascii="Times new roman" w:hAnsi="Times new roman"/>
        </w:rPr>
        <w:t>intensity was -2.4 corresponding to 5.2 times less parasite mitochondrial DNA than host nuclear DNA.</w:t>
      </w:r>
    </w:p>
    <w:p>
      <w:pPr>
        <w:pStyle w:val="Normal"/>
        <w:rPr/>
      </w:pPr>
      <w:r>
        <w:rPr>
          <w:rFonts w:ascii="Times new roman" w:hAnsi="Times new roman"/>
        </w:rPr>
        <w:t>Between 2014 and 2017, 585 mice were investigated for helminths (</w:t>
      </w:r>
      <w:r>
        <w:rPr>
          <w:rFonts w:cs="" w:ascii="Times new roman" w:hAnsi="Times new roman" w:cstheme="minorBidi"/>
          <w:b/>
          <w:bCs/>
        </w:rPr>
        <w:t>Figure 3a</w:t>
      </w:r>
      <w:r>
        <w:rPr>
          <w:rFonts w:ascii="Times new roman" w:hAnsi="Times new roman"/>
        </w:rPr>
        <w:t xml:space="preserve">). Prevalence of pinworms in the transect was 52.5% (307/585) (Sterne’s Exact method CI 95%: [48.4, 56.5]) with a median abundance of 1 pinworm per mouse and median intensity of 13 pinworms per infected mouse (maximum number of pinworms in one host: 489). </w:t>
      </w:r>
    </w:p>
    <w:p>
      <w:pPr>
        <w:pStyle w:val="Normal"/>
        <w:rPr/>
      </w:pP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Overall prevalence of pinworms and </w:t>
      </w:r>
      <w:r>
        <w:rPr>
          <w:rFonts w:cs="" w:ascii="Times new roman" w:hAnsi="Times new roman" w:cstheme="minorBidi"/>
          <w:b w:val="false"/>
          <w:i/>
          <w:caps w:val="false"/>
          <w:smallCaps w:val="false"/>
          <w:strike w:val="false"/>
          <w:dstrike w:val="false"/>
          <w:color w:val="000000"/>
          <w:sz w:val="24"/>
          <w:szCs w:val="24"/>
          <w:highlight w:val="yellow"/>
          <w:u w:val="none"/>
          <w:effect w:val="none"/>
        </w:rPr>
        <w:t xml:space="preserve">Eimeria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in our samples did not significantly differ between approximated age category (using body weight as a proxy, as in Behnke, 1976) and between sex (Pearson's Chi-squared test, p-value &gt; 0.05) (</w:t>
      </w:r>
      <w:r>
        <w:rPr>
          <w:rFonts w:cs="" w:ascii="Times new roman" w:hAnsi="Times new roman" w:cstheme="minorBidi"/>
          <w:b/>
          <w:bCs/>
          <w:i w:val="false"/>
          <w:caps w:val="false"/>
          <w:smallCaps w:val="false"/>
          <w:strike w:val="false"/>
          <w:dstrike w:val="false"/>
          <w:color w:val="000000"/>
          <w:sz w:val="24"/>
          <w:szCs w:val="24"/>
          <w:highlight w:val="yellow"/>
          <w:u w:val="none"/>
          <w:effect w:val="none"/>
        </w:rPr>
        <w:t>Supplementary Table S4</w:t>
      </w:r>
      <w:r>
        <w:rPr>
          <w:rFonts w:cs="" w:ascii="Times new roman" w:hAnsi="Times new roman" w:cstheme="minorBidi"/>
          <w:b w:val="false"/>
          <w:bCs w:val="false"/>
          <w:i w:val="false"/>
          <w:caps w:val="false"/>
          <w:smallCaps w:val="false"/>
          <w:strike w:val="false"/>
          <w:dstrike w:val="false"/>
          <w:color w:val="000000"/>
          <w:sz w:val="24"/>
          <w:szCs w:val="24"/>
          <w:highlight w:val="yellow"/>
          <w:u w:val="none"/>
          <w:effect w:val="none"/>
        </w:rPr>
        <w:t>).</w:t>
      </w:r>
    </w:p>
    <w:p>
      <w:pPr>
        <w:pStyle w:val="Normal"/>
        <w:rPr/>
      </w:pPr>
      <w:bookmarkStart w:id="9" w:name="similar-prevalence-of-parasites-across-t"/>
      <w:bookmarkEnd w:id="9"/>
      <w:r>
        <w:rPr>
          <w:rFonts w:ascii="Times new roman" w:hAnsi="Times new roman"/>
          <w:b/>
          <w:bCs/>
        </w:rPr>
        <w:t>Similar prevalence of parasites across the zone</w:t>
      </w:r>
    </w:p>
    <w:p>
      <w:pPr>
        <w:pStyle w:val="Normal"/>
        <w:rPr/>
      </w:pPr>
      <w:r>
        <w:rPr>
          <w:rFonts w:ascii="Times new roman" w:hAnsi="Times new roman" w:cstheme="minorBidi"/>
          <w:highlight w:val="yellow"/>
        </w:rPr>
        <w:t xml:space="preserve">In order to control for </w:t>
      </w:r>
      <w:r>
        <w:rPr>
          <w:rFonts w:ascii="Times new roman" w:hAnsi="Times new roman" w:cstheme="minorBidi"/>
          <w:highlight w:val="yellow"/>
        </w:rPr>
        <w:t xml:space="preserve">impact of ecological factors such </w:t>
      </w:r>
      <w:r>
        <w:rPr>
          <w:rFonts w:ascii="Times new roman" w:hAnsi="Times new roman" w:cstheme="minorBidi"/>
          <w:highlight w:val="yellow"/>
        </w:rPr>
        <w:t>a</w:t>
      </w:r>
      <w:r>
        <w:rPr>
          <w:rFonts w:ascii="Times new roman" w:hAnsi="Times new roman" w:cstheme="minorBidi"/>
          <w:highlight w:val="yellow"/>
        </w:rPr>
        <w:t xml:space="preserve">s a </w:t>
      </w:r>
      <w:r>
        <w:rPr>
          <w:rFonts w:ascii="Times new roman" w:hAnsi="Times new roman"/>
        </w:rPr>
        <w:t xml:space="preserve">host density trough at the zone centre, </w:t>
      </w:r>
      <w:r>
        <w:rPr>
          <w:rFonts w:ascii="Times new roman" w:hAnsi="Times new roman" w:cstheme="minorBidi"/>
          <w:highlight w:val="yellow"/>
        </w:rPr>
        <w:t xml:space="preserve">on prevalence </w:t>
      </w:r>
      <w:r>
        <w:rPr>
          <w:rFonts w:ascii="Times new roman" w:hAnsi="Times new roman"/>
        </w:rPr>
        <w:t xml:space="preserve">we tested if the probability of being infected was significantly lower for individuals at the host zone centre. Logistic regression using a linear combination of the predictor variables “genetic distance to zone centre” and “Sex” (including interactions) didn’t show any statistically significant effect (p &gt; 0.05) on the probability of infection, neither for </w:t>
      </w:r>
      <w:r>
        <w:rPr>
          <w:rFonts w:ascii="Times new roman" w:hAnsi="Times new roman"/>
          <w:i/>
        </w:rPr>
        <w:t>Eimeria</w:t>
      </w:r>
      <w:r>
        <w:rPr>
          <w:rFonts w:ascii="Times new roman" w:hAnsi="Times new roman"/>
        </w:rPr>
        <w:t xml:space="preserve"> spp. (</w:t>
      </w:r>
      <w:r>
        <w:rPr>
          <w:rFonts w:cs="" w:ascii="Times new roman" w:hAnsi="Times new roman" w:cstheme="minorBidi"/>
          <w:b/>
          <w:bCs/>
        </w:rPr>
        <w:t>Figure 2b</w:t>
      </w:r>
      <w:r>
        <w:rPr>
          <w:rFonts w:ascii="Times new roman" w:hAnsi="Times new roman"/>
        </w:rPr>
        <w:t>) nor for pinworms (</w:t>
      </w:r>
      <w:r>
        <w:rPr>
          <w:rFonts w:cs="" w:ascii="Times new roman" w:hAnsi="Times new roman" w:cstheme="minorBidi"/>
          <w:b/>
          <w:bCs/>
        </w:rPr>
        <w:t>Figure 3b</w:t>
      </w:r>
      <w:r>
        <w:rPr>
          <w:rFonts w:ascii="Times new roman" w:hAnsi="Times new roman"/>
        </w:rPr>
        <w:t xml:space="preserve">). </w:t>
      </w:r>
      <w:r>
        <w:rPr>
          <w:rFonts w:cs="" w:ascii="Times new roman" w:hAnsi="Times new roman" w:cstheme="minorBidi"/>
          <w:highlight w:val="yellow"/>
        </w:rPr>
        <w:t xml:space="preserve">Results were identical for </w:t>
      </w:r>
      <w:r>
        <w:rPr>
          <w:rFonts w:cs="" w:ascii="Times new roman" w:hAnsi="Times new roman" w:cstheme="minorBidi"/>
          <w:highlight w:val="yellow"/>
        </w:rPr>
        <w:t>specifically</w:t>
      </w:r>
      <w:r>
        <w:rPr>
          <w:rFonts w:cs="" w:ascii="Times new roman" w:hAnsi="Times new roman" w:cstheme="minorBidi"/>
          <w:highlight w:val="yellow"/>
        </w:rPr>
        <w:t xml:space="preserve"> </w:t>
      </w:r>
      <w:r>
        <w:rPr>
          <w:rFonts w:cs="" w:ascii="Times new roman" w:hAnsi="Times new roman" w:cstheme="minorBidi"/>
          <w:i/>
          <w:iCs/>
          <w:highlight w:val="yellow"/>
        </w:rPr>
        <w:t>Eimeria ferrisi</w:t>
      </w:r>
      <w:r>
        <w:rPr>
          <w:rFonts w:cs="" w:ascii="Times new roman" w:hAnsi="Times new roman" w:cstheme="minorBidi"/>
          <w:i w:val="false"/>
          <w:iCs w:val="false"/>
          <w:highlight w:val="yellow"/>
        </w:rPr>
        <w:t xml:space="preserve"> infected mice vs. non infected (see </w:t>
      </w:r>
      <w:r>
        <w:rPr>
          <w:rFonts w:cs="" w:ascii="Times new roman" w:hAnsi="Times new roman" w:cstheme="minorBidi"/>
          <w:b/>
          <w:bCs/>
          <w:i w:val="false"/>
          <w:iCs w:val="false"/>
          <w:caps w:val="false"/>
          <w:smallCaps w:val="false"/>
          <w:strike w:val="false"/>
          <w:dstrike w:val="false"/>
          <w:color w:val="000000"/>
          <w:sz w:val="24"/>
          <w:szCs w:val="24"/>
          <w:highlight w:val="yellow"/>
          <w:u w:val="none"/>
          <w:effect w:val="none"/>
        </w:rPr>
        <w:t>Supplementary Figure S5a</w:t>
      </w:r>
      <w:r>
        <w:rPr>
          <w:rFonts w:cs="" w:ascii="Times new roman" w:hAnsi="Times new roman" w:cstheme="minorBidi"/>
          <w:i w:val="false"/>
          <w:iCs w:val="false"/>
          <w:highlight w:val="yellow"/>
        </w:rPr>
        <w:t>)</w:t>
      </w:r>
      <w:r>
        <w:rPr>
          <w:rFonts w:cs="" w:ascii="Times new roman" w:hAnsi="Times new roman" w:cstheme="minorBidi"/>
          <w:i/>
          <w:iCs/>
          <w:highlight w:val="yellow"/>
        </w:rPr>
        <w:t>.</w:t>
      </w:r>
      <w:r>
        <w:rPr>
          <w:rFonts w:ascii="Times new roman" w:hAnsi="Times new roman"/>
        </w:rPr>
        <w:t xml:space="preserve"> </w:t>
      </w:r>
      <w:r>
        <w:rPr>
          <w:rFonts w:ascii="Times new roman" w:hAnsi="Times new roman"/>
          <w:highlight w:val="yellow"/>
        </w:rPr>
        <w:t>Similarly</w:t>
      </w:r>
      <w:r>
        <w:rPr>
          <w:rFonts w:cs="" w:ascii="Times new roman" w:hAnsi="Times new roman" w:cstheme="minorBidi"/>
          <w:highlight w:val="yellow"/>
        </w:rPr>
        <w:t xml:space="preserve">, we could not reject the hypothesis of constant prevalence by running the analyses on both sides of the hybrid scale separately, for both parasites. </w:t>
      </w:r>
      <w:r>
        <w:rPr>
          <w:rFonts w:ascii="Times new roman" w:hAnsi="Times new roman"/>
        </w:rPr>
        <w:t xml:space="preserve">We therefore could not find evidence of significantly more or less uninfected hosts in the centre hybrid zone, neither for </w:t>
      </w:r>
      <w:r>
        <w:rPr>
          <w:rFonts w:ascii="Times new roman" w:hAnsi="Times new roman"/>
          <w:i/>
        </w:rPr>
        <w:t>Eimeria</w:t>
      </w:r>
      <w:r>
        <w:rPr>
          <w:rFonts w:ascii="Times new roman" w:hAnsi="Times new roman"/>
        </w:rPr>
        <w:t xml:space="preserve"> </w:t>
      </w:r>
      <w:r>
        <w:rPr>
          <w:rFonts w:ascii="Times new roman" w:hAnsi="Times new roman"/>
        </w:rPr>
        <w:t xml:space="preserve">as a genus, nor the most prevalent species </w:t>
      </w:r>
      <w:r>
        <w:rPr>
          <w:rFonts w:ascii="Times new roman" w:hAnsi="Times new roman"/>
          <w:i/>
          <w:iCs/>
        </w:rPr>
        <w:t>E. ferrisi</w:t>
      </w:r>
      <w:r>
        <w:rPr>
          <w:rFonts w:ascii="Times new roman" w:hAnsi="Times new roman"/>
        </w:rPr>
        <w:t xml:space="preserve">, </w:t>
      </w:r>
      <w:r>
        <w:rPr>
          <w:rFonts w:ascii="Times new roman" w:hAnsi="Times new roman"/>
        </w:rPr>
        <w:t xml:space="preserve">nor pinworms. </w:t>
      </w:r>
    </w:p>
    <w:p>
      <w:pPr>
        <w:pStyle w:val="Normal"/>
        <w:rPr/>
      </w:pPr>
      <w:r>
        <w:rPr>
          <w:rFonts w:eastAsia="Cambria" w:cs="" w:ascii="Times new roman" w:hAnsi="Times new roman" w:cstheme="minorBidi" w:eastAsiaTheme="minorHAnsi"/>
          <w:b/>
          <w:bCs/>
          <w:highlight w:val="yellow"/>
        </w:rPr>
        <w:t>No evidence of hyper- or under-mortality of hybrids compared to parents</w:t>
      </w:r>
    </w:p>
    <w:p>
      <w:pPr>
        <w:pStyle w:val="Normal"/>
        <w:rPr/>
      </w:pPr>
      <w:r>
        <w:rPr>
          <w:rFonts w:cs="" w:ascii="Times new roman" w:hAnsi="Times new roman" w:cstheme="minorBidi"/>
          <w:b w:val="false"/>
          <w:bCs w:val="false"/>
          <w:highlight w:val="yellow"/>
        </w:rPr>
        <w:t xml:space="preserve">We tested the hybridization effect on body weight as proxy of age. Modelling the body weight  along the hybrid zone showed an effect of taxon (G-test of model allowing taxon differences vs. no taxon differences (H1 vs. H0); p-value = 0.017, N = 456) and no effect of sex </w:t>
      </w:r>
      <w:bookmarkStart w:id="10" w:name="__DdeLink__1773_3215858634"/>
      <w:r>
        <w:rPr>
          <w:rFonts w:cs="" w:ascii="Times new roman" w:hAnsi="Times new roman" w:cstheme="minorBidi"/>
          <w:b w:val="false"/>
          <w:bCs w:val="false"/>
          <w:highlight w:val="yellow"/>
        </w:rPr>
        <w:t xml:space="preserve">(G-test of models allowing sex differences vs. no sex differences (both H2 vs. H0 and H3 vs. H1); p-value </w:t>
      </w:r>
      <w:r>
        <w:rPr>
          <w:rFonts w:cs="" w:ascii="Times new roman" w:hAnsi="Times new roman" w:cstheme="minorBidi"/>
          <w:b w:val="false"/>
          <w:bCs w:val="false"/>
          <w:highlight w:val="yellow"/>
        </w:rPr>
        <w:t>=</w:t>
      </w:r>
      <w:r>
        <w:rPr>
          <w:rFonts w:cs="" w:ascii="Times new roman" w:hAnsi="Times new roman" w:cstheme="minorBidi"/>
          <w:b w:val="false"/>
          <w:bCs w:val="false"/>
          <w:highlight w:val="yellow"/>
        </w:rPr>
        <w:t xml:space="preserve"> </w:t>
      </w:r>
      <w:commentRangeStart w:id="1"/>
      <w:r>
        <w:rPr>
          <w:rFonts w:cs="" w:ascii="Times new roman" w:hAnsi="Times new roman" w:cstheme="minorBidi"/>
          <w:b w:val="false"/>
          <w:bCs w:val="false"/>
          <w:highlight w:val="yellow"/>
        </w:rPr>
        <w:t>XXX</w:t>
      </w:r>
      <w:r>
        <w:rPr>
          <w:rFonts w:cs="" w:ascii="Times new roman" w:hAnsi="Times new roman" w:cstheme="minorBidi"/>
          <w:b w:val="false"/>
          <w:bCs w:val="false"/>
          <w:highlight w:val="yellow"/>
        </w:rPr>
      </w:r>
      <w:commentRangeEnd w:id="1"/>
      <w:r>
        <w:commentReference w:id="1"/>
      </w:r>
      <w:r>
        <w:rPr>
          <w:rFonts w:cs="" w:ascii="Times new roman" w:hAnsi="Times new roman" w:cstheme="minorBidi"/>
          <w:b w:val="false"/>
          <w:bCs w:val="false"/>
          <w:highlight w:val="yellow"/>
        </w:rPr>
        <w:t>, N = 456)</w:t>
      </w:r>
      <w:bookmarkEnd w:id="10"/>
      <w:r>
        <w:rPr>
          <w:rFonts w:cs="" w:ascii="Times new roman" w:hAnsi="Times new roman" w:cstheme="minorBidi"/>
          <w:b w:val="false"/>
          <w:bCs w:val="false"/>
          <w:highlight w:val="yellow"/>
        </w:rPr>
        <w:t xml:space="preserve">. More notably, the model allowing taxon difference did not show a statistically significant hybridization effect (G-test; p-value </w:t>
      </w:r>
      <w:r>
        <w:rPr>
          <w:rFonts w:cs="" w:ascii="Times new roman" w:hAnsi="Times new roman" w:cstheme="minorBidi"/>
          <w:b w:val="false"/>
          <w:bCs w:val="false"/>
          <w:highlight w:val="yellow"/>
        </w:rPr>
        <w:t>=</w:t>
      </w:r>
      <w:r>
        <w:rPr>
          <w:rFonts w:cs="" w:ascii="Times new roman" w:hAnsi="Times new roman" w:cstheme="minorBidi"/>
          <w:b w:val="false"/>
          <w:bCs w:val="false"/>
          <w:highlight w:val="yellow"/>
        </w:rPr>
        <w:t xml:space="preserve"> </w:t>
      </w:r>
      <w:commentRangeStart w:id="2"/>
      <w:r>
        <w:rPr>
          <w:rFonts w:cs="" w:ascii="Times new roman" w:hAnsi="Times new roman" w:cstheme="minorBidi"/>
          <w:b w:val="false"/>
          <w:bCs w:val="false"/>
          <w:highlight w:val="yellow"/>
        </w:rPr>
        <w:t>XXX</w:t>
      </w:r>
      <w:r>
        <w:rPr>
          <w:rFonts w:cs="" w:ascii="Times new roman" w:hAnsi="Times new roman" w:cstheme="minorBidi"/>
          <w:b w:val="false"/>
          <w:bCs w:val="false"/>
          <w:highlight w:val="yellow"/>
        </w:rPr>
      </w:r>
      <w:commentRangeEnd w:id="2"/>
      <w:r>
        <w:commentReference w:id="2"/>
      </w:r>
      <w:r>
        <w:rPr>
          <w:rFonts w:cs="" w:ascii="Times new roman" w:hAnsi="Times new roman" w:cstheme="minorBidi"/>
          <w:b w:val="false"/>
          <w:bCs w:val="false"/>
          <w:highlight w:val="yellow"/>
        </w:rPr>
        <w:t xml:space="preserve">, N = 456; see </w:t>
      </w:r>
      <w:r>
        <w:rPr>
          <w:rFonts w:cs="" w:ascii="Times new roman" w:hAnsi="Times new roman" w:cstheme="minorBidi"/>
          <w:b/>
          <w:bCs/>
          <w:i w:val="false"/>
          <w:iCs w:val="false"/>
          <w:caps w:val="false"/>
          <w:smallCaps w:val="false"/>
          <w:strike w:val="false"/>
          <w:dstrike w:val="false"/>
          <w:color w:val="000000"/>
          <w:sz w:val="24"/>
          <w:szCs w:val="24"/>
          <w:highlight w:val="yellow"/>
          <w:u w:val="none"/>
          <w:effect w:val="none"/>
        </w:rPr>
        <w:t>Supplementary Figure S6</w:t>
      </w:r>
      <w:r>
        <w:rPr>
          <w:rFonts w:cs="" w:ascii="Times new roman" w:hAnsi="Times new roman" w:cstheme="minorBidi"/>
          <w:b w:val="false"/>
          <w:bCs w:val="false"/>
          <w:highlight w:val="yellow"/>
        </w:rPr>
        <w:t>). We therefore could not detect any decrease or increase of overall mortality in more admixed mice.</w:t>
      </w:r>
    </w:p>
    <w:p>
      <w:pPr>
        <w:pStyle w:val="Normal"/>
        <w:rPr/>
      </w:pPr>
      <w:r>
        <w:rPr>
          <w:rFonts w:ascii="Times new roman" w:hAnsi="Times new roman"/>
          <w:b/>
          <w:bCs/>
          <w:i/>
        </w:rPr>
        <w:t>Eimeria</w:t>
      </w:r>
      <w:r>
        <w:rPr>
          <w:rFonts w:ascii="Times new roman" w:hAnsi="Times new roman"/>
          <w:b/>
          <w:bCs/>
        </w:rPr>
        <w:t xml:space="preserve"> spp. load is lower in infected hybrid vs pure Mmm and Mmd mice </w:t>
      </w:r>
    </w:p>
    <w:p>
      <w:pPr>
        <w:pStyle w:val="Normal"/>
        <w:rPr/>
      </w:pPr>
      <w:r>
        <w:rPr>
          <w:rFonts w:ascii="Times new roman" w:hAnsi="Times new roman"/>
        </w:rPr>
        <w:t xml:space="preserve">To test more specifically the intrinsic host-parasite interplay of hybrids compared to pure mice, we considered only individuals infected by </w:t>
      </w:r>
      <w:r>
        <w:rPr>
          <w:rFonts w:ascii="Times new roman" w:hAnsi="Times new roman"/>
          <w:i/>
        </w:rPr>
        <w:t>Eimeria</w:t>
      </w:r>
      <w:r>
        <w:rPr>
          <w:rFonts w:ascii="Times new roman" w:hAnsi="Times new roman"/>
        </w:rPr>
        <w:t xml:space="preserve"> spp. tissue stages (</w:t>
      </w:r>
      <w:r>
        <w:rPr>
          <w:rFonts w:ascii="Times new roman" w:hAnsi="Times new roman"/>
          <w:i/>
        </w:rPr>
        <w:t>N</w:t>
      </w:r>
      <w:r>
        <w:rPr>
          <w:rFonts w:ascii="Times new roman" w:hAnsi="Times new roman"/>
        </w:rPr>
        <w:t xml:space="preserve"> = 70). Complex models involving differences between sexes and parental taxa did not fit the data significantly better than the null model (</w:t>
      </w:r>
      <w:bookmarkStart w:id="11" w:name="__DdeLink__3503_2122412361"/>
      <w:r>
        <w:rPr>
          <w:rFonts w:cs="" w:ascii="Times new roman" w:hAnsi="Times new roman" w:cstheme="minorBidi"/>
          <w:b/>
          <w:bCs/>
          <w:highlight w:val="yellow"/>
        </w:rPr>
        <w:t>Supplementary Table S7</w:t>
      </w:r>
      <w:bookmarkEnd w:id="11"/>
      <w:r>
        <w:rPr>
          <w:rFonts w:ascii="Times new roman" w:hAnsi="Times new roman"/>
        </w:rPr>
        <w:t xml:space="preserve">). The fit involving the hybridization effect, however, showed significantly higher likelihood than the model without it (G-test; p-value = 0.02). Infected hybrids had significantly lower load of </w:t>
      </w:r>
      <w:r>
        <w:rPr>
          <w:rFonts w:ascii="Times new roman" w:hAnsi="Times new roman"/>
          <w:i/>
        </w:rPr>
        <w:t>Eimeria</w:t>
      </w:r>
      <w:r>
        <w:rPr>
          <w:rFonts w:ascii="Times new roman" w:hAnsi="Times new roman"/>
        </w:rPr>
        <w:t xml:space="preserve"> spp. tissue stages than expected if the load was linear along the hybrid index, with a hybridization effect parameter alpha of 0.74 (</w:t>
      </w:r>
      <w:r>
        <w:rPr>
          <w:rFonts w:cs="" w:ascii="Times new roman" w:hAnsi="Times new roman" w:cstheme="minorBidi"/>
          <w:b/>
          <w:bCs/>
        </w:rPr>
        <w:t>Figure 2d</w:t>
      </w:r>
      <w:r>
        <w:rPr>
          <w:rFonts w:ascii="Times new roman" w:hAnsi="Times new roman"/>
        </w:rPr>
        <w:t xml:space="preserve">, values of parameters of the fitted model given in </w:t>
      </w:r>
      <w:r>
        <w:rPr>
          <w:rFonts w:ascii="Times new roman" w:hAnsi="Times new roman"/>
          <w:b/>
          <w:bCs/>
        </w:rPr>
        <w:t>Table 1</w:t>
      </w:r>
      <w:r>
        <w:rPr>
          <w:rFonts w:ascii="Times new roman" w:hAnsi="Times new roman"/>
        </w:rPr>
        <w:t>).</w:t>
      </w:r>
      <w:r>
        <w:rPr>
          <w:rFonts w:cs="" w:ascii="Times new roman" w:hAnsi="Times new roman" w:cstheme="minorBidi"/>
          <w:highlight w:val="yellow"/>
        </w:rPr>
        <w:t xml:space="preserve"> Considering only the more prevalent </w:t>
      </w:r>
      <w:r>
        <w:rPr>
          <w:rFonts w:cs="" w:ascii="Times new roman" w:hAnsi="Times new roman" w:cstheme="minorBidi"/>
          <w:i/>
          <w:iCs/>
          <w:highlight w:val="yellow"/>
        </w:rPr>
        <w:t>Eimeria</w:t>
      </w:r>
      <w:r>
        <w:rPr>
          <w:rFonts w:cs="" w:ascii="Times new roman" w:hAnsi="Times new roman" w:cstheme="minorBidi"/>
          <w:highlight w:val="yellow"/>
        </w:rPr>
        <w:t xml:space="preserve"> species, </w:t>
      </w:r>
      <w:r>
        <w:rPr>
          <w:rFonts w:cs="" w:ascii="Times new roman" w:hAnsi="Times new roman" w:cstheme="minorBidi"/>
          <w:i/>
          <w:iCs/>
          <w:highlight w:val="yellow"/>
        </w:rPr>
        <w:t>E. ferrisi,</w:t>
      </w:r>
      <w:r>
        <w:rPr>
          <w:rFonts w:cs="" w:ascii="Times new roman" w:hAnsi="Times new roman" w:cstheme="minorBidi"/>
          <w:highlight w:val="yellow"/>
        </w:rPr>
        <w:t xml:space="preserve"> infected mice (N=44), we found similar results: no significant improvement of the model when differences between sexes and parental taxa were included </w:t>
      </w:r>
      <w:r>
        <w:rPr>
          <w:rFonts w:cs="" w:ascii="Times new roman" w:hAnsi="Times new roman" w:cstheme="minorBidi"/>
          <w:highlight w:val="yellow"/>
        </w:rPr>
        <w:t xml:space="preserve">and </w:t>
      </w:r>
      <w:r>
        <w:rPr>
          <w:rFonts w:cs="" w:ascii="Times new roman" w:hAnsi="Times new roman" w:cstheme="minorBidi"/>
          <w:highlight w:val="yellow"/>
        </w:rPr>
        <w:t xml:space="preserve">significantly higher likelihood of the model with hybridization effect than the model without it (G-test; p-value = 0.02, hybridization parameter = 0.73; see </w:t>
      </w:r>
      <w:r>
        <w:rPr>
          <w:rFonts w:cs="" w:ascii="Times new roman" w:hAnsi="Times new roman" w:cstheme="minorBidi"/>
          <w:b/>
          <w:bCs/>
          <w:i w:val="false"/>
          <w:iCs w:val="false"/>
          <w:caps w:val="false"/>
          <w:smallCaps w:val="false"/>
          <w:strike w:val="false"/>
          <w:dstrike w:val="false"/>
          <w:color w:val="000000"/>
          <w:sz w:val="24"/>
          <w:szCs w:val="24"/>
          <w:highlight w:val="yellow"/>
          <w:u w:val="none"/>
          <w:effect w:val="none"/>
        </w:rPr>
        <w:t>Supplementary Figure S5b</w:t>
      </w:r>
      <w:r>
        <w:rPr>
          <w:rFonts w:cs="" w:ascii="Times new roman" w:hAnsi="Times new roman" w:cstheme="minorBidi"/>
          <w:highlight w:val="yellow"/>
        </w:rPr>
        <w:t xml:space="preserve">. </w:t>
      </w:r>
    </w:p>
    <w:p>
      <w:pPr>
        <w:pStyle w:val="Normal"/>
        <w:rPr/>
      </w:pPr>
      <w:r>
        <w:rPr>
          <w:rFonts w:ascii="Times new roman" w:hAnsi="Times new roman"/>
          <w:b/>
          <w:bCs/>
        </w:rPr>
        <w:t>Pinworm load is lower in infected hybrid vs. pure Mmm and Mmd mice</w:t>
      </w:r>
      <w:r>
        <w:rPr>
          <w:rFonts w:ascii="Times new roman" w:hAnsi="Times new roman"/>
        </w:rPr>
        <w:t xml:space="preserve"> </w:t>
      </w:r>
    </w:p>
    <w:p>
      <w:pPr>
        <w:pStyle w:val="Normal"/>
        <w:rPr/>
      </w:pPr>
      <w:r>
        <w:rPr>
          <w:rFonts w:ascii="Times new roman" w:hAnsi="Times new roman"/>
        </w:rPr>
        <w:t>We tested pinworm intensity (</w:t>
      </w:r>
      <w:r>
        <w:rPr>
          <w:rFonts w:ascii="Times new roman" w:hAnsi="Times new roman"/>
          <w:i/>
        </w:rPr>
        <w:t>N</w:t>
      </w:r>
      <w:r>
        <w:rPr>
          <w:rFonts w:ascii="Times new roman" w:hAnsi="Times new roman"/>
        </w:rPr>
        <w:t xml:space="preserve"> = 307) in infected hybrids comparing them to infected ‘pure parental’ mice in our Brandenburg transect, excluding potential ecological confounders in the same way. The model allowing differences between the parental taxa and sexes (H3) was found to fit our observations significantly better than the less complex models (</w:t>
      </w:r>
      <w:r>
        <w:rPr>
          <w:rFonts w:cs="" w:ascii="Times new roman" w:hAnsi="Times new roman" w:cstheme="minorBidi"/>
          <w:b/>
          <w:bCs/>
          <w:highlight w:val="yellow"/>
        </w:rPr>
        <w:t>Supplementary Table S7</w:t>
      </w:r>
      <w:r>
        <w:rPr>
          <w:rFonts w:ascii="Times new roman" w:hAnsi="Times new roman"/>
        </w:rPr>
        <w:t>). For both sexes, the fit including the hybridization effect showed significantly higher likelihood than the model without it (G-test; p-value = 0.04 for females, p-value &lt; 0.001 for males). Infected hybrids had significantly lower pinworm load than expected if the load was linear along the hybrid index, with the hybridization effect parameter alpha 0.91 (females) and 1.46 (males) (</w:t>
      </w:r>
      <w:r>
        <w:rPr>
          <w:rFonts w:cs="" w:ascii="Times new roman" w:hAnsi="Times new roman" w:cstheme="minorBidi"/>
          <w:b/>
          <w:bCs/>
          <w:i w:val="false"/>
          <w:iCs w:val="false"/>
          <w:caps w:val="false"/>
          <w:smallCaps w:val="false"/>
          <w:strike w:val="false"/>
          <w:dstrike w:val="false"/>
          <w:color w:val="000000"/>
          <w:sz w:val="24"/>
          <w:szCs w:val="24"/>
          <w:u w:val="none"/>
          <w:effect w:val="none"/>
        </w:rPr>
        <w:t>Figure 3d</w:t>
      </w:r>
      <w:r>
        <w:rPr>
          <w:rFonts w:ascii="Times new roman" w:hAnsi="Times new roman"/>
        </w:rPr>
        <w:t>, values of parameters of the fitted model given in</w:t>
      </w:r>
      <w:r>
        <w:rPr>
          <w:rFonts w:ascii="Times new roman" w:hAnsi="Times new roman"/>
          <w:b/>
          <w:bCs/>
        </w:rPr>
        <w:t xml:space="preserve"> Table 1</w:t>
      </w:r>
      <w:r>
        <w:rPr>
          <w:rFonts w:ascii="Times new roman" w:hAnsi="Times new roman"/>
        </w:rPr>
        <w:t>).</w:t>
      </w:r>
    </w:p>
    <w:p>
      <w:pPr>
        <w:pStyle w:val="Normal"/>
        <w:rPr/>
      </w:pPr>
      <w:r>
        <w:rPr>
          <w:rFonts w:ascii="Times new roman" w:hAnsi="Times new roman"/>
          <w:b/>
          <w:bCs/>
        </w:rPr>
        <w:t>Comparison of pinworms loads with previous reports</w:t>
      </w:r>
    </w:p>
    <w:p>
      <w:pPr>
        <w:pStyle w:val="Normal"/>
        <w:rPr/>
      </w:pPr>
      <w:r>
        <w:rPr>
          <w:rFonts w:ascii="Times new roman" w:hAnsi="Times new roman"/>
        </w:rPr>
        <w:t xml:space="preserve">To compare the strength of the hybridization effect between our Brandenburg transect and the Czech-Bavarian portion of the HMHZ we applied the H1 model (differences between the taxa but not between the host sexes) to our pinworm abundance data, once with freely varying alpha (fit 1), and once with alpha set to 1.39 as in Baird et al. (2012) (fit 2). Within fit 1, alpha was found significant (G-test; p-value &lt; 0.001). The comparison between the model with freely varying alpha (fit 1) and that using fixed alpha (fit 2) showed no significant likelihood difference (G-test; p-value = 0.11). Therefore, we can conclude that pinworm load differences found in hybrids in this study are consistent with the results obtained in the previously studied Czech-Bavarian transect (Baird et al., 2012). </w:t>
      </w:r>
    </w:p>
    <w:p>
      <w:pPr>
        <w:pStyle w:val="Normal"/>
        <w:rPr/>
      </w:pPr>
      <w:bookmarkStart w:id="12" w:name="no-evidence-of-body-condition-difference"/>
      <w:bookmarkEnd w:id="12"/>
      <w:r>
        <w:rPr>
          <w:rFonts w:ascii="Times new roman" w:hAnsi="Times new roman"/>
          <w:b/>
          <w:bCs/>
        </w:rPr>
        <w:t>No evidence of body condition differences between infected and non-infected mice along the hybrid zone</w:t>
      </w:r>
    </w:p>
    <w:p>
      <w:pPr>
        <w:pStyle w:val="Normal"/>
        <w:rPr/>
      </w:pPr>
      <w:r>
        <w:rPr>
          <w:rFonts w:ascii="Times new roman" w:hAnsi="Times new roman"/>
        </w:rPr>
        <w:t>To test whether infections have a different effect in hybrids vs. parental mice we assessed body condition, which could be a better proxy for host health than parasite load. Modelling of the residuals from ordinary least squares regression of body weight by body length along the hybrid zone (</w:t>
      </w:r>
      <w:r>
        <w:rPr>
          <w:rFonts w:cs="" w:ascii="Times new roman" w:hAnsi="Times new roman" w:cstheme="minorBidi"/>
          <w:b/>
          <w:bCs/>
          <w:i w:val="false"/>
          <w:iCs w:val="false"/>
          <w:caps w:val="false"/>
          <w:smallCaps w:val="false"/>
          <w:strike w:val="false"/>
          <w:dstrike w:val="false"/>
          <w:color w:val="000000"/>
          <w:sz w:val="24"/>
          <w:szCs w:val="24"/>
          <w:u w:val="none"/>
          <w:effect w:val="none"/>
        </w:rPr>
        <w:t>Figure 4a</w:t>
      </w:r>
      <w:r>
        <w:rPr>
          <w:rFonts w:ascii="Times new roman" w:hAnsi="Times new roman"/>
        </w:rPr>
        <w:t xml:space="preserve">) did not show a statistically significant hybridization effect (G-test; p-value &gt; 0.05 in both parasite datasets considered). When infected and non-infected individuals were considered separately, neither </w:t>
      </w:r>
      <w:r>
        <w:rPr>
          <w:rFonts w:ascii="Times new roman" w:hAnsi="Times new roman"/>
          <w:i/>
        </w:rPr>
        <w:t>Eimeria</w:t>
      </w:r>
      <w:r>
        <w:rPr>
          <w:rFonts w:ascii="Times new roman" w:hAnsi="Times new roman"/>
        </w:rPr>
        <w:t xml:space="preserve"> spp. infected individuals (G-test; p-value = 0.58) nor </w:t>
      </w:r>
      <w:r>
        <w:rPr>
          <w:rFonts w:ascii="Times new roman" w:hAnsi="Times new roman"/>
          <w:i/>
        </w:rPr>
        <w:t>Eimeria</w:t>
      </w:r>
      <w:r>
        <w:rPr>
          <w:rFonts w:ascii="Times new roman" w:hAnsi="Times new roman"/>
        </w:rPr>
        <w:t xml:space="preserve"> spp. non-infected individuals (G-test; p-value = 0.90) showed a hybridization effect in body condition index (</w:t>
      </w:r>
      <w:r>
        <w:rPr>
          <w:rFonts w:cs="" w:ascii="Times new roman" w:hAnsi="Times new roman" w:cstheme="minorBidi"/>
          <w:b/>
          <w:bCs/>
          <w:i w:val="false"/>
          <w:iCs w:val="false"/>
          <w:caps w:val="false"/>
          <w:smallCaps w:val="false"/>
          <w:strike w:val="false"/>
          <w:dstrike w:val="false"/>
          <w:color w:val="000000"/>
          <w:sz w:val="24"/>
          <w:szCs w:val="24"/>
          <w:u w:val="none"/>
          <w:effect w:val="none"/>
        </w:rPr>
        <w:t>Figure 4b</w:t>
      </w:r>
      <w:r>
        <w:rPr>
          <w:rFonts w:ascii="Times new roman" w:hAnsi="Times new roman"/>
        </w:rPr>
        <w:t xml:space="preserve">). The same was true for pinworm infected individuals (G-test; p-value = 0.44) or pinworm non-infected individuals (G-test; p-value = 0.96; </w:t>
      </w:r>
      <w:r>
        <w:rPr>
          <w:rFonts w:cs="" w:ascii="Times new roman" w:hAnsi="Times new roman" w:cstheme="minorBidi"/>
          <w:b/>
          <w:bCs/>
          <w:i w:val="false"/>
          <w:iCs w:val="false"/>
          <w:caps w:val="false"/>
          <w:smallCaps w:val="false"/>
          <w:strike w:val="false"/>
          <w:dstrike w:val="false"/>
          <w:color w:val="000000"/>
          <w:sz w:val="24"/>
          <w:szCs w:val="24"/>
          <w:u w:val="none"/>
          <w:effect w:val="none"/>
        </w:rPr>
        <w:t>Figure 4c</w:t>
      </w:r>
      <w:r>
        <w:rPr>
          <w:rFonts w:ascii="Times new roman" w:hAnsi="Times new roman"/>
        </w:rPr>
        <w:t xml:space="preserve">). </w:t>
      </w:r>
    </w:p>
    <w:p>
      <w:pPr>
        <w:pStyle w:val="Normal"/>
        <w:rPr/>
      </w:pPr>
      <w:bookmarkStart w:id="13" w:name="discussion"/>
      <w:bookmarkEnd w:id="13"/>
      <w:r>
        <w:rPr>
          <w:rFonts w:ascii="Times new roman" w:hAnsi="Times new roman"/>
          <w:b/>
          <w:bCs/>
        </w:rPr>
        <w:t>Discussion</w:t>
      </w:r>
    </w:p>
    <w:p>
      <w:pPr>
        <w:pStyle w:val="Normal"/>
        <w:rPr/>
      </w:pPr>
      <w:r>
        <w:rPr>
          <w:rFonts w:ascii="Times new roman" w:hAnsi="Times new roman"/>
        </w:rPr>
        <w:t xml:space="preserve">We found lower intensities of the intracellular parasites </w:t>
      </w:r>
      <w:r>
        <w:rPr>
          <w:rFonts w:ascii="Times new roman" w:hAnsi="Times new roman"/>
          <w:i/>
        </w:rPr>
        <w:t>Eimeria</w:t>
      </w:r>
      <w:r>
        <w:rPr>
          <w:rFonts w:ascii="Times new roman" w:hAnsi="Times new roman"/>
        </w:rPr>
        <w:t xml:space="preserve"> spp. and intestinal parasite pinworms in hybrid than in parental subspecies hosts in a previously unstudied transect of the European HMHZ. Lower intensity in hybrids is unlikely to be explained by </w:t>
      </w:r>
      <w:r>
        <w:rPr>
          <w:rFonts w:cs="" w:ascii="Times new roman" w:hAnsi="Times new roman" w:cstheme="minorBidi"/>
          <w:highlight w:val="yellow"/>
        </w:rPr>
        <w:t xml:space="preserve">ecological </w:t>
      </w:r>
      <w:r>
        <w:rPr>
          <w:rFonts w:ascii="Times new roman" w:hAnsi="Times new roman"/>
        </w:rPr>
        <w:t>differences across the HMHZ, as we did not find the probability of infection to be similarly reduced in hybrid hosts,</w:t>
      </w:r>
      <w:r>
        <w:rPr>
          <w:rFonts w:cs="" w:ascii="Times new roman" w:hAnsi="Times new roman" w:cstheme="minorBidi"/>
          <w:highlight w:val="yellow"/>
        </w:rPr>
        <w:t xml:space="preserve"> and no overall increase or decrease or mortality towards the zone centre</w:t>
      </w:r>
      <w:r>
        <w:rPr>
          <w:rFonts w:ascii="Times new roman" w:hAnsi="Times new roman"/>
        </w:rPr>
        <w:t xml:space="preserve">. </w:t>
      </w:r>
    </w:p>
    <w:p>
      <w:pPr>
        <w:pStyle w:val="Normal"/>
        <w:rPr/>
      </w:pPr>
      <w:bookmarkStart w:id="14" w:name="docs-internal-guid-2c1fbd6a-7fff-7b99-ff"/>
      <w:bookmarkEnd w:id="14"/>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House mouse hybrids in the European HMHZ are not first-generation crossings, but rather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genetically complex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late generation”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recombinants</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 This means that each of their genomes presents a complex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ad</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mixture of both Mmm and Mmd ones (Macholán et al., 2007). There is no clear-cut between hybrids and parental</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individuals. Therefore,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individuals in such systems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should not be considered in categories, but rather on a continuous scale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of “hybridicity” (a hybrid index)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when analyzing parasite infections or any other trait (Baird et al., 2012).</w:t>
      </w:r>
      <w:r>
        <w:rPr>
          <w:rFonts w:ascii="times new roman" w:hAnsi="times new roman"/>
          <w:sz w:val="24"/>
          <w:szCs w:val="24"/>
        </w:rPr>
        <w:t xml:space="preserve"> </w:t>
      </w:r>
      <w:r>
        <w:rPr>
          <w:rFonts w:ascii="Times new roman" w:hAnsi="Times new roman"/>
        </w:rPr>
        <w:t xml:space="preserve">We followed the statistical analysis of Baird et al. (2012) and explicitly modelled the effect of hybridization on parasite intensity by approximating the number of new combinations of genes brought together in a hybrid genotype by its expected heterozygosity (He). In other words we used He to derive non-linear predictions for hybridization effect based on the observed individual hybrid indices.  To increase reproducibility, we make our analysis available in an R package (Balard &amp; Heitlinger, 2019). The package allows statistical modelling with distributions additional to the original negative binomial distribution for (worm) count data (Baird et al., 2012). This allowed us to model the intensity of </w:t>
      </w:r>
      <w:r>
        <w:rPr>
          <w:rFonts w:ascii="Times new roman" w:hAnsi="Times new roman"/>
          <w:i/>
        </w:rPr>
        <w:t>Eimeria</w:t>
      </w:r>
      <w:r>
        <w:rPr>
          <w:rFonts w:ascii="Times new roman" w:hAnsi="Times new roman"/>
        </w:rPr>
        <w:t xml:space="preserve"> infections as measured by a recently established quantitative PCR (Ahmed et al., 2019; Al-khlifeh et al., 2019; Jarquín-Díaz et al., 2019).</w:t>
      </w:r>
    </w:p>
    <w:p>
      <w:pPr>
        <w:pStyle w:val="Normal"/>
        <w:rPr/>
      </w:pPr>
      <w:r>
        <w:rPr>
          <w:rFonts w:ascii="Times new roman" w:hAnsi="Times new roman"/>
        </w:rPr>
        <w:t xml:space="preserve">To our knowledge no studies have previously tested the effect of mouse hybridization on parasites other than helminths in a field setting of the HMHZ. </w:t>
      </w:r>
      <w:r>
        <w:rPr>
          <w:rFonts w:ascii="Times new roman" w:hAnsi="Times new roman"/>
          <w:highlight w:val="yellow"/>
        </w:rPr>
        <w:t xml:space="preserve">To understand parasite processes in host hybrid zones, it is necessary to test different types for parasites. Our </w:t>
      </w:r>
      <w:r>
        <w:rPr>
          <w:rFonts w:ascii="Times new roman" w:hAnsi="Times new roman"/>
          <w:highlight w:val="yellow"/>
        </w:rPr>
        <w:t xml:space="preserve">parasite </w:t>
      </w:r>
      <w:r>
        <w:rPr>
          <w:rFonts w:ascii="Times new roman" w:hAnsi="Times new roman"/>
          <w:highlight w:val="yellow"/>
        </w:rPr>
        <w:t>models present differences that are likely to involve different resistance mechanisms in their hosts (</w:t>
      </w:r>
      <w:r>
        <w:rPr>
          <w:rFonts w:ascii="Times new roman" w:hAnsi="Times new roman"/>
          <w:highlight w:val="yellow"/>
        </w:rPr>
        <w:t xml:space="preserve">but also </w:t>
      </w:r>
      <w:r>
        <w:rPr>
          <w:rFonts w:ascii="Times new roman" w:hAnsi="Times new roman"/>
          <w:highlight w:val="yellow"/>
        </w:rPr>
        <w:t xml:space="preserve">different impact on host health </w:t>
      </w:r>
      <w:r>
        <w:rPr>
          <w:rFonts w:ascii="Times new roman" w:hAnsi="Times new roman"/>
          <w:highlight w:val="yellow"/>
        </w:rPr>
        <w:t>and immune systems</w:t>
      </w:r>
      <w:r>
        <w:rPr>
          <w:rFonts w:ascii="Times new roman" w:hAnsi="Times new roman"/>
          <w:highlight w:val="yellow"/>
        </w:rPr>
        <w:t xml:space="preserve">, </w:t>
      </w:r>
      <w:r>
        <w:rPr>
          <w:rFonts w:ascii="Times new roman" w:hAnsi="Times new roman"/>
          <w:highlight w:val="yellow"/>
        </w:rPr>
        <w:t xml:space="preserve">with </w:t>
      </w:r>
      <w:r>
        <w:rPr>
          <w:rFonts w:ascii="Times new roman" w:hAnsi="Times new roman"/>
          <w:highlight w:val="yellow"/>
        </w:rPr>
        <w:t xml:space="preserve">intracellular </w:t>
      </w:r>
      <w:r>
        <w:rPr>
          <w:rFonts w:ascii="Times new roman" w:hAnsi="Times new roman"/>
          <w:highlight w:val="yellow"/>
        </w:rPr>
        <w:t xml:space="preserve">parasites </w:t>
      </w:r>
      <w:r>
        <w:rPr>
          <w:rFonts w:ascii="Times new roman" w:hAnsi="Times new roman"/>
          <w:highlight w:val="yellow"/>
        </w:rPr>
        <w:t xml:space="preserve">triggering mainly Th1 vs. extracellular </w:t>
      </w:r>
      <w:r>
        <w:rPr>
          <w:rFonts w:ascii="Times new roman" w:hAnsi="Times new roman"/>
          <w:highlight w:val="yellow"/>
        </w:rPr>
        <w:t xml:space="preserve">parasites </w:t>
      </w:r>
      <w:r>
        <w:rPr>
          <w:rFonts w:ascii="Times new roman" w:hAnsi="Times new roman"/>
          <w:highlight w:val="yellow"/>
        </w:rPr>
        <w:t xml:space="preserve">triggering mainly Th2 </w:t>
      </w:r>
      <w:r>
        <w:rPr>
          <w:rFonts w:ascii="Times new roman" w:hAnsi="Times new roman"/>
          <w:highlight w:val="yellow"/>
        </w:rPr>
        <w:t>responses</w:t>
      </w:r>
      <w:r>
        <w:rPr>
          <w:rFonts w:ascii="Times new roman" w:hAnsi="Times new roman"/>
          <w:highlight w:val="yellow"/>
        </w:rPr>
        <w:commentReference w:id="3"/>
      </w:r>
      <w:r>
        <w:rPr>
          <w:rFonts w:ascii="Times new roman" w:hAnsi="Times new roman"/>
          <w:highlight w:val="yellow"/>
        </w:rPr>
        <w:t xml:space="preserve">). </w:t>
      </w:r>
      <w:r>
        <w:rPr>
          <w:rFonts w:ascii="Times new roman" w:hAnsi="Times new roman"/>
        </w:rPr>
        <w:t xml:space="preserve">Yet the pattern of reduced load in hybrid hosts is the same for the two parasites. These findings confirm that reduction in parasite intensity is either an effect intrinsic to the host individuals (e.g. enhanced immune reactions leading to increased resistance), or, if dependent on the parasite and/or parasite-host interplay, can be generalized over very different parasites. </w:t>
      </w:r>
    </w:p>
    <w:p>
      <w:pPr>
        <w:pStyle w:val="Normal"/>
        <w:rPr/>
      </w:pPr>
      <w:r>
        <w:rPr>
          <w:rFonts w:ascii="Times new roman" w:hAnsi="Times new roman"/>
        </w:rPr>
        <w:t xml:space="preserve">Adding more evidence to the original observation of reduced parasite loads for previously investigated parasites, we also found reduced pinworms loads in hybrids of our novel transect of the HMHZ. </w:t>
      </w:r>
      <w:bookmarkStart w:id="15" w:name="docs-internal-guid-5a4dc4d4-7fff-2cd8-2d"/>
      <w:bookmarkEnd w:id="15"/>
      <w:r>
        <w:rPr>
          <w:rFonts w:ascii="Times new roman" w:hAnsi="Times new roman"/>
          <w:b w:val="false"/>
          <w:i w:val="false"/>
          <w:caps w:val="false"/>
          <w:smallCaps w:val="false"/>
          <w:strike w:val="false"/>
          <w:dstrike w:val="false"/>
          <w:color w:val="000000"/>
          <w:sz w:val="24"/>
          <w:szCs w:val="24"/>
          <w:highlight w:val="yellow"/>
          <w:u w:val="none"/>
          <w:effect w:val="none"/>
        </w:rPr>
        <w:t xml:space="preserve">We found differences between the Brandenburg and Czech-Bavarian transects in pinworm infection such as distinct loads between males and females and lower prevalence (52.5%) and abundance (18.7) in the former compared to the latter (no significant difference between sexes; prevalence 70.9%, abundance 39.18; Baird et al., 2012). Differences could be expected, as these two studies involved different number of mice </w:t>
      </w:r>
      <w:r>
        <w:rPr>
          <w:rFonts w:ascii="Times new roman" w:hAnsi="Times new roman"/>
          <w:b w:val="false"/>
          <w:i w:val="false"/>
          <w:caps w:val="false"/>
          <w:smallCaps w:val="false"/>
          <w:strike w:val="false"/>
          <w:dstrike w:val="false"/>
          <w:color w:val="000000"/>
          <w:sz w:val="24"/>
          <w:szCs w:val="24"/>
          <w:highlight w:val="yellow"/>
          <w:u w:val="none"/>
          <w:effect w:val="none"/>
        </w:rPr>
        <w:t xml:space="preserve">(statistical power) </w:t>
      </w:r>
      <w:r>
        <w:rPr>
          <w:rFonts w:ascii="Times new roman" w:hAnsi="Times new roman"/>
          <w:b w:val="false"/>
          <w:i w:val="false"/>
          <w:caps w:val="false"/>
          <w:smallCaps w:val="false"/>
          <w:strike w:val="false"/>
          <w:dstrike w:val="false"/>
          <w:color w:val="000000"/>
          <w:sz w:val="24"/>
          <w:szCs w:val="24"/>
          <w:highlight w:val="yellow"/>
          <w:u w:val="none"/>
          <w:effect w:val="none"/>
        </w:rPr>
        <w:t xml:space="preserve">and took place in distant </w:t>
      </w:r>
      <w:r>
        <w:rPr>
          <w:rFonts w:ascii="Times new roman" w:hAnsi="Times new roman"/>
          <w:b w:val="false"/>
          <w:i w:val="false"/>
          <w:caps w:val="false"/>
          <w:smallCaps w:val="false"/>
          <w:strike w:val="false"/>
          <w:dstrike w:val="false"/>
          <w:color w:val="000000"/>
          <w:sz w:val="24"/>
          <w:szCs w:val="24"/>
          <w:highlight w:val="yellow"/>
          <w:u w:val="none"/>
          <w:effect w:val="none"/>
        </w:rPr>
        <w:t xml:space="preserve">geographical locations </w:t>
      </w:r>
      <w:r>
        <w:rPr>
          <w:rFonts w:ascii="Times new roman" w:hAnsi="Times new roman"/>
          <w:b w:val="false"/>
          <w:i w:val="false"/>
          <w:caps w:val="false"/>
          <w:smallCaps w:val="false"/>
          <w:strike w:val="false"/>
          <w:dstrike w:val="false"/>
          <w:color w:val="000000"/>
          <w:sz w:val="24"/>
          <w:szCs w:val="24"/>
          <w:highlight w:val="yellow"/>
          <w:u w:val="none"/>
          <w:effect w:val="none"/>
        </w:rPr>
        <w:t>of the HMHZ likely to present different ecological conditions. Nevertheless, the direction and strength of the hybridization effect were very similar in the two study areas. This similarity reinforces our confidence that reduced parasite load in hybrids is a general phenomenon, intrinsic to the individual host or host-parasite interplay rather than a by-product of ecology.</w:t>
      </w:r>
    </w:p>
    <w:p>
      <w:pPr>
        <w:pStyle w:val="Normal"/>
        <w:rPr/>
      </w:pPr>
      <w:r>
        <w:rPr>
          <w:rFonts w:ascii="Times new roman" w:hAnsi="Times new roman"/>
        </w:rPr>
        <w:t xml:space="preserve">A novel aspect of our work compared to previous studies of parasitism in the HMHZ is the separate study of parasite prevalence and intensity. This approach should not only reduce problems in statistical inference caused by false negative measurements (so called zero-inflation) but also allows us to address two different questions separately: (i) Is the </w:t>
      </w:r>
      <w:r>
        <w:rPr>
          <w:rFonts w:ascii="Times new roman" w:hAnsi="Times new roman"/>
          <w:i/>
        </w:rPr>
        <w:t>probability</w:t>
      </w:r>
      <w:r>
        <w:rPr>
          <w:rFonts w:ascii="Times new roman" w:hAnsi="Times new roman"/>
        </w:rPr>
        <w:t xml:space="preserve"> of infection different for hybrids and pure subspecies? and (ii): Is there a difference in parasite </w:t>
      </w:r>
      <w:r>
        <w:rPr>
          <w:rFonts w:ascii="Times new roman" w:hAnsi="Times new roman"/>
          <w:i/>
        </w:rPr>
        <w:t>intensity</w:t>
      </w:r>
      <w:r>
        <w:rPr>
          <w:rFonts w:ascii="Times new roman" w:hAnsi="Times new roman"/>
        </w:rPr>
        <w:t xml:space="preserve"> between infected hybrid and infected pure individuals? </w:t>
      </w:r>
    </w:p>
    <w:p>
      <w:pPr>
        <w:pStyle w:val="Normal"/>
        <w:rPr/>
      </w:pPr>
      <w:r>
        <w:rPr>
          <w:rFonts w:ascii="Times new roman" w:hAnsi="Times new roman"/>
        </w:rPr>
        <w:t xml:space="preserve">An illustrative example of an ecological factor that could potentially lead to </w:t>
      </w:r>
      <w:r>
        <w:rPr>
          <w:rFonts w:cs="" w:ascii="Times new roman" w:hAnsi="Times new roman" w:cstheme="minorBidi"/>
          <w:highlight w:val="yellow"/>
        </w:rPr>
        <w:t xml:space="preserve">parasite load </w:t>
      </w:r>
      <w:r>
        <w:rPr>
          <w:rFonts w:ascii="Times new roman" w:hAnsi="Times new roman"/>
        </w:rPr>
        <w:t>differences is the density of hosts. Densities of mouse populations in the HMHZ centre may be lower than outside (either due to selection against hybrids or because the HMHZ as a tension zone tends to be trapped in “density troughs” sensu Hewitt 1975). Host density is expected to be positively correlated with pathogen transmission (Anderson &amp; May, 1979) and as a result prevalence may be higher in more dense populations (Morand &amp; Guégan, 2000</w:t>
      </w:r>
      <w:r>
        <w:rPr>
          <w:rFonts w:cs="" w:ascii="Times new roman" w:hAnsi="Times new roman" w:cstheme="minorBidi"/>
          <w:highlight w:val="yellow"/>
        </w:rPr>
        <w:t xml:space="preserve">; </w:t>
      </w:r>
      <w:r>
        <w:rPr>
          <w:rFonts w:cs="" w:ascii="Times new roman" w:hAnsi="Times new roman" w:cstheme="minorBidi"/>
          <w:strike w:val="false"/>
          <w:dstrike w:val="false"/>
          <w:highlight w:val="yellow"/>
        </w:rPr>
        <w:t>Hakkarainen et al., 2007</w:t>
      </w:r>
      <w:r>
        <w:rPr>
          <w:rFonts w:ascii="Times new roman" w:hAnsi="Times new roman"/>
        </w:rPr>
        <w:t xml:space="preserve">). This is, however, not a general law as host density and </w:t>
      </w:r>
      <w:r>
        <w:rPr>
          <w:rFonts w:ascii="Times new roman" w:hAnsi="Times new roman"/>
          <w:i/>
        </w:rPr>
        <w:t>Eimeria</w:t>
      </w:r>
      <w:r>
        <w:rPr>
          <w:rFonts w:ascii="Times new roman" w:hAnsi="Times new roman"/>
        </w:rPr>
        <w:t xml:space="preserve"> spp. prevalence are, for example, negatively correlated in bank voles (Winternitz, Yabsley, &amp; Altizer, 2012). Independent of the direction of the effect, correlation between abundance and prevalence could be confounded with intrinsic effects of hybrid hosts.</w:t>
      </w:r>
    </w:p>
    <w:p>
      <w:pPr>
        <w:pStyle w:val="Normal"/>
        <w:rPr/>
      </w:pPr>
      <w:r>
        <w:rPr>
          <w:rFonts w:ascii="Times new roman" w:hAnsi="Times new roman"/>
        </w:rPr>
        <w:t xml:space="preserve">Our analysis of prevalence (presence/absence in a logistic regression), did not however show any significant decrease of this probability of infection towards the centre of the zone, for neither </w:t>
      </w:r>
      <w:r>
        <w:rPr>
          <w:rFonts w:ascii="Times new roman" w:hAnsi="Times new roman"/>
          <w:i/>
        </w:rPr>
        <w:t>Eimeria</w:t>
      </w:r>
      <w:r>
        <w:rPr>
          <w:rFonts w:ascii="Times new roman" w:hAnsi="Times new roman"/>
        </w:rPr>
        <w:t xml:space="preserve"> spp. nor pinworms. We argue here that, in conjunction with higher intensities, this distinguishes intrinsic hybrid effects from potential ecological confounders. </w:t>
      </w:r>
    </w:p>
    <w:p>
      <w:pPr>
        <w:pStyle w:val="Normal"/>
        <w:rPr/>
      </w:pPr>
      <w:r>
        <w:rPr>
          <w:rFonts w:ascii="Times new roman" w:hAnsi="Times new roman"/>
        </w:rPr>
        <w:t xml:space="preserve">Animals tolerant of low-pathogenic parasites might not suffer fitness reduction during high parasitemia. This could be the case, for example, if the parasite is beneficial for the host’s interaction with other parasites (Heitlinger, Ferreira, Thierer, Hofer, &amp; East, 2017) or if immune responses against the parasite are costly relative to the harm it causes (Råberg, Sim, &amp; Read, 2007). In addition, according to the “Old Friend” (or “Hygiene”) hypothesis, the constant presence of helminths in natural populations has led to the evolution of a background basal release of regulatory cytokines (Rook, 2009) which might in turn impact the outcome of more pathogenic infections. Even for relatively pathogenic parasites, such as </w:t>
      </w:r>
      <w:r>
        <w:rPr>
          <w:rFonts w:ascii="Times new roman" w:hAnsi="Times new roman"/>
          <w:i/>
        </w:rPr>
        <w:t xml:space="preserve">Eimeria, </w:t>
      </w:r>
      <w:r>
        <w:rPr>
          <w:rFonts w:ascii="Times new roman" w:hAnsi="Times new roman"/>
        </w:rPr>
        <w:t xml:space="preserve">differences in resistance could be uncoupled from health effects by differences in tolerance (Råberg et al., 2007). For these reasons parasite load in itself should not be blindly considered as a proxy for host health and certainly not for host fitness comparisons across hybrid zones (Baird &amp; Goüy de Bellocq, 2019). We here used body condition as a proxy for the health component of host fitness. We, however, did not find evidence for differences in body condition between hybrids and pure mice upon infection. We conclude that we do not have evidence that lower parasitemia in hybrids increases their health. </w:t>
      </w:r>
    </w:p>
    <w:p>
      <w:pPr>
        <w:pStyle w:val="Normal"/>
        <w:rPr/>
      </w:pPr>
      <w:r>
        <w:rPr>
          <w:rFonts w:ascii="Times new roman" w:hAnsi="Times new roman"/>
        </w:rPr>
        <w:t xml:space="preserve">Intensity of a particular parasite infection is not necessarily correlated with reduced health and a fitness decrease. For example, the fitness of sterile hybrids (always zero) is invariant to infection intensity. Moreover a hybrid host could be robust due to heterosis (though it may still be sterile). Even if we had found increased health of hybrids, this would not be interpretable as leading to a higher total hybrid fitness, as the parasite mediated health fitness component is only one (likely minor) component of overall fitness. It has been shown for example that male mice in the HMHZ centre have reduced fertility compared to parental individuals (Albrechtová et al., 2012; Turner et al., 2012). If reduced parasite intensity is host driven (and not a result of host-parasite interactions) one could conclude that some physiological systems (e.g. reproductive) may be more dependent on “co-adapted complexes”, while others – such as the immune system – benefit from diversity. This latter would be hybrid vigour in the narrow sense (Baird et al., 2012), but would still not necessarily lead to any effects on host species barriers (Baird &amp; Goüy de Bellocq, 2019). </w:t>
      </w:r>
    </w:p>
    <w:p>
      <w:pPr>
        <w:pStyle w:val="Normal"/>
        <w:rPr/>
      </w:pPr>
      <w:r>
        <w:rPr>
          <w:rFonts w:ascii="Times new roman" w:hAnsi="Times new roman"/>
        </w:rPr>
        <w:t xml:space="preserve">We can in future ask whether host (immunity and resistance) parasite (infectivity and virulence) or their interactions are underlying reduced parasite intensity in hybrid house mice. </w:t>
      </w:r>
      <w:r>
        <w:rPr>
          <w:rFonts w:ascii="Times new roman" w:hAnsi="Times new roman"/>
          <w:i/>
        </w:rPr>
        <w:t>Eimeria</w:t>
      </w:r>
      <w:r>
        <w:rPr>
          <w:rFonts w:ascii="Times new roman" w:hAnsi="Times new roman"/>
        </w:rPr>
        <w:t xml:space="preserve"> spp. are suitable pathogens to perform experiment</w:t>
      </w:r>
      <w:r>
        <w:rPr>
          <w:rFonts w:ascii="Times new roman" w:hAnsi="Times new roman"/>
        </w:rPr>
        <w:t>al</w:t>
      </w:r>
      <w:r>
        <w:rPr>
          <w:rFonts w:ascii="Times new roman" w:hAnsi="Times new roman"/>
        </w:rPr>
        <w:t xml:space="preserve"> and field studies in this endeavour.  </w:t>
      </w:r>
      <w:r>
        <w:rPr>
          <w:rFonts w:ascii="Times new roman" w:hAnsi="Times new roman" w:cstheme="minorBidi"/>
          <w:highlight w:val="yellow"/>
        </w:rPr>
        <w:t xml:space="preserve">An experimental setup </w:t>
      </w:r>
      <w:r>
        <w:rPr>
          <w:rFonts w:eastAsia="Times New Roman" w:cs="Times New Roman" w:ascii="Times New Roman" w:hAnsi="Times New Roman"/>
          <w:highlight w:val="yellow"/>
        </w:rPr>
        <w:t xml:space="preserve">investigating resistance </w:t>
      </w:r>
      <w:r>
        <w:rPr>
          <w:rFonts w:eastAsia="Times New Roman" w:cs="Times New Roman" w:ascii="Times New Roman" w:hAnsi="Times New Roman"/>
          <w:highlight w:val="yellow"/>
        </w:rPr>
        <w:t xml:space="preserve">(inverse of parasite intensity) </w:t>
      </w:r>
      <w:r>
        <w:rPr>
          <w:rFonts w:eastAsia="Times New Roman" w:cs="Times New Roman" w:ascii="Times New Roman" w:hAnsi="Times New Roman"/>
          <w:highlight w:val="yellow"/>
        </w:rPr>
        <w:t xml:space="preserve">and tolerance </w:t>
      </w:r>
      <w:r>
        <w:rPr>
          <w:rFonts w:eastAsia="Times New Roman" w:cs="Times New Roman" w:ascii="Times New Roman" w:hAnsi="Times New Roman"/>
          <w:highlight w:val="yellow"/>
        </w:rPr>
        <w:t xml:space="preserve">(impact on host health measured by weight loss) </w:t>
      </w:r>
      <w:r>
        <w:rPr>
          <w:rFonts w:eastAsia="Times New Roman" w:cs="Times New Roman" w:ascii="Times New Roman" w:hAnsi="Times New Roman"/>
          <w:highlight w:val="yellow"/>
        </w:rPr>
        <w:t xml:space="preserve">during an infection in mice </w:t>
      </w:r>
      <w:r>
        <w:rPr>
          <w:rFonts w:eastAsia="Times New Roman" w:cs="Times New Roman" w:ascii="Times New Roman" w:hAnsi="Times New Roman"/>
          <w:highlight w:val="yellow"/>
        </w:rPr>
        <w:t xml:space="preserve">of pure subspecies and crosses between them </w:t>
      </w:r>
      <w:r>
        <w:rPr>
          <w:rFonts w:eastAsia="Times New Roman" w:cs="Times New Roman" w:ascii="Times New Roman" w:hAnsi="Times New Roman"/>
          <w:highlight w:val="yellow"/>
        </w:rPr>
        <w:t>could address this question in more detail.</w:t>
      </w:r>
    </w:p>
    <w:p>
      <w:pPr>
        <w:pStyle w:val="Normal"/>
        <w:rPr/>
      </w:pPr>
      <w:r>
        <w:rPr>
          <w:rFonts w:ascii="Times new roman" w:hAnsi="Times new roman"/>
        </w:rPr>
        <w:t xml:space="preserve">A prime candidate locus for mediating a positive effect of hybridization on the immune system (hybrid vigour) is the major histocompatibility complex (MHC). In mice two genes of the MHC showed different levels of polymorphism as well as population structure with many alleles inferred to be shared between the subspecies by maintenance of ancestral polymorphism (Čížková, Goüy de Bellocq, Baird, Piálek, &amp; Bryja, 2011). Additionally, the small demes of house mice can function as reservoirs of MHC alleles, contributing to the diversity of this system across demes and populations (Linnenbrink, Teschke, Montero, Vallier, &amp; Tautz, 2018). The genetic structure of the MHC and especially polymorphism shared across subspecies should make these loci good candidates to investigate for mechanisms behind hybrid vigour, among a number of other loci including Toll-like receptors (Skevaki, Pararas, Kostelidou, Tsakris, &amp; Routsias, 2015). Previous work on toll-like receptor 4 already suggests different evolutionary patterns between the house mouse subspecies (Fornuskova, Bryja, Vinkler, Macholán, &amp; Piálek, 2014). For host parasite interactions major candidate loci are immunity related GTPases on the host side and rhoptry kinases in coccidia (Lilue, Müller, Steinfeldt, &amp; Howard, 2013). </w:t>
      </w:r>
    </w:p>
    <w:p>
      <w:pPr>
        <w:pStyle w:val="Normal"/>
        <w:rPr/>
      </w:pPr>
      <w:r>
        <w:rPr>
          <w:rFonts w:ascii="Times new roman" w:hAnsi="Times new roman"/>
        </w:rPr>
        <w:t>Hybridization has played a significant role during and after the divergence of house mouse subspecies as well as during the formation of “classical inbred strains” (Yang et al., 2011). Improving our understanding of parasite process across the HMHZ provides valuable information on the house mouse as the model species with the most thoroughly understood immune system. A transfer of knowledge from this model might further understanding of the interplay between parasites and hybridizing species, our own as well as species relevant for conservation.</w:t>
      </w:r>
      <w:r>
        <w:br w:type="page"/>
      </w:r>
    </w:p>
    <w:p>
      <w:pPr>
        <w:pStyle w:val="Normal"/>
        <w:rPr/>
      </w:pPr>
      <w:bookmarkStart w:id="16" w:name="references"/>
      <w:bookmarkEnd w:id="16"/>
      <w:r>
        <w:rPr>
          <w:rFonts w:ascii="Times new roman" w:hAnsi="Times new roman"/>
          <w:b/>
          <w:bCs/>
        </w:rPr>
        <w:t>References</w:t>
      </w:r>
    </w:p>
    <w:p>
      <w:pPr>
        <w:pStyle w:val="Normal"/>
        <w:rPr/>
      </w:pPr>
      <w:r>
        <w:rPr>
          <w:rFonts w:ascii="Times new roman" w:hAnsi="Times new roman"/>
        </w:rPr>
        <w:t xml:space="preserve">Abu-Madi, M. A., Behnke, J. M., Lewis, J. W., &amp; Gilbert, F. S. (2000). Seasonal and site specific variation in the component community structure of intestinal helminths in </w:t>
      </w:r>
      <w:r>
        <w:rPr>
          <w:rFonts w:ascii="Times new roman" w:hAnsi="Times new roman"/>
          <w:i/>
        </w:rPr>
        <w:t>Apodemus sylvaticus</w:t>
      </w:r>
      <w:r>
        <w:rPr>
          <w:rFonts w:ascii="Times new roman" w:hAnsi="Times new roman"/>
        </w:rPr>
        <w:t xml:space="preserve"> from three contrasting habitats in south-east England. Journal of Helminthology, 74, 7–15.</w:t>
        <w:tab/>
        <w:t xml:space="preserve"> https://doi.org/10.1017/S0022149X00000020</w:t>
      </w:r>
    </w:p>
    <w:p>
      <w:pPr>
        <w:pStyle w:val="Normal"/>
        <w:rPr/>
      </w:pPr>
      <w:r>
        <w:rPr>
          <w:rFonts w:ascii="Times new roman" w:hAnsi="Times new roman"/>
        </w:rPr>
        <w:t>Ahmed, N., Heitlinger, E., Affinass, N., Kühl, A. A., Xenophontos, N., Jarquin, V. H., … Hartmann, S. (2019). A novel non-invasive method to detect RELM beta transcript in gut barrier related changes during a gastrointestinal nematode infection. Frontiers in Immunology, 10, 1–11.</w:t>
        <w:tab/>
        <w:t xml:space="preserve"> https://doi.org/10.3389/fimmu.2019.00445</w:t>
      </w:r>
    </w:p>
    <w:p>
      <w:pPr>
        <w:pStyle w:val="Normal"/>
        <w:rPr/>
      </w:pPr>
      <w:r>
        <w:rPr>
          <w:rFonts w:ascii="Times new roman" w:hAnsi="Times new roman"/>
        </w:rPr>
        <w:t>Albrechtová, J., Albrecht, T., Baird, S. J. E., Macholán, M., Rudolfsen, G., Munclinger, P., … Piálek, J. (2012). Sperm-related phenotypes implicated in both maintenance and breakdown of a natural species barrier in the house mouse. Proceedings of the Royal Society B: Biological Sciences, 279, 4803–4810. https://doi.org/10.1098/rspb.2012.1802</w:t>
      </w:r>
    </w:p>
    <w:p>
      <w:pPr>
        <w:pStyle w:val="Normal"/>
        <w:rPr/>
      </w:pPr>
      <w:r>
        <w:rPr>
          <w:rFonts w:ascii="Times new roman" w:hAnsi="Times new roman"/>
        </w:rPr>
        <w:t xml:space="preserve">Al-khlifeh, E., Balard, A., Jarquín-Díaz, V. H., Weyrich, A., Wibbelt, G., &amp; Heitlinger, E. (2019). </w:t>
      </w:r>
      <w:r>
        <w:rPr>
          <w:rFonts w:ascii="Times new roman" w:hAnsi="Times new roman"/>
          <w:i/>
        </w:rPr>
        <w:t>Eimeria falciformis</w:t>
      </w:r>
      <w:r>
        <w:rPr>
          <w:rFonts w:ascii="Times new roman" w:hAnsi="Times new roman"/>
        </w:rPr>
        <w:t xml:space="preserve"> BayerHaberkorn1970 and novel wild derived isolates from house mice: differences in parasite lifecycle, pathogenicity and host immune reactions. BioRxiv, 1–33. https://doi.org/10.1101/611277</w:t>
      </w:r>
    </w:p>
    <w:p>
      <w:pPr>
        <w:pStyle w:val="Normal"/>
        <w:rPr/>
      </w:pPr>
      <w:r>
        <w:rPr>
          <w:rFonts w:ascii="Times new roman" w:hAnsi="Times new roman"/>
        </w:rPr>
        <w:t>Anderson, R. M., &amp; May, R. M. (1979). Population biology of infectious diseases: Part I. Nature, 280, 361–367. https://doi.org/10.1038/280361a0</w:t>
      </w:r>
    </w:p>
    <w:p>
      <w:pPr>
        <w:pStyle w:val="Normal"/>
        <w:rPr/>
      </w:pPr>
      <w:r>
        <w:rPr>
          <w:rFonts w:ascii="Times new roman" w:hAnsi="Times new roman"/>
        </w:rPr>
        <w:t>Baird, S. J. E., &amp; Goüy de Bellocq, J. (2019). Shifting paradigms for studying parasitism in hybridising hosts: Response to Theodosopoulos, Hund, and Taylor. Trends in Ecology &amp; Evolution, 34, 387–389.</w:t>
        <w:tab/>
        <w:t xml:space="preserve"> https://doi.org/10.1016/j.tree.2019.01.011</w:t>
      </w:r>
    </w:p>
    <w:p>
      <w:pPr>
        <w:pStyle w:val="Normal"/>
        <w:rPr/>
      </w:pPr>
      <w:r>
        <w:rPr>
          <w:rFonts w:ascii="Times new roman" w:hAnsi="Times new roman"/>
        </w:rPr>
        <w:t xml:space="preserve">Baird, S. J. E., &amp; Macholán, M. (2012). What can the </w:t>
      </w:r>
      <w:r>
        <w:rPr>
          <w:rFonts w:ascii="Times new roman" w:hAnsi="Times new roman"/>
          <w:i/>
        </w:rPr>
        <w:t>Mus musculus musculus</w:t>
      </w:r>
      <w:r>
        <w:rPr>
          <w:rFonts w:ascii="Times new roman" w:hAnsi="Times new roman"/>
        </w:rPr>
        <w:t>/</w:t>
      </w:r>
      <w:r>
        <w:rPr>
          <w:rFonts w:ascii="Times new roman" w:hAnsi="Times new roman"/>
          <w:i/>
        </w:rPr>
        <w:t>M. m. domesticus</w:t>
      </w:r>
      <w:r>
        <w:rPr>
          <w:rFonts w:ascii="Times new roman" w:hAnsi="Times new roman"/>
        </w:rPr>
        <w:t xml:space="preserve"> hybrid zone tell us about speciation? In M. Macholán, S. J. E. Baird, P. Munclinger, &amp; J. Piálek (Eds.), Evolution of the House Mouse (pp. 334–372). Cambridge: Cambridge University Press.</w:t>
      </w:r>
    </w:p>
    <w:p>
      <w:pPr>
        <w:pStyle w:val="Normal"/>
        <w:rPr/>
      </w:pPr>
      <w:r>
        <w:rPr>
          <w:rFonts w:ascii="Times new roman" w:hAnsi="Times new roman"/>
        </w:rPr>
        <w:t>Baird, S. J. E., Ribas, A., Macholán, M., Albrecht, T., Piálek, J., &amp; Goüy de Bellocq, J. (2012). Where are the wormy mice? A reexamination of hybrid parasitism in the European house mouse hybrid zone. Evolution, 66, 2757–2772. https://doi.org/10.1111/j.1558-5646.2012.01633.x</w:t>
      </w:r>
    </w:p>
    <w:p>
      <w:pPr>
        <w:pStyle w:val="Normal"/>
        <w:rPr/>
      </w:pPr>
      <w:r>
        <w:rPr>
          <w:rFonts w:ascii="Times new roman" w:hAnsi="Times new roman"/>
        </w:rPr>
        <w:t>Baker, D. G. (1998). Natural pathogens of laboratory mice, rats, and rabbits and their effects on research. Clinical Microbiology Reviews, 11, 231–266.</w:t>
      </w:r>
    </w:p>
    <w:p>
      <w:pPr>
        <w:pStyle w:val="Normal"/>
        <w:rPr/>
      </w:pPr>
      <w:r>
        <w:rPr>
          <w:rFonts w:ascii="Times new roman" w:hAnsi="Times new roman"/>
        </w:rPr>
        <w:t>Balard, A., &amp; Heitlinger, E. (2019). alicebalard/parasiteLoad: working version with negbin, normal and weibull (+ shift) distributions (Version v2.0). Zenodo.</w:t>
        <w:tab/>
        <w:t xml:space="preserve"> http://doi.org/10.5281/zenodo.2554966</w:t>
      </w:r>
    </w:p>
    <w:p>
      <w:pPr>
        <w:pStyle w:val="Normal"/>
        <w:rPr/>
      </w:pPr>
      <w:r>
        <w:rPr>
          <w:rFonts w:ascii="Times new roman" w:hAnsi="Times new roman"/>
        </w:rPr>
        <w:t>Barton, N. H., &amp; Hewitt, G. M. (1985). Analysis of hybrid zones. Annual Review of Ecology and Systematics, 16, 113–148.</w:t>
        <w:tab/>
        <w:t xml:space="preserve"> https://doi.org/10.1146/annurev.es.16.110185.000553</w:t>
      </w:r>
    </w:p>
    <w:p>
      <w:pPr>
        <w:pStyle w:val="Normal"/>
        <w:rPr/>
      </w:pPr>
      <w:r>
        <w:rPr>
          <w:rFonts w:eastAsia="Cambria" w:cs="" w:ascii="times new roman" w:hAnsi="times new roman" w:cstheme="minorBidi" w:eastAsiaTheme="minorHAnsi"/>
          <w:b w:val="false"/>
          <w:i w:val="false"/>
          <w:iCs w:val="false"/>
          <w:caps w:val="false"/>
          <w:smallCaps w:val="false"/>
          <w:strike w:val="false"/>
          <w:dstrike w:val="false"/>
          <w:color w:val="181817"/>
          <w:spacing w:val="0"/>
          <w:sz w:val="24"/>
          <w:szCs w:val="24"/>
          <w:highlight w:val="yellow"/>
          <w:u w:val="none"/>
          <w:effect w:val="none"/>
        </w:rPr>
        <w:t xml:space="preserve">Behnke, J. M. (1975). Aspiculuris tetraptera in wild </w:t>
      </w:r>
      <w:r>
        <w:rPr>
          <w:rFonts w:eastAsia="Cambria" w:cs="" w:ascii="times new roman" w:hAnsi="times new roman" w:cstheme="minorBidi" w:eastAsiaTheme="minorHAnsi"/>
          <w:b w:val="false"/>
          <w:i/>
          <w:iCs/>
          <w:caps w:val="false"/>
          <w:smallCaps w:val="false"/>
          <w:strike w:val="false"/>
          <w:dstrike w:val="false"/>
          <w:color w:val="181817"/>
          <w:spacing w:val="0"/>
          <w:sz w:val="24"/>
          <w:szCs w:val="24"/>
          <w:highlight w:val="yellow"/>
          <w:u w:val="none"/>
          <w:effect w:val="none"/>
        </w:rPr>
        <w:t>Mus musculus</w:t>
      </w:r>
      <w:r>
        <w:rPr>
          <w:rFonts w:eastAsia="Cambria" w:cs="" w:ascii="times new roman" w:hAnsi="times new roman" w:cstheme="minorBidi" w:eastAsiaTheme="minorHAnsi"/>
          <w:b w:val="false"/>
          <w:i w:val="false"/>
          <w:iCs w:val="false"/>
          <w:caps w:val="false"/>
          <w:smallCaps w:val="false"/>
          <w:strike w:val="false"/>
          <w:dstrike w:val="false"/>
          <w:color w:val="181817"/>
          <w:spacing w:val="0"/>
          <w:sz w:val="24"/>
          <w:szCs w:val="24"/>
          <w:highlight w:val="yellow"/>
          <w:u w:val="none"/>
          <w:effect w:val="none"/>
        </w:rPr>
        <w:t xml:space="preserve">. The prevalence of infection in male and female mice. </w:t>
      </w:r>
      <w:r>
        <w:rPr>
          <w:rFonts w:eastAsia="Cambria" w:cs="" w:ascii="times new roman" w:hAnsi="times new roman" w:cstheme="minorBidi" w:eastAsiaTheme="minorHAnsi"/>
          <w:b w:val="false"/>
          <w:i/>
          <w:iCs w:val="false"/>
          <w:caps w:val="false"/>
          <w:smallCaps w:val="false"/>
          <w:strike w:val="false"/>
          <w:dstrike w:val="false"/>
          <w:color w:val="181817"/>
          <w:spacing w:val="0"/>
          <w:sz w:val="24"/>
          <w:szCs w:val="24"/>
          <w:highlight w:val="yellow"/>
          <w:u w:val="none"/>
          <w:effect w:val="none"/>
        </w:rPr>
        <w:t>Journal of Helminthology,</w:t>
      </w:r>
      <w:r>
        <w:rPr>
          <w:rFonts w:eastAsia="Cambria" w:cs="" w:ascii="times new roman" w:hAnsi="times new roman" w:cstheme="minorBidi" w:eastAsiaTheme="minorHAnsi"/>
          <w:b w:val="false"/>
          <w:i w:val="false"/>
          <w:iCs w:val="false"/>
          <w:caps w:val="false"/>
          <w:smallCaps w:val="false"/>
          <w:strike w:val="false"/>
          <w:dstrike w:val="false"/>
          <w:color w:val="181817"/>
          <w:spacing w:val="0"/>
          <w:sz w:val="24"/>
          <w:szCs w:val="24"/>
          <w:highlight w:val="yellow"/>
          <w:u w:val="none"/>
          <w:effect w:val="none"/>
        </w:rPr>
        <w:t xml:space="preserve"> </w:t>
      </w:r>
      <w:r>
        <w:rPr>
          <w:rFonts w:eastAsia="Cambria" w:cs="" w:ascii="times new roman" w:hAnsi="times new roman" w:cstheme="minorBidi" w:eastAsiaTheme="minorHAnsi"/>
          <w:b w:val="false"/>
          <w:i/>
          <w:iCs w:val="false"/>
          <w:caps w:val="false"/>
          <w:smallCaps w:val="false"/>
          <w:strike w:val="false"/>
          <w:dstrike w:val="false"/>
          <w:color w:val="181817"/>
          <w:spacing w:val="0"/>
          <w:sz w:val="24"/>
          <w:szCs w:val="24"/>
          <w:highlight w:val="yellow"/>
          <w:u w:val="none"/>
          <w:effect w:val="none"/>
        </w:rPr>
        <w:t>49</w:t>
      </w:r>
      <w:r>
        <w:rPr>
          <w:rFonts w:eastAsia="Cambria" w:cs="" w:ascii="times new roman" w:hAnsi="times new roman" w:cstheme="minorBidi" w:eastAsiaTheme="minorHAnsi"/>
          <w:b w:val="false"/>
          <w:i w:val="false"/>
          <w:iCs w:val="false"/>
          <w:caps w:val="false"/>
          <w:smallCaps w:val="false"/>
          <w:strike w:val="false"/>
          <w:dstrike w:val="false"/>
          <w:color w:val="181817"/>
          <w:spacing w:val="0"/>
          <w:sz w:val="24"/>
          <w:szCs w:val="24"/>
          <w:highlight w:val="yellow"/>
          <w:u w:val="none"/>
          <w:effect w:val="none"/>
        </w:rPr>
        <w:t>(2), 85-90.</w:t>
        <w:tab/>
        <w:t xml:space="preserve"> doi:10.1017/S0022149X0002318X</w:t>
      </w:r>
    </w:p>
    <w:p>
      <w:pPr>
        <w:pStyle w:val="Normal"/>
        <w:widowControl/>
        <w:spacing w:before="0" w:after="202"/>
        <w:ind w:left="0" w:right="0" w:hanging="0"/>
        <w:rPr/>
      </w:pPr>
      <w:r>
        <w:rPr>
          <w:rFonts w:eastAsia="Cambria" w:cs="" w:ascii="times new roman" w:hAnsi="times new roman" w:cstheme="minorBidi" w:eastAsiaTheme="minorHAnsi"/>
          <w:b w:val="false"/>
          <w:i w:val="false"/>
          <w:iCs w:val="false"/>
          <w:caps w:val="false"/>
          <w:smallCaps w:val="false"/>
          <w:strike w:val="false"/>
          <w:dstrike w:val="false"/>
          <w:color w:val="181817"/>
          <w:spacing w:val="0"/>
          <w:sz w:val="24"/>
          <w:szCs w:val="24"/>
          <w:highlight w:val="yellow"/>
          <w:u w:val="none"/>
          <w:effect w:val="none"/>
        </w:rPr>
        <w:t>Behnke, J. M.</w:t>
      </w:r>
      <w:r>
        <w:rPr>
          <w:rFonts w:eastAsia="Cambria" w:cs="" w:ascii="times new roman" w:hAnsi="times new roman" w:cstheme="minorBidi" w:eastAsiaTheme="minorHAnsi"/>
          <w:b w:val="false"/>
          <w:i w:val="false"/>
          <w:caps w:val="false"/>
          <w:smallCaps w:val="false"/>
          <w:color w:val="181817"/>
          <w:spacing w:val="0"/>
          <w:sz w:val="24"/>
          <w:highlight w:val="yellow"/>
        </w:rPr>
        <w:t xml:space="preserve"> (1976). Aspiculuris tetraptera in wild </w:t>
      </w:r>
      <w:r>
        <w:rPr>
          <w:rFonts w:eastAsia="Cambria" w:cs="" w:ascii="times new roman" w:hAnsi="times new roman" w:cstheme="minorBidi" w:eastAsiaTheme="minorHAnsi"/>
          <w:b w:val="false"/>
          <w:i/>
          <w:iCs/>
          <w:caps w:val="false"/>
          <w:smallCaps w:val="false"/>
          <w:color w:val="181817"/>
          <w:spacing w:val="0"/>
          <w:sz w:val="24"/>
          <w:highlight w:val="yellow"/>
        </w:rPr>
        <w:t>Mus musculus</w:t>
      </w:r>
      <w:r>
        <w:rPr>
          <w:rFonts w:eastAsia="Cambria" w:cs="" w:ascii="times new roman" w:hAnsi="times new roman" w:cstheme="minorBidi" w:eastAsiaTheme="minorHAnsi"/>
          <w:b w:val="false"/>
          <w:i w:val="false"/>
          <w:caps w:val="false"/>
          <w:smallCaps w:val="false"/>
          <w:color w:val="181817"/>
          <w:spacing w:val="0"/>
          <w:sz w:val="24"/>
          <w:highlight w:val="yellow"/>
        </w:rPr>
        <w:t xml:space="preserve">. Age resistance and acquired immunity. </w:t>
      </w:r>
      <w:r>
        <w:rPr>
          <w:rFonts w:eastAsia="Cambria" w:cs="" w:ascii="times new roman" w:hAnsi="times new roman" w:cstheme="minorBidi" w:eastAsiaTheme="minorHAnsi"/>
          <w:b w:val="false"/>
          <w:i w:val="false"/>
          <w:iCs w:val="false"/>
          <w:color w:val="181817"/>
          <w:spacing w:val="0"/>
          <w:sz w:val="24"/>
          <w:highlight w:val="yellow"/>
        </w:rPr>
        <w:t>Journal of Helminthology,</w:t>
      </w:r>
      <w:r>
        <w:rPr>
          <w:rFonts w:eastAsia="Cambria" w:cs="" w:ascii="times new roman" w:hAnsi="times new roman" w:cstheme="minorBidi" w:eastAsiaTheme="minorHAnsi"/>
          <w:b w:val="false"/>
          <w:i w:val="false"/>
          <w:iCs w:val="false"/>
          <w:caps w:val="false"/>
          <w:smallCaps w:val="false"/>
          <w:color w:val="181817"/>
          <w:spacing w:val="0"/>
          <w:sz w:val="24"/>
          <w:highlight w:val="yellow"/>
        </w:rPr>
        <w:t xml:space="preserve"> </w:t>
      </w:r>
      <w:r>
        <w:rPr>
          <w:rFonts w:eastAsia="Cambria" w:cs="" w:ascii="times new roman" w:hAnsi="times new roman" w:cstheme="minorBidi" w:eastAsiaTheme="minorHAnsi"/>
          <w:b w:val="false"/>
          <w:i w:val="false"/>
          <w:iCs w:val="false"/>
          <w:color w:val="181817"/>
          <w:spacing w:val="0"/>
          <w:sz w:val="24"/>
          <w:highlight w:val="yellow"/>
        </w:rPr>
        <w:t>50</w:t>
      </w:r>
      <w:r>
        <w:rPr>
          <w:rFonts w:eastAsia="Cambria" w:cs="" w:ascii="times new roman" w:hAnsi="times new roman" w:cstheme="minorBidi" w:eastAsiaTheme="minorHAnsi"/>
          <w:b w:val="false"/>
          <w:i w:val="false"/>
          <w:iCs w:val="false"/>
          <w:caps w:val="false"/>
          <w:smallCaps w:val="false"/>
          <w:color w:val="181817"/>
          <w:spacing w:val="0"/>
          <w:sz w:val="24"/>
          <w:highlight w:val="yellow"/>
        </w:rPr>
        <w:t>(3</w:t>
      </w:r>
      <w:r>
        <w:rPr>
          <w:rFonts w:eastAsia="Cambria" w:cs="" w:ascii="times new roman" w:hAnsi="times new roman" w:cstheme="minorBidi" w:eastAsiaTheme="minorHAnsi"/>
          <w:b w:val="false"/>
          <w:i w:val="false"/>
          <w:caps w:val="false"/>
          <w:smallCaps w:val="false"/>
          <w:color w:val="181817"/>
          <w:spacing w:val="0"/>
          <w:sz w:val="24"/>
          <w:highlight w:val="yellow"/>
        </w:rPr>
        <w:t>), 197-202. doi:10.1017/S0022149X00027759</w:t>
      </w:r>
    </w:p>
    <w:p>
      <w:pPr>
        <w:pStyle w:val="Normal"/>
        <w:rPr/>
      </w:pPr>
      <w:r>
        <w:rPr>
          <w:rFonts w:ascii="Times new roman" w:hAnsi="Times new roman"/>
        </w:rPr>
        <w:t>Bliss, C. I., &amp; Fisher, R. A. (1953). Fitting the negative binomial distribution to biological data. Biometrics, 9, 176–200. https://doi.org/10.2307/3001850</w:t>
      </w:r>
    </w:p>
    <w:p>
      <w:pPr>
        <w:pStyle w:val="Normal"/>
        <w:rPr/>
      </w:pPr>
      <w:r>
        <w:rPr>
          <w:rFonts w:ascii="Times new roman" w:hAnsi="Times new roman"/>
        </w:rPr>
        <w:t>Boissinot, S., &amp; Boursot, P. (1997). Discordant phylogeographic patterns between the Y chromosome and mitochondrial DNA in the house mouse: Selection on the Y chromosome? Genetics, 146, 1019–1034.</w:t>
      </w:r>
    </w:p>
    <w:p>
      <w:pPr>
        <w:pStyle w:val="Normal"/>
        <w:rPr/>
      </w:pPr>
      <w:r>
        <w:rPr>
          <w:rFonts w:ascii="Times new roman" w:hAnsi="Times new roman"/>
        </w:rPr>
        <w:t>Bolker, B. (2017). Bbmle: Tools for general maximum likelihood estimation. Retrieved from https://CRAN.R-project.org/package=bbmle</w:t>
      </w:r>
    </w:p>
    <w:p>
      <w:pPr>
        <w:pStyle w:val="Normal"/>
        <w:rPr/>
      </w:pPr>
      <w:r>
        <w:rPr>
          <w:rFonts w:ascii="Times new roman" w:hAnsi="Times new roman"/>
        </w:rPr>
        <w:t>Boursot, P., Auffray, J.-C., Britton-Davidian, J., &amp; Bonhomme, F. (1993). The evolution of house mice. Annual Review of Ecology and Systematics, 24, 119–152. https://doi.org/10.1146/annurev.es.24.110193.001003</w:t>
      </w:r>
    </w:p>
    <w:p>
      <w:pPr>
        <w:pStyle w:val="Normal"/>
        <w:rPr/>
      </w:pPr>
      <w:r>
        <w:rPr>
          <w:rFonts w:ascii="Times new roman" w:hAnsi="Times new roman"/>
        </w:rPr>
        <w:t xml:space="preserve">Božíková, E., Munclinger, P., Teeter, K. C., Tucker, P. K., Macholán, M., &amp; Piálek, J. (2005). Mitochondrial DNA in the hybrid zone between </w:t>
      </w:r>
      <w:r>
        <w:rPr>
          <w:rFonts w:ascii="Times new roman" w:hAnsi="Times new roman"/>
          <w:i/>
        </w:rPr>
        <w:t>Mus musculus musculus</w:t>
      </w:r>
      <w:r>
        <w:rPr>
          <w:rFonts w:ascii="Times new roman" w:hAnsi="Times new roman"/>
        </w:rPr>
        <w:t xml:space="preserve"> and </w:t>
      </w:r>
      <w:r>
        <w:rPr>
          <w:rFonts w:ascii="Times new roman" w:hAnsi="Times new roman"/>
          <w:i/>
        </w:rPr>
        <w:t>Mus musculus domesticus</w:t>
      </w:r>
      <w:r>
        <w:rPr>
          <w:rFonts w:ascii="Times new roman" w:hAnsi="Times new roman"/>
        </w:rPr>
        <w:t xml:space="preserve">: A comparison of two transects. </w:t>
      </w:r>
      <w:r>
        <w:rPr>
          <w:rFonts w:ascii="Times new roman" w:hAnsi="Times new roman"/>
          <w:i w:val="false"/>
          <w:iCs w:val="false"/>
        </w:rPr>
        <w:t xml:space="preserve">Biological Journal of the Linnean Society, </w:t>
      </w:r>
      <w:r>
        <w:rPr>
          <w:rFonts w:ascii="Times new roman" w:hAnsi="Times new roman"/>
        </w:rPr>
        <w:t>84, 363–378. https://doi.org/10.1111/j.1095-8312.2005.00440.x</w:t>
      </w:r>
    </w:p>
    <w:p>
      <w:pPr>
        <w:pStyle w:val="Normal"/>
        <w:rPr/>
      </w:pPr>
      <w:r>
        <w:rPr>
          <w:rFonts w:ascii="Times new roman" w:hAnsi="Times new roman"/>
        </w:rPr>
        <w:t>Bush, A. O., Lafferty, K. D., Lotz, J. M. &amp; Shostak, A. W. (1997). Parasitology meets ecology on its own terms: Margolis et al. revisited. Journal of Parasitology, 83, 575–583.</w:t>
      </w:r>
    </w:p>
    <w:p>
      <w:pPr>
        <w:pStyle w:val="Normal"/>
        <w:rPr/>
      </w:pPr>
      <w:r>
        <w:rPr>
          <w:rFonts w:ascii="Times new roman" w:hAnsi="Times new roman"/>
        </w:rPr>
        <w:t>Chapman, H. D., Barta, J. R., Blake, D., Gruber, A., Jenkins, M., Smith, N. C., … Tomley, F. M. (2013). A selective review of advances in coccidiosis research. Advances in Parasitology, 83, 93–171. https://doi.org/10.1016/B978-0-12-407705-8.00002-1</w:t>
      </w:r>
    </w:p>
    <w:p>
      <w:pPr>
        <w:pStyle w:val="Normal"/>
        <w:rPr/>
      </w:pPr>
      <w:r>
        <w:rPr>
          <w:rFonts w:ascii="Times new roman" w:hAnsi="Times new roman"/>
        </w:rPr>
        <w:t>Čížková, D., Goüy de Bellocq, J. , Baird, S. J. E., Piálek, J., &amp; Bryja, J. (2011). Genetic structure and contrasting selection pattern at two major histocompatibility complex genes in wild house mouse populations. Heredity, 106, 727–740. https://doi.org/10.1038/hdy.2010.112</w:t>
      </w:r>
    </w:p>
    <w:p>
      <w:pPr>
        <w:pStyle w:val="Normal"/>
        <w:rPr/>
      </w:pPr>
      <w:r>
        <w:rPr>
          <w:rFonts w:ascii="Times new roman" w:hAnsi="Times new roman"/>
        </w:rPr>
        <w:t>Crofton, H. D. (1971). A quantitative approach to parasitism. Parasitology, 62, 179–193. https://doi.org/10.1017/S0031182000071420</w:t>
      </w:r>
    </w:p>
    <w:p>
      <w:pPr>
        <w:pStyle w:val="Normal"/>
        <w:rPr/>
      </w:pPr>
      <w:r>
        <w:rPr>
          <w:rFonts w:ascii="Times new roman" w:hAnsi="Times new roman"/>
        </w:rPr>
        <w:t>Delignette-Muller, M. L., &amp; Dutang, C. (2015). fitdistrplus: An R package for fitting distributions. Journal of Statistical Software, 64(4), 1–34. https://doi.org/10.18637/jss.v064.i04</w:t>
      </w:r>
    </w:p>
    <w:p>
      <w:pPr>
        <w:pStyle w:val="Normal"/>
        <w:rPr/>
      </w:pPr>
      <w:r>
        <w:rPr>
          <w:rFonts w:ascii="Times new roman" w:hAnsi="Times new roman"/>
        </w:rPr>
        <w:t xml:space="preserve">Derothe, J. M., Le Brun, N., Loubes, C., Perriat-Sanguinet, M., &amp; Moulia, C. (2001). Susceptibility of natural hybrids between house mouse subspecies to </w:t>
      </w:r>
      <w:r>
        <w:rPr>
          <w:rFonts w:ascii="Times new roman" w:hAnsi="Times new roman"/>
          <w:i/>
        </w:rPr>
        <w:t>Sarcocystis muris</w:t>
      </w:r>
      <w:r>
        <w:rPr>
          <w:rFonts w:ascii="Times new roman" w:hAnsi="Times new roman"/>
        </w:rPr>
        <w:t>. International Journal for Parasitology, 31, 15–19. https://doi.org/10.1016/S0020-7519(00)00155-7</w:t>
      </w:r>
    </w:p>
    <w:p>
      <w:pPr>
        <w:pStyle w:val="Normal"/>
        <w:rPr/>
      </w:pPr>
      <w:r>
        <w:rPr>
          <w:rFonts w:ascii="Times new roman" w:hAnsi="Times new roman"/>
        </w:rPr>
        <w:t>Derothe, J. M., Porcherie, A., Perriat-Sanguinet, M., Loubès, C., &amp; Moulia, C. (2004). Recombination does not generate pinworm susceptibility during experimental crosses between two mouse subspecies. Parasitology Research, 93, 356–363. https://doi.org/10.1007/s00436-004-1145-1</w:t>
      </w:r>
    </w:p>
    <w:p>
      <w:pPr>
        <w:pStyle w:val="Normal"/>
        <w:rPr/>
      </w:pPr>
      <w:r>
        <w:rPr>
          <w:rFonts w:ascii="Times new roman" w:hAnsi="Times new roman"/>
        </w:rPr>
        <w:t>Dufková, P., Macholán, M., &amp; Piálek, J. (2011). Inference of selection and stochastic effects in the house mouse hybrid zone. Evolution, 65, 993–1010. https://doi.org/10.1111/j.1558-5646.2011.01222.x</w:t>
      </w:r>
    </w:p>
    <w:p>
      <w:pPr>
        <w:pStyle w:val="Normal"/>
        <w:rPr/>
      </w:pPr>
      <w:r>
        <w:rPr>
          <w:rFonts w:ascii="Times new roman" w:hAnsi="Times new roman"/>
        </w:rPr>
        <w:t>Ďureje, Ľ., Macholán, M., Baird, S. J., &amp; Piálek, J. (2012). The mouse hybrid zone in central Europe: From morphology to molecules. Folia Zoologica, 61, 308–318. https://doi.org/10.25225/fozo.v61.i3.a13.2012</w:t>
      </w:r>
    </w:p>
    <w:p>
      <w:pPr>
        <w:pStyle w:val="Normal"/>
        <w:rPr/>
      </w:pPr>
      <w:r>
        <w:rPr>
          <w:rFonts w:ascii="Times new roman" w:hAnsi="Times new roman"/>
        </w:rPr>
        <w:t>Duvaux, L., Belkhir, K., Boulesteix, M., &amp; Boursot, P. (2011). Isolation and gene flow: inferring the speciation history of European house mice. Molecular Ecology, 20, 5248–5264. https://doi.org/10.1111/j.1365-294X.2011.05343.x</w:t>
      </w:r>
    </w:p>
    <w:p>
      <w:pPr>
        <w:pStyle w:val="Normal"/>
        <w:rPr/>
      </w:pPr>
      <w:r>
        <w:rPr>
          <w:rFonts w:ascii="Times new roman" w:hAnsi="Times new roman"/>
        </w:rPr>
        <w:t>Fornuskova, A., Bryja, J., Vinkler, M., Macholán, M., &amp; Piálek, J. (2014). Contrasting patterns of polymorphism and selection in bacterial-sensing toll-like receptor 4 in two house mouse subspecies. Ecology and Evolution, 4, 2931–2944. https://doi.org/10.1002/ece3.1137</w:t>
      </w:r>
    </w:p>
    <w:p>
      <w:pPr>
        <w:pStyle w:val="Normal"/>
        <w:rPr/>
      </w:pPr>
      <w:r>
        <w:rPr>
          <w:rFonts w:ascii="Times new roman" w:hAnsi="Times new roman"/>
        </w:rPr>
        <w:t>Fritz, R. S., Moulia, C., &amp; Newcombe, G. (1999). Resistance of hybrid plants and animals to herbivores, pathogens, and parasites. Annual Review of Ecology and Systematics, 30, 565–591.</w:t>
        <w:tab/>
        <w:t xml:space="preserve"> https://doi.org/10.1146/annurev.ecolsys.30.1.565</w:t>
      </w:r>
    </w:p>
    <w:p>
      <w:pPr>
        <w:pStyle w:val="Normal"/>
        <w:rPr/>
      </w:pPr>
      <w:r>
        <w:rPr>
          <w:rFonts w:eastAsia="Cambria" w:cs="" w:ascii="Times new roman" w:hAnsi="Times new roman" w:cstheme="minorBidi" w:eastAsiaTheme="minorHAnsi"/>
          <w:strike/>
          <w:highlight w:val="yellow"/>
        </w:rPr>
        <w:t xml:space="preserve">Fuller, C. A., &amp; Blaustein, A. R. (1996). Effects of the parasite </w:t>
      </w:r>
      <w:r>
        <w:rPr>
          <w:rFonts w:eastAsia="Cambria" w:cs="" w:ascii="Times new roman" w:hAnsi="Times new roman" w:cstheme="minorBidi" w:eastAsiaTheme="minorHAnsi"/>
          <w:i/>
          <w:strike/>
          <w:highlight w:val="yellow"/>
        </w:rPr>
        <w:t>Eimeria arizonensis</w:t>
      </w:r>
      <w:r>
        <w:rPr>
          <w:rFonts w:eastAsia="Cambria" w:cs="" w:ascii="Times new roman" w:hAnsi="Times new roman" w:cstheme="minorBidi" w:eastAsiaTheme="minorHAnsi"/>
          <w:strike/>
          <w:highlight w:val="yellow"/>
        </w:rPr>
        <w:t xml:space="preserve"> on survival of deer mice (</w:t>
      </w:r>
      <w:r>
        <w:rPr>
          <w:rFonts w:eastAsia="Cambria" w:cs="" w:ascii="Times new roman" w:hAnsi="Times new roman" w:cstheme="minorBidi" w:eastAsiaTheme="minorHAnsi"/>
          <w:i/>
          <w:strike/>
          <w:highlight w:val="yellow"/>
        </w:rPr>
        <w:t>Peromyscus maniculatus</w:t>
      </w:r>
      <w:r>
        <w:rPr>
          <w:rFonts w:eastAsia="Cambria" w:cs="" w:ascii="Times new roman" w:hAnsi="Times new roman" w:cstheme="minorBidi" w:eastAsiaTheme="minorHAnsi"/>
          <w:strike/>
          <w:highlight w:val="yellow"/>
        </w:rPr>
        <w:t>). Ecology, 77, 2196–2202. https://doi.org/10.2307/2265712</w:t>
      </w:r>
    </w:p>
    <w:p>
      <w:pPr>
        <w:pStyle w:val="Normal"/>
        <w:rPr/>
      </w:pPr>
      <w:r>
        <w:rPr>
          <w:rFonts w:ascii="Times new roman" w:hAnsi="Times new roman"/>
        </w:rPr>
        <w:t>Goüy de Bellocq, J., Ribas, A., &amp; Baird, S. J. E. (2012). New insights into parasitism in the house mouse hybrid zone. In M. Macholán, S. J. E. Baird, P. Munclinger, &amp; J. Piálek (Eds.), Evolution of the House Mouse (pp. 455–481). Cambridge: Cambridge University Press.</w:t>
      </w:r>
    </w:p>
    <w:p>
      <w:pPr>
        <w:pStyle w:val="Normal"/>
        <w:rPr/>
      </w:pPr>
      <w:r>
        <w:rPr>
          <w:rFonts w:ascii="Times new roman" w:hAnsi="Times new roman"/>
        </w:rPr>
        <w:t xml:space="preserve">Green, R. E., Krause, J., Briggs, A. W., Maricic, T., Stenzel, U., Kircher, M., … Pääbo, S. (2010). A draft sequence of the Neandertal genome. </w:t>
      </w:r>
      <w:r>
        <w:rPr>
          <w:rFonts w:ascii="Times new roman" w:hAnsi="Times new roman"/>
          <w:i/>
        </w:rPr>
        <w:t>Science</w:t>
      </w:r>
      <w:r>
        <w:rPr>
          <w:rFonts w:ascii="Times new roman" w:hAnsi="Times new roman"/>
        </w:rPr>
        <w:t xml:space="preserve">, </w:t>
      </w:r>
      <w:r>
        <w:rPr>
          <w:rFonts w:ascii="Times new roman" w:hAnsi="Times new roman"/>
          <w:i/>
        </w:rPr>
        <w:t>328</w:t>
      </w:r>
      <w:r>
        <w:rPr>
          <w:rFonts w:ascii="Times new roman" w:hAnsi="Times new roman"/>
        </w:rPr>
        <w:t>, 710–722. https://doi.org/10.1126/science.1188021</w:t>
      </w:r>
    </w:p>
    <w:p>
      <w:pPr>
        <w:pStyle w:val="Normal"/>
        <w:rPr/>
      </w:pPr>
      <w:r>
        <w:rPr>
          <w:rFonts w:ascii="Times new roman" w:hAnsi="Times new roman"/>
        </w:rPr>
        <w:t>Guillot, G., Mortier, F., &amp; Estoup, A. (2005). Geneland: A computer package for landscape genetics. Molecular Ecology Notes, 5, 712–715. https://doi.org/10.1111/j.1471-8286.2005.01031.x</w:t>
      </w:r>
    </w:p>
    <w:p>
      <w:pPr>
        <w:pStyle w:val="Normal"/>
        <w:rPr/>
      </w:pPr>
      <w:r>
        <w:rPr>
          <w:rFonts w:ascii="Times new roman" w:hAnsi="Times new roman"/>
        </w:rPr>
        <w:t xml:space="preserve">Haberkorn, A. (1970). Die Entwicklung von </w:t>
      </w:r>
      <w:r>
        <w:rPr>
          <w:rFonts w:ascii="Times new roman" w:hAnsi="Times new roman"/>
          <w:i/>
        </w:rPr>
        <w:t xml:space="preserve">Eimeria falciformis </w:t>
      </w:r>
      <w:r>
        <w:rPr>
          <w:rFonts w:ascii="Times new roman" w:hAnsi="Times new roman"/>
        </w:rPr>
        <w:t xml:space="preserve"> (Eimer 1870) in der weißen Maus (</w:t>
      </w:r>
      <w:r>
        <w:rPr>
          <w:rFonts w:ascii="Times new roman" w:hAnsi="Times new roman"/>
          <w:i/>
        </w:rPr>
        <w:t>Mus musculus</w:t>
      </w:r>
      <w:r>
        <w:rPr>
          <w:rFonts w:ascii="Times new roman" w:hAnsi="Times new roman"/>
        </w:rPr>
        <w:t>). Zeitschrift für Parasitenkunde, 34, 49–67. https://doi.org/10.1007/BF00629179</w:t>
      </w:r>
    </w:p>
    <w:p>
      <w:pPr>
        <w:pStyle w:val="Normal"/>
        <w:rPr>
          <w:rFonts w:eastAsia="Cambria" w:cs="" w:cstheme="minorBidi" w:eastAsiaTheme="minorHAnsi"/>
          <w:strike w:val="false"/>
          <w:dstrike w:val="false"/>
        </w:rPr>
      </w:pPr>
      <w:r>
        <w:rPr>
          <w:rFonts w:eastAsia="Cambria" w:cs="" w:ascii="Times new roman" w:hAnsi="Times new roman" w:cstheme="minorBidi" w:eastAsiaTheme="minorHAnsi"/>
          <w:strike w:val="false"/>
          <w:dstrike w:val="false"/>
          <w:u w:val="none"/>
        </w:rPr>
        <w:t xml:space="preserve">Hakkarainen, H., Huhta, E., Koskela, E., Mappes, T., Soveri, T., &amp; Suorsa, P. (2007). </w:t>
      </w:r>
      <w:r>
        <w:rPr>
          <w:rFonts w:eastAsia="Cambria" w:cs="" w:ascii="Times new roman" w:hAnsi="Times new roman" w:cstheme="minorBidi" w:eastAsiaTheme="minorHAnsi"/>
          <w:i/>
          <w:strike w:val="false"/>
          <w:dstrike w:val="false"/>
          <w:u w:val="none"/>
        </w:rPr>
        <w:t>Eimeria</w:t>
      </w:r>
      <w:r>
        <w:rPr>
          <w:rFonts w:eastAsia="Cambria" w:cs="" w:ascii="Times new roman" w:hAnsi="Times new roman" w:cstheme="minorBidi" w:eastAsiaTheme="minorHAnsi"/>
          <w:strike w:val="false"/>
          <w:dstrike w:val="false"/>
          <w:u w:val="none"/>
        </w:rPr>
        <w:t>-parasites are associated with a lowered mother’s and offspring’s body condition in island and mainland populations of the bank vole. Parasitology, 134, 23–31. https://doi.org/10.1017/S0031182006001120</w:t>
      </w:r>
    </w:p>
    <w:p>
      <w:pPr>
        <w:pStyle w:val="Normal"/>
        <w:rPr/>
      </w:pPr>
      <w:r>
        <w:rPr>
          <w:rFonts w:ascii="Times new roman" w:hAnsi="Times new roman"/>
        </w:rPr>
        <w:t>Haukisalmi, V., Henttonen, H., &amp; Tenora, F. (1988). Population dynamics of common and rare helminths in cyclic vole populations. Journal of Animal Ecology, 57, 807–825. https://doi.org/10.2307/5094</w:t>
      </w:r>
    </w:p>
    <w:p>
      <w:pPr>
        <w:pStyle w:val="Normal"/>
        <w:rPr/>
      </w:pPr>
      <w:r>
        <w:rPr>
          <w:rFonts w:ascii="Times new roman" w:hAnsi="Times new roman"/>
        </w:rPr>
        <w:t>Heitlinger, E., Ferreira, S. C. M., Thierer, D., Hofer, H., &amp; East, M. L. (2017). The intestinal eukaryotic and bacterial biome of spotted hyenas: The impact of social status and age on diversity and composition. Frontiers in Cellular and Infection Microbiology, 7, 262. https://doi.org/10.3389/fcimb.2017.00262</w:t>
      </w:r>
    </w:p>
    <w:p>
      <w:pPr>
        <w:pStyle w:val="Normal"/>
        <w:rPr/>
      </w:pPr>
      <w:r>
        <w:rPr>
          <w:rFonts w:ascii="Times new roman" w:hAnsi="Times new roman"/>
        </w:rPr>
        <w:t xml:space="preserve">Hewitt, G. M. (1975). A sex-chromosome hybrid zone in the grasshopper </w:t>
      </w:r>
      <w:r>
        <w:rPr>
          <w:rFonts w:ascii="Times new roman" w:hAnsi="Times new roman"/>
          <w:i/>
        </w:rPr>
        <w:t>Podisma pedestris</w:t>
      </w:r>
      <w:r>
        <w:rPr>
          <w:rFonts w:ascii="Times new roman" w:hAnsi="Times new roman"/>
        </w:rPr>
        <w:t xml:space="preserve"> (Orthoptera: Acrididae). Heredity, 35, 375–387. https://doi.org/10.1038/hdy.1975.108</w:t>
      </w:r>
    </w:p>
    <w:p>
      <w:pPr>
        <w:pStyle w:val="Normal"/>
        <w:rPr/>
      </w:pPr>
      <w:r>
        <w:rPr>
          <w:rFonts w:ascii="Times new roman" w:hAnsi="Times new roman"/>
        </w:rPr>
        <w:t xml:space="preserve">Jarquín-Díaz, V. H., Balard A., Jost J., Kraft J., Dikmen, M. N., Kvičerová J., Heitlinger, E. (in press). Detection and quantification of house mouse </w:t>
      </w:r>
      <w:r>
        <w:rPr>
          <w:rFonts w:ascii="Times new roman" w:hAnsi="Times new roman"/>
          <w:i/>
        </w:rPr>
        <w:t>Eimeria</w:t>
      </w:r>
      <w:r>
        <w:rPr>
          <w:rFonts w:ascii="Times new roman" w:hAnsi="Times new roman"/>
        </w:rPr>
        <w:t xml:space="preserve"> at the species level – challenges and solutions for the assessment of Coccidia in wildlife. International Journal for Parasitology: Parasites and Wildlife. https://doi.org/10.1016/j.ijppaw.2019.07.004</w:t>
      </w:r>
    </w:p>
    <w:p>
      <w:pPr>
        <w:pStyle w:val="Normal"/>
        <w:rPr/>
      </w:pPr>
      <w:r>
        <w:rPr>
          <w:rFonts w:ascii="Times new roman" w:hAnsi="Times new roman"/>
        </w:rPr>
        <w:t>Jones, E. P., Kooij, J. V. D., Solheim, R., &amp; Searle, J. B. (2010). Norwegian house mice (</w:t>
      </w:r>
      <w:r>
        <w:rPr>
          <w:rFonts w:ascii="Times new roman" w:hAnsi="Times new roman"/>
          <w:i/>
        </w:rPr>
        <w:t>Mus musculus musculus/domesticus</w:t>
      </w:r>
      <w:r>
        <w:rPr>
          <w:rFonts w:ascii="Times new roman" w:hAnsi="Times new roman"/>
        </w:rPr>
        <w:t>): Distributions, routes of colonization and patterns of hybridization. Molecular Ecology, 19, 5252–5264. https://doi.org/10.1111/j.1365-294X.2010.04874.x</w:t>
      </w:r>
    </w:p>
    <w:p>
      <w:pPr>
        <w:pStyle w:val="Normal"/>
        <w:rPr/>
      </w:pPr>
      <w:r>
        <w:rPr>
          <w:rFonts w:ascii="Times new roman" w:hAnsi="Times new roman"/>
        </w:rPr>
        <w:t xml:space="preserve">Kahle, D., &amp; Wickham, H. (2013). Ggmap: Spatial visualization with ggplot2. The R Journal, 5(1), 144–161. </w:t>
      </w:r>
      <w:hyperlink r:id="rId4">
        <w:r>
          <w:rPr>
            <w:rStyle w:val="InternetLink"/>
            <w:rFonts w:ascii="Times new roman" w:hAnsi="Times new roman"/>
          </w:rPr>
          <w:t>https://doi.org/10.32614/RJ-2013-014</w:t>
        </w:r>
      </w:hyperlink>
    </w:p>
    <w:p>
      <w:pPr>
        <w:pStyle w:val="Normal"/>
        <w:rPr>
          <w:rFonts w:ascii="Times new roman" w:hAnsi="Times new roman" w:cs="" w:cstheme="minorBidi"/>
          <w:i w:val="false"/>
          <w:i w:val="false"/>
          <w:iCs w:val="false"/>
          <w:color w:val="00000A"/>
          <w:highlight w:val="yellow"/>
        </w:rPr>
      </w:pPr>
      <w:r>
        <w:rPr>
          <w:rFonts w:eastAsia="Cambria" w:cs="" w:ascii="Times new roman" w:hAnsi="Times new roman" w:cstheme="minorBidi" w:eastAsiaTheme="minorHAnsi"/>
          <w:b w:val="false"/>
          <w:i w:val="false"/>
          <w:iCs w:val="false"/>
          <w:caps w:val="false"/>
          <w:smallCaps w:val="false"/>
          <w:color w:val="00000A"/>
          <w:spacing w:val="0"/>
          <w:sz w:val="24"/>
          <w:highlight w:val="yellow"/>
        </w:rPr>
        <w:t>Krämer A., Kretzschmar, M., &amp; Krickeberg, K. (2010). </w:t>
      </w:r>
      <w:r>
        <w:rPr>
          <w:rFonts w:eastAsia="Cambria" w:cs="" w:ascii="Times new roman" w:hAnsi="Times new roman" w:cstheme="minorBidi" w:eastAsiaTheme="minorHAnsi"/>
          <w:b w:val="false"/>
          <w:i w:val="false"/>
          <w:iCs w:val="false"/>
          <w:color w:val="00000A"/>
          <w:spacing w:val="0"/>
          <w:sz w:val="24"/>
          <w:highlight w:val="yellow"/>
        </w:rPr>
        <w:t>Modern infectious disease epidemiology: concepts, methods, mathematical models, and public health</w:t>
      </w:r>
      <w:r>
        <w:rPr>
          <w:rFonts w:eastAsia="Cambria" w:cs="" w:ascii="Times new roman" w:hAnsi="Times new roman" w:cstheme="minorBidi" w:eastAsiaTheme="minorHAnsi"/>
          <w:b w:val="false"/>
          <w:i w:val="false"/>
          <w:iCs w:val="false"/>
          <w:caps w:val="false"/>
          <w:smallCaps w:val="false"/>
          <w:color w:val="00000A"/>
          <w:spacing w:val="0"/>
          <w:sz w:val="24"/>
          <w:highlight w:val="yellow"/>
        </w:rPr>
        <w:t>. New York, NY: Springer.</w:t>
      </w:r>
    </w:p>
    <w:p>
      <w:pPr>
        <w:pStyle w:val="Normal"/>
        <w:widowControl/>
        <w:ind w:left="0" w:right="0" w:hanging="0"/>
        <w:rPr/>
      </w:pPr>
      <w:r>
        <w:rPr>
          <w:rFonts w:eastAsia="Cambria" w:cs="" w:ascii="Times new roman" w:hAnsi="Times new roman" w:cstheme="minorBidi" w:eastAsiaTheme="minorHAnsi"/>
          <w:b w:val="false"/>
          <w:bCs w:val="false"/>
          <w:i w:val="false"/>
          <w:caps w:val="false"/>
          <w:smallCaps w:val="false"/>
          <w:color w:val="000000"/>
          <w:spacing w:val="0"/>
          <w:sz w:val="24"/>
          <w:szCs w:val="24"/>
          <w:highlight w:val="yellow"/>
        </w:rPr>
        <w:t>Kriska, T. (1993). Parasitic helminths of house mouse (</w:t>
      </w:r>
      <w:r>
        <w:rPr>
          <w:rFonts w:eastAsia="Cambria" w:cs="" w:ascii="Times new roman" w:hAnsi="Times new roman" w:cstheme="minorBidi" w:eastAsiaTheme="minorHAnsi"/>
          <w:b w:val="false"/>
          <w:bCs w:val="false"/>
          <w:i/>
          <w:iCs/>
          <w:caps w:val="false"/>
          <w:smallCaps w:val="false"/>
          <w:color w:val="000000"/>
          <w:spacing w:val="0"/>
          <w:sz w:val="24"/>
          <w:szCs w:val="24"/>
          <w:highlight w:val="yellow"/>
        </w:rPr>
        <w:t>Mus musculus Linnaeus</w:t>
      </w:r>
      <w:r>
        <w:rPr>
          <w:rFonts w:eastAsia="Cambria" w:cs="" w:ascii="Times new roman" w:hAnsi="Times new roman" w:cstheme="minorBidi" w:eastAsiaTheme="minorHAnsi"/>
          <w:b w:val="false"/>
          <w:bCs w:val="false"/>
          <w:i w:val="false"/>
          <w:caps w:val="false"/>
          <w:smallCaps w:val="false"/>
          <w:color w:val="000000"/>
          <w:spacing w:val="0"/>
          <w:sz w:val="24"/>
          <w:szCs w:val="24"/>
          <w:highlight w:val="yellow"/>
        </w:rPr>
        <w:t>, 1758) in Hungary. Miscellanea zoologica hungarica, 8, 13–23. https://doi.org/10.32614/RJ-2013-014</w:t>
      </w:r>
    </w:p>
    <w:p>
      <w:pPr>
        <w:pStyle w:val="Normal"/>
        <w:rPr/>
      </w:pPr>
      <w:r>
        <w:rPr>
          <w:rFonts w:ascii="Times new roman" w:hAnsi="Times new roman"/>
        </w:rPr>
        <w:t xml:space="preserve">Lilue, J., Müller, U. B., Steinfeldt, T., &amp; Howard, J. C. (2013). Reciprocal virulence and resistance polymorphism in the relationship between </w:t>
      </w:r>
      <w:r>
        <w:rPr>
          <w:rFonts w:ascii="Times new roman" w:hAnsi="Times new roman"/>
          <w:i/>
        </w:rPr>
        <w:t>Toxoplasma gondii</w:t>
      </w:r>
      <w:r>
        <w:rPr>
          <w:rFonts w:ascii="Times new roman" w:hAnsi="Times new roman"/>
        </w:rPr>
        <w:t xml:space="preserve"> and the house mouse. ELife, 2, e01298. https://doi.org/10.7554/eLife.01298</w:t>
      </w:r>
    </w:p>
    <w:p>
      <w:pPr>
        <w:pStyle w:val="Normal"/>
        <w:rPr/>
      </w:pPr>
      <w:r>
        <w:rPr>
          <w:rFonts w:ascii="Times new roman" w:hAnsi="Times new roman"/>
        </w:rPr>
        <w:t>Linnenbrink, M., Teschke, M., Montero, I., Vallier, M., &amp; Tautz, D. (2018). Meta-populational demes constitute a reservoir for large MHC allele diversity in wild house mice (</w:t>
      </w:r>
      <w:r>
        <w:rPr>
          <w:rFonts w:ascii="Times new roman" w:hAnsi="Times new roman"/>
          <w:i/>
        </w:rPr>
        <w:t>Mus musculus</w:t>
      </w:r>
      <w:r>
        <w:rPr>
          <w:rFonts w:ascii="Times new roman" w:hAnsi="Times new roman"/>
        </w:rPr>
        <w:t>). Frontiers in Zoology, 15, 15. https://doi.org/10.1186/s12983-018-0266-9</w:t>
      </w:r>
    </w:p>
    <w:p>
      <w:pPr>
        <w:pStyle w:val="Normal"/>
        <w:rPr/>
      </w:pPr>
      <w:r>
        <w:rPr>
          <w:rFonts w:ascii="Times new roman" w:hAnsi="Times new roman"/>
        </w:rPr>
        <w:t xml:space="preserve">Macholán, M., Kryštufek, B., &amp; Vohralík, V. (2003). The location of the </w:t>
      </w:r>
      <w:r>
        <w:rPr>
          <w:rFonts w:ascii="Times new roman" w:hAnsi="Times new roman"/>
          <w:i/>
        </w:rPr>
        <w:t>Mus musculus/M. domesticus</w:t>
      </w:r>
      <w:r>
        <w:rPr>
          <w:rFonts w:ascii="Times new roman" w:hAnsi="Times new roman"/>
        </w:rPr>
        <w:t xml:space="preserve"> hybrid zone in the Balkans: clues from morphology. Acta Theriologica, 48, 177–188. https://doi.org/10.1007/BF03194157</w:t>
      </w:r>
    </w:p>
    <w:p>
      <w:pPr>
        <w:pStyle w:val="Normal"/>
        <w:rPr/>
      </w:pPr>
      <w:r>
        <w:rPr>
          <w:rFonts w:ascii="Times new roman" w:hAnsi="Times new roman"/>
        </w:rPr>
        <w:t>Macholán, M., Munclinger, P., Šugerková, M., Dufková, P., Bímová, B., Božíková, E., Zima, J., &amp; Piálek, J. (2007). Genetic analysis of autosomal and X-linked markers across a mouse hybrid zone. Evolution 61: 746–771. https://doi.org/10.1111/j.1558-5646.2007.00065.x</w:t>
      </w:r>
    </w:p>
    <w:p>
      <w:pPr>
        <w:pStyle w:val="Normal"/>
        <w:rPr/>
      </w:pPr>
      <w:r>
        <w:rPr>
          <w:rFonts w:ascii="Times new roman" w:hAnsi="Times new roman"/>
        </w:rPr>
        <w:t>Macholán, M., Baird, S. J. E., Dufková, P., Munclinger, P., Bímová, B. V., &amp; Piálek, J. (2011). Assessing multilocus introgression patterns: A case study on the mouse X chromosome in central Europe. Evolution, 65, 1428–1446. https://doi.org/10.1111/j.1558-5646.2011.01228.x</w:t>
      </w:r>
    </w:p>
    <w:p>
      <w:pPr>
        <w:pStyle w:val="Normal"/>
        <w:rPr/>
      </w:pPr>
      <w:r>
        <w:rPr>
          <w:rFonts w:ascii="Times new roman" w:hAnsi="Times new roman"/>
        </w:rPr>
        <w:t>Mallet, J. (2005). Hybridization as an invasion of the genome. Trends in Ecology &amp; Evolution, 20, 229–237. https://doi.org/10.1016/j.tree.2005.02.010</w:t>
      </w:r>
    </w:p>
    <w:p>
      <w:pPr>
        <w:pStyle w:val="Normal"/>
        <w:rPr/>
      </w:pPr>
      <w:r>
        <w:rPr>
          <w:rFonts w:ascii="Times new roman" w:hAnsi="Times new roman"/>
        </w:rPr>
        <w:t>Morand, S., &amp; Guégan, J.-F. (2000). Distribution and abundance of parasite nematodes: Ecological specialisation, phylogenetic constraint or simply epidemiology? Oikos, 88, 563–573. https://doi.org/10.1034/j.1600-0706.2000.880313.x</w:t>
      </w:r>
    </w:p>
    <w:p>
      <w:pPr>
        <w:pStyle w:val="Normal"/>
        <w:rPr/>
      </w:pPr>
      <w:r>
        <w:rPr>
          <w:rFonts w:ascii="Times new roman" w:hAnsi="Times new roman"/>
        </w:rPr>
        <w:t>Moulia, C., Aussel, J. P., Bonhomme, F., Boursot, P., Nielsen, J. T., &amp; Renaud, F. (1991). Wormy mice in a hybrid zone: A genetic control of susceptibility to parasite infection. Journal of Evolutionary Biology, 4, 679–687. https://doi.org/10.1046/j.1420-9101.1991.4040679.x</w:t>
      </w:r>
    </w:p>
    <w:p>
      <w:pPr>
        <w:pStyle w:val="Normal"/>
        <w:rPr/>
      </w:pPr>
      <w:r>
        <w:rPr>
          <w:rFonts w:ascii="Times new roman" w:hAnsi="Times new roman"/>
        </w:rPr>
        <w:t>Moulia, C., Le Brun, N., Dallas, J., Orth, A., &amp; Renaud, F. (1993). Experimental evidence of genetic determinism in high susceptibility to intestinal pinworm infection in mice: A hybrid zone model. Parasitology, 106, 387–393. https://doi.org/10.1017/S0031182000067135</w:t>
      </w:r>
    </w:p>
    <w:p>
      <w:pPr>
        <w:pStyle w:val="Normal"/>
        <w:rPr/>
      </w:pPr>
      <w:r>
        <w:rPr>
          <w:rFonts w:ascii="Times new roman" w:hAnsi="Times new roman"/>
        </w:rPr>
        <w:t>Moulia, C., Le Brun, N., Loubes, C., Marin, R., &amp; Renaud, F. (1995). Hybrid vigour against parasites in interspecific crosses between two mice species. Heredity, 74, 48–52. https://doi.org/10.1038/hdy.1995.6</w:t>
      </w:r>
    </w:p>
    <w:p>
      <w:pPr>
        <w:pStyle w:val="Normal"/>
        <w:rPr/>
      </w:pPr>
      <w:r>
        <w:rPr>
          <w:rFonts w:ascii="Times new roman" w:hAnsi="Times new roman"/>
        </w:rPr>
        <w:t>Munclinger, P., Božíková, E., Šugerková, M., Piálek, J., &amp; Macholán, M. (2002). Genetic variation in house mice (</w:t>
      </w:r>
      <w:r>
        <w:rPr>
          <w:rFonts w:ascii="Times new roman" w:hAnsi="Times new roman"/>
          <w:i/>
        </w:rPr>
        <w:t>Mus</w:t>
      </w:r>
      <w:r>
        <w:rPr>
          <w:rFonts w:ascii="Times new roman" w:hAnsi="Times new roman"/>
        </w:rPr>
        <w:t>, Muridae, Rodentia) from the Czech and Slovak Republics. Folia Zoologica, 51, 81–92.</w:t>
      </w:r>
    </w:p>
    <w:p>
      <w:pPr>
        <w:pStyle w:val="Normal"/>
        <w:rPr/>
      </w:pPr>
      <w:r>
        <w:rPr>
          <w:rFonts w:ascii="Times new roman" w:hAnsi="Times new roman"/>
        </w:rPr>
        <w:t>Munclinger, P., Boursot, P., &amp; Dod, B. (2003). B1 insertions as easy markers for mouse population studies. Mammalian Genome, 14, 359–366. https://doi.org/10.1007/s00335-002-3065-7</w:t>
      </w:r>
    </w:p>
    <w:p>
      <w:pPr>
        <w:pStyle w:val="Normal"/>
        <w:rPr/>
      </w:pPr>
      <w:r>
        <w:rPr>
          <w:rFonts w:ascii="Times new roman" w:hAnsi="Times new roman"/>
        </w:rPr>
        <w:t xml:space="preserve">Nagamine, C. M., Nishioka, Y., Moriwaki, K., Boursot, P., Bonhomme, F., &amp; Lau, Y. F. C. (1992). The </w:t>
      </w:r>
      <w:r>
        <w:rPr>
          <w:rFonts w:ascii="Times new roman" w:hAnsi="Times new roman"/>
          <w:i/>
        </w:rPr>
        <w:t>musculus</w:t>
      </w:r>
      <w:r>
        <w:rPr>
          <w:rFonts w:ascii="Times new roman" w:hAnsi="Times new roman"/>
        </w:rPr>
        <w:t>-type Y chromosome of the laboratory mouse is of Asian origin. Mammalian Genome, 3, 84–91. https://doi.org/10.1007/BF00431251</w:t>
      </w:r>
    </w:p>
    <w:p>
      <w:pPr>
        <w:pStyle w:val="Normal"/>
        <w:rPr/>
      </w:pPr>
      <w:r>
        <w:rPr>
          <w:rFonts w:ascii="Times new roman" w:hAnsi="Times new roman"/>
        </w:rPr>
        <w:t>Nunes, M. S. with contributions from T., Heuer, C., Marshall, J., Sanchez, J., Thornton, R., Reiczigel, J., … Jay, M. (2018). epiR: Tools for the analysis of epidemiological data. Retrieved from https://CRAN.R-project.org/package=epiR</w:t>
      </w:r>
    </w:p>
    <w:p>
      <w:pPr>
        <w:pStyle w:val="Normal"/>
        <w:rPr/>
      </w:pPr>
      <w:r>
        <w:rPr>
          <w:rFonts w:ascii="Times new roman" w:hAnsi="Times new roman"/>
        </w:rPr>
        <w:t>Poulin, R. (2013). Explaining variability in parasite aggregation levels among host samples. Parasitology, 140, 541–546.</w:t>
        <w:tab/>
        <w:t xml:space="preserve"> https://doi.org/10.1017/S0031182012002053</w:t>
      </w:r>
    </w:p>
    <w:p>
      <w:pPr>
        <w:pStyle w:val="Normal"/>
        <w:rPr/>
      </w:pPr>
      <w:r>
        <w:rPr>
          <w:rFonts w:ascii="Times new roman" w:hAnsi="Times new roman"/>
        </w:rPr>
        <w:t>R Development Core Team. (2008). R: A language and environment for  statistical computing. R Foundation for Statistical Computing, Vienna, Austria. Retrieved from http://www.R-project.org</w:t>
      </w:r>
    </w:p>
    <w:p>
      <w:pPr>
        <w:pStyle w:val="Normal"/>
        <w:rPr/>
      </w:pPr>
      <w:r>
        <w:rPr>
          <w:rFonts w:ascii="Times new roman" w:hAnsi="Times new roman"/>
        </w:rPr>
        <w:t>Råberg, L., Sim, D., &amp; Read, A. F. (2007). Disentangling genetic variation for resistance and tolerance to infectious diseases in animals. Science, 318, 812–814. https://doi.org/10.1126/science.1148526</w:t>
      </w:r>
    </w:p>
    <w:p>
      <w:pPr>
        <w:pStyle w:val="Normal"/>
        <w:rPr/>
      </w:pPr>
      <w:r>
        <w:rPr>
          <w:rFonts w:ascii="Times new roman" w:hAnsi="Times new roman"/>
        </w:rPr>
        <w:t>Reiczigel, J., Földi, J., &amp; Ozsvári, L. (2010). Exact confidence limits for prevalence of a disease with an imperfect diagnostic test. Epidemiology and Infection, 138, 1674–1678. https://doi.org/10.1017/S0950268810000385</w:t>
      </w:r>
    </w:p>
    <w:p>
      <w:pPr>
        <w:pStyle w:val="Normal"/>
        <w:rPr/>
      </w:pPr>
      <w:r>
        <w:rPr>
          <w:rFonts w:cs="" w:ascii="Times new roman" w:hAnsi="Times new roman" w:cstheme="minorBidi"/>
          <w:b w:val="false"/>
          <w:i w:val="false"/>
          <w:caps w:val="false"/>
          <w:smallCaps w:val="false"/>
          <w:strike w:val="false"/>
          <w:dstrike w:val="false"/>
          <w:color w:val="000000"/>
          <w:spacing w:val="0"/>
          <w:sz w:val="24"/>
          <w:szCs w:val="24"/>
          <w:highlight w:val="yellow"/>
          <w:u w:val="none"/>
          <w:effect w:val="none"/>
        </w:rPr>
        <w:t xml:space="preserve">Ressouche, L., Ganem, G., Derothe, J. M., Searle, J., Renaud, F. &amp; Moulia, C. (1998). Host chromosomal evolution and parasites of the house mouse </w:t>
      </w:r>
      <w:r>
        <w:rPr>
          <w:rFonts w:cs="" w:ascii="Times new roman" w:hAnsi="Times new roman" w:cstheme="minorBidi"/>
          <w:b w:val="false"/>
          <w:i/>
          <w:iCs/>
          <w:caps w:val="false"/>
          <w:smallCaps w:val="false"/>
          <w:strike w:val="false"/>
          <w:dstrike w:val="false"/>
          <w:color w:val="000000"/>
          <w:spacing w:val="0"/>
          <w:sz w:val="24"/>
          <w:szCs w:val="24"/>
          <w:highlight w:val="yellow"/>
          <w:u w:val="none"/>
          <w:effect w:val="none"/>
        </w:rPr>
        <w:t>Mus musculus domesticus</w:t>
      </w:r>
      <w:r>
        <w:rPr>
          <w:rFonts w:cs="" w:ascii="Times new roman" w:hAnsi="Times new roman" w:cstheme="minorBidi"/>
          <w:b w:val="false"/>
          <w:i w:val="false"/>
          <w:caps w:val="false"/>
          <w:smallCaps w:val="false"/>
          <w:strike w:val="false"/>
          <w:dstrike w:val="false"/>
          <w:color w:val="000000"/>
          <w:spacing w:val="0"/>
          <w:sz w:val="24"/>
          <w:szCs w:val="24"/>
          <w:highlight w:val="yellow"/>
          <w:u w:val="none"/>
          <w:effect w:val="none"/>
        </w:rPr>
        <w:t xml:space="preserve"> in Scotland. Zeitschrift fü Saugetierkunde, 63, 52-57. </w:t>
      </w:r>
    </w:p>
    <w:p>
      <w:pPr>
        <w:pStyle w:val="Normal"/>
        <w:rPr/>
      </w:pPr>
      <w:r>
        <w:rPr>
          <w:rFonts w:ascii="Times new roman" w:hAnsi="Times new roman"/>
        </w:rPr>
        <w:t>Rook, G. A. W. (2009). Review series on helminths, immune modulation and the hygiene hypothesis: The broader implications of the hygiene hypothesis. Immunology, 126, 3–11. https://doi.org/10.1111/j.1365-2567.2008.03007.x</w:t>
      </w:r>
    </w:p>
    <w:p>
      <w:pPr>
        <w:pStyle w:val="Normal"/>
        <w:rPr/>
      </w:pPr>
      <w:r>
        <w:rPr>
          <w:rFonts w:ascii="Times new roman" w:hAnsi="Times new roman"/>
        </w:rPr>
        <w:t>Rózsa, L., Reiczigel, J., &amp; Majoros, G. (2000). Quantifying parasites in samples of hosts. The Journal of Parasitology, 86, 228–232. https://doi.org/10.1645/0022-3395(2000)086[0228:QPISOH]2.0.CO;2</w:t>
      </w:r>
    </w:p>
    <w:p>
      <w:pPr>
        <w:pStyle w:val="Normal"/>
        <w:rPr/>
      </w:pPr>
      <w:r>
        <w:rPr>
          <w:rFonts w:ascii="Times new roman" w:hAnsi="Times new roman"/>
        </w:rPr>
        <w:t>Sage, R. D., Heyneman, D., Lim, K.-C., &amp; Wilson, A. C. (1986). Wormy mice in a hybrid zone. Nature, 324, 60–63. https://doi.org/10.1038/324060a0</w:t>
      </w:r>
    </w:p>
    <w:p>
      <w:pPr>
        <w:pStyle w:val="Normal"/>
        <w:rPr/>
      </w:pPr>
      <w:r>
        <w:rPr>
          <w:rFonts w:ascii="Times new roman" w:hAnsi="Times new roman"/>
        </w:rPr>
        <w:t>Schulte-Hostedde, A. I., Zinner, B., Millar, J. S., &amp; Hickling, G. J. (2005). Restitution of mass–size residuals: Validating body condition indices. Ecology, 86, 155–163. https://doi.org/10.1890/04-0232</w:t>
      </w:r>
    </w:p>
    <w:p>
      <w:pPr>
        <w:pStyle w:val="Normal"/>
        <w:rPr/>
      </w:pPr>
      <w:r>
        <w:rPr>
          <w:rFonts w:cs="" w:ascii="Times new roman" w:hAnsi="Times new roman" w:cstheme="minorBidi"/>
          <w:b w:val="false"/>
          <w:i w:val="false"/>
          <w:caps w:val="false"/>
          <w:smallCaps w:val="false"/>
          <w:color w:val="00000A"/>
          <w:spacing w:val="0"/>
          <w:sz w:val="24"/>
          <w:szCs w:val="24"/>
          <w:highlight w:val="yellow"/>
        </w:rPr>
        <w:t>Schurer, J., Mosites, E., Li, C., Meschke, S., &amp; Rabinowitz, P. (2016). Community-based surveillance of zoonotic parasites in a “One Health” world: A systematic review. One Health, 2, 166–174. https://doi.org/10.1016/j.onehlt.2016.11.002</w:t>
      </w:r>
    </w:p>
    <w:p>
      <w:pPr>
        <w:pStyle w:val="Normal"/>
        <w:rPr/>
      </w:pPr>
      <w:r>
        <w:rPr>
          <w:rFonts w:ascii="Times new roman" w:hAnsi="Times new roman"/>
        </w:rPr>
        <w:t>Shaw, D. J., &amp; Dobson, A. P. (1995). Patterns of macroparasite abundance and aggregation in wildlife populations: A quantitative review. Parasitology, 111 Suppl, S111-127.</w:t>
      </w:r>
    </w:p>
    <w:p>
      <w:pPr>
        <w:pStyle w:val="Normal"/>
        <w:rPr/>
      </w:pPr>
      <w:r>
        <w:rPr>
          <w:rFonts w:cs="" w:ascii="Times new roman" w:hAnsi="Times new roman" w:cstheme="minorBidi"/>
          <w:b w:val="false"/>
          <w:i w:val="false"/>
          <w:caps w:val="false"/>
          <w:smallCaps w:val="false"/>
          <w:strike w:val="false"/>
          <w:dstrike w:val="false"/>
          <w:color w:val="000000"/>
          <w:spacing w:val="0"/>
          <w:sz w:val="24"/>
          <w:szCs w:val="24"/>
          <w:highlight w:val="yellow"/>
          <w:u w:val="none"/>
          <w:effect w:val="none"/>
        </w:rPr>
        <w:t>Sher, A., &amp; Coffman, R. L. (1992). Regulation of immunity to parasites by T cells and T cell-derived cytokines. Annual Review of Immunology, 10, 385–409.</w:t>
        <w:tab/>
        <w:t xml:space="preserve"> https://doi.org/10.1146/annurev.iy.10.040192.002125</w:t>
      </w:r>
    </w:p>
    <w:p>
      <w:pPr>
        <w:pStyle w:val="Normal"/>
        <w:rPr/>
      </w:pPr>
      <w:r>
        <w:rPr>
          <w:rFonts w:ascii="Times new roman" w:hAnsi="Times new roman"/>
        </w:rPr>
        <w:t>Simberloff, D. (1996). Hybridization between native and introduced wildlife species: importance for conservation. Wildlife Biology, 2(3), 143–151. https://doi.org/10.2981/wlb.1996.012</w:t>
      </w:r>
    </w:p>
    <w:p>
      <w:pPr>
        <w:pStyle w:val="Normal"/>
        <w:rPr/>
      </w:pPr>
      <w:r>
        <w:rPr>
          <w:rFonts w:ascii="Times new roman" w:hAnsi="Times new roman"/>
        </w:rPr>
        <w:t>Skevaki, C., Pararas, M., Kostelidou, K., Tsakris, A., &amp; Routsias, J. G. (2015). Single nucleotide polymorphisms of Toll-like receptors and susceptibility to infectious diseases. Clinical and Experimental Immunology, 180, 165–177. https://doi.org/10.1111/cei.12578</w:t>
      </w:r>
    </w:p>
    <w:p>
      <w:pPr>
        <w:pStyle w:val="Normal"/>
        <w:rPr/>
      </w:pPr>
      <w:r>
        <w:rPr>
          <w:rFonts w:ascii="Times new roman" w:hAnsi="Times new roman"/>
        </w:rPr>
        <w:t>Sterne, T. E. (1954). Some remarks on confidence or fiducial limits. Biometrika, 41, 275–278. https://doi.org/10.2307/2333026</w:t>
      </w:r>
    </w:p>
    <w:p>
      <w:pPr>
        <w:pStyle w:val="Normal"/>
        <w:rPr/>
      </w:pPr>
      <w:r>
        <w:rPr>
          <w:rFonts w:ascii="Times new roman" w:hAnsi="Times new roman"/>
        </w:rPr>
        <w:t>Taffs, L. F. (1976). Pinworm infections in laboratory rodents: a review. Laboratory Animals, 10, 1–13. https://doi.org/10.1258/002367776780948862</w:t>
      </w:r>
    </w:p>
    <w:p>
      <w:pPr>
        <w:pStyle w:val="Normal"/>
        <w:rPr/>
      </w:pPr>
      <w:r>
        <w:rPr>
          <w:rFonts w:ascii="Times new roman" w:hAnsi="Times new roman"/>
        </w:rPr>
        <w:t>Turner, L. M., Schwahn, D. J., &amp; Harr, B. (2012). Reduced male fertility is common but highly variable in form and severity in a natural house mouse hybrid zone. Evolution, 66, 443–458. https://doi.org/10.1111/j.1558-5646.2011.01445.x</w:t>
      </w:r>
    </w:p>
    <w:p>
      <w:pPr>
        <w:pStyle w:val="Normal"/>
        <w:rPr/>
      </w:pPr>
      <w:r>
        <w:rPr>
          <w:rFonts w:ascii="Times new roman" w:hAnsi="Times new roman"/>
        </w:rPr>
        <w:t>Venables, W. N., &amp; Ripley, B. D. (2002). Modern Applied Statistics with S (Fourth edition). New York, NY: Springer.</w:t>
      </w:r>
    </w:p>
    <w:p>
      <w:pPr>
        <w:pStyle w:val="Normal"/>
        <w:rPr/>
      </w:pPr>
      <w:r>
        <w:rPr>
          <w:rFonts w:ascii="Times new roman" w:hAnsi="Times new roman"/>
        </w:rPr>
        <w:t>Wickham, H. (2016). Ggplot2: Elegant graphics for data analysis (Second edition). New York, NY: Springer.</w:t>
      </w:r>
    </w:p>
    <w:p>
      <w:pPr>
        <w:pStyle w:val="Normal"/>
        <w:rPr/>
      </w:pPr>
      <w:r>
        <w:rPr>
          <w:rFonts w:ascii="Times new roman" w:hAnsi="Times new roman"/>
        </w:rPr>
        <w:t>Winternitz, J. C., Yabsley, M. J., &amp; Altizer, S. M. (2012). Parasite infection and host dynamics in a naturally fluctuating rodent population. Canadian Journal of Zoology, 90, 1149–1160. https://doi.org/10.1139/z2012-083</w:t>
      </w:r>
    </w:p>
    <w:p>
      <w:pPr>
        <w:pStyle w:val="Normal"/>
        <w:rPr/>
      </w:pPr>
      <w:r>
        <w:rPr>
          <w:rFonts w:ascii="Times new roman" w:hAnsi="Times new roman"/>
        </w:rPr>
        <w:t>Yang, H., Wang, J. R., Didion, J. P., Buus, R. J., Bell, T. A., Welsh, C. E., … Pialek, J. (2011). Subspecific origin and haplotype diversity in the laboratory mouse. Nature Genetics, 43, 648–655. https://doi.org/10.1038/ng.847</w:t>
      </w:r>
      <w:r>
        <w:br w:type="page"/>
      </w:r>
    </w:p>
    <w:p>
      <w:pPr>
        <w:pStyle w:val="Normal"/>
        <w:rPr/>
      </w:pPr>
      <w:bookmarkStart w:id="17" w:name="tables"/>
      <w:bookmarkEnd w:id="17"/>
      <w:r>
        <w:rPr>
          <w:rFonts w:ascii="Times new roman" w:hAnsi="Times new roman"/>
          <w:b/>
          <w:bCs/>
        </w:rPr>
        <w:t>Tables</w:t>
      </w:r>
    </w:p>
    <w:p>
      <w:pPr>
        <w:sectPr>
          <w:headerReference w:type="default" r:id="rId5"/>
          <w:footerReference w:type="default" r:id="rId6"/>
          <w:type w:val="nextPage"/>
          <w:pgSz w:w="12240" w:h="15840"/>
          <w:pgMar w:left="1440" w:right="1440" w:header="1440" w:top="2003" w:footer="1440" w:bottom="1720" w:gutter="0"/>
          <w:lnNumType w:countBy="1" w:restart="continuous" w:distance="283"/>
          <w:pgNumType w:fmt="decimal"/>
          <w:formProt w:val="false"/>
          <w:textDirection w:val="lrTb"/>
          <w:docGrid w:type="default" w:linePitch="240" w:charSpace="0"/>
        </w:sectPr>
        <w:pStyle w:val="Normal"/>
        <w:rPr/>
      </w:pPr>
      <w:r>
        <w:rPr>
          <w:rFonts w:ascii="Times new roman" w:hAnsi="Times new roman"/>
          <w:b/>
        </w:rPr>
        <w:t xml:space="preserve">Table 1. Parametrisation of fitted models. </w:t>
      </w:r>
      <w:r>
        <w:rPr>
          <w:rFonts w:ascii="Times new roman" w:hAnsi="Times new roman"/>
        </w:rPr>
        <w:t xml:space="preserve">Parameters estimated by maximum likelihood for each dataset. Alpha is the hybridization effect (deviation of parasite estimated load from the additive model) given with its significance p-value. If sexes are separated, corresponding parameters for each sex are given with symbols ♀ and ♂. Nested hypotheses are as follow. H0: same expected load for the subspecies and between sexes; H1: same expected load across sexes, but can differ across subspecies; H2: same expected load across subspecies, but can differ between the sexes; H3: expected load can differ both across subspecies and between sexes. </w:t>
      </w:r>
      <w:r>
        <w:rPr>
          <w:rFonts w:ascii="Times new roman" w:hAnsi="Times new roman"/>
          <w:i/>
        </w:rPr>
        <w:t>Mus musculus domesticus</w:t>
      </w:r>
      <w:r>
        <w:rPr>
          <w:rFonts w:ascii="Times new roman" w:hAnsi="Times new roman"/>
        </w:rPr>
        <w:t xml:space="preserve"> and </w:t>
      </w:r>
      <w:r>
        <w:rPr>
          <w:rFonts w:ascii="Times new roman" w:hAnsi="Times new roman"/>
          <w:i/>
        </w:rPr>
        <w:t>Mus musculus musculus</w:t>
      </w:r>
      <w:r>
        <w:rPr>
          <w:rFonts w:ascii="Times new roman" w:hAnsi="Times new roman"/>
        </w:rPr>
        <w:t xml:space="preserve"> are named hereafter Mmd and Mmm.</w:t>
      </w:r>
    </w:p>
    <w:tbl>
      <w:tblPr>
        <w:tblW w:w="13544" w:type="dxa"/>
        <w:jc w:val="left"/>
        <w:tblInd w:w="78" w:type="dxa"/>
        <w:tblBorders>
          <w:top w:val="single" w:sz="2" w:space="0" w:color="000001"/>
          <w:bottom w:val="single" w:sz="2" w:space="0" w:color="000001"/>
          <w:insideH w:val="single" w:sz="2" w:space="0" w:color="000001"/>
        </w:tblBorders>
        <w:tblCellMar>
          <w:top w:w="28" w:type="dxa"/>
          <w:left w:w="28" w:type="dxa"/>
          <w:bottom w:w="28" w:type="dxa"/>
          <w:right w:w="28" w:type="dxa"/>
        </w:tblCellMar>
      </w:tblPr>
      <w:tblGrid>
        <w:gridCol w:w="2274"/>
        <w:gridCol w:w="1010"/>
        <w:gridCol w:w="1795"/>
        <w:gridCol w:w="1693"/>
        <w:gridCol w:w="1693"/>
        <w:gridCol w:w="1693"/>
        <w:gridCol w:w="1693"/>
        <w:gridCol w:w="1691"/>
      </w:tblGrid>
      <w:tr>
        <w:trPr/>
        <w:tc>
          <w:tcPr>
            <w:tcW w:w="2274" w:type="dxa"/>
            <w:tcBorders>
              <w:top w:val="single" w:sz="2" w:space="0" w:color="000001"/>
              <w:bottom w:val="single" w:sz="2" w:space="0" w:color="000001"/>
              <w:insideH w:val="single" w:sz="2" w:space="0" w:color="000001"/>
            </w:tcBorders>
            <w:shd w:fill="EEEEEE" w:val="clear"/>
          </w:tcPr>
          <w:p>
            <w:pPr>
              <w:pStyle w:val="Normal"/>
              <w:spacing w:before="200" w:after="200"/>
              <w:jc w:val="center"/>
              <w:rPr/>
            </w:pPr>
            <w:r>
              <w:rPr>
                <w:rFonts w:ascii="Times new roman" w:hAnsi="Times new roman"/>
                <w:b/>
                <w:i/>
                <w:iCs/>
                <w:sz w:val="24"/>
                <w:szCs w:val="24"/>
              </w:rPr>
              <w:t>Eimeria</w:t>
            </w:r>
            <w:r>
              <w:rPr>
                <w:rFonts w:ascii="Times new roman" w:hAnsi="Times new roman"/>
                <w:b/>
                <w:sz w:val="24"/>
                <w:szCs w:val="24"/>
              </w:rPr>
              <w:t xml:space="preserve">  intensity</w:t>
            </w:r>
          </w:p>
        </w:tc>
        <w:tc>
          <w:tcPr>
            <w:tcW w:w="1010"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Hyp.</w:t>
            </w:r>
          </w:p>
        </w:tc>
        <w:tc>
          <w:tcPr>
            <w:tcW w:w="1795"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Alpha          (p-value)</w:t>
            </w:r>
          </w:p>
        </w:tc>
        <w:tc>
          <w:tcPr>
            <w:tcW w:w="3386" w:type="dxa"/>
            <w:gridSpan w:val="2"/>
            <w:tcBorders>
              <w:top w:val="single" w:sz="2" w:space="0" w:color="000001"/>
              <w:bottom w:val="single" w:sz="2" w:space="0" w:color="000001"/>
              <w:insideH w:val="single" w:sz="2" w:space="0" w:color="000001"/>
            </w:tcBorders>
            <w:shd w:fill="EEEEEE" w:val="clear"/>
          </w:tcPr>
          <w:p>
            <w:pPr>
              <w:pStyle w:val="TableContents"/>
              <w:spacing w:lineRule="auto" w:line="480" w:before="200" w:after="200"/>
              <w:jc w:val="center"/>
              <w:rPr/>
            </w:pPr>
            <w:r>
              <w:rPr>
                <w:rFonts w:ascii="Times new roman" w:hAnsi="Times new roman"/>
                <w:sz w:val="24"/>
                <w:szCs w:val="24"/>
              </w:rPr>
              <w:t xml:space="preserve">Load in </w:t>
            </w:r>
            <w:r>
              <w:rPr>
                <w:rFonts w:eastAsia="Liberation Serif" w:cs="Liberation Serif" w:ascii="Times new roman" w:hAnsi="Times new roman"/>
                <w:color w:val="000000"/>
                <w:sz w:val="24"/>
                <w:szCs w:val="24"/>
              </w:rPr>
              <w:t xml:space="preserve">ΔCt for both parental subspecies </w:t>
            </w:r>
          </w:p>
        </w:tc>
        <w:tc>
          <w:tcPr>
            <w:tcW w:w="1693"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Shape</w:t>
            </w:r>
          </w:p>
        </w:tc>
        <w:tc>
          <w:tcPr>
            <w:tcW w:w="3384" w:type="dxa"/>
            <w:gridSpan w:val="2"/>
            <w:vMerge w:val="restart"/>
            <w:tcBorders>
              <w:top w:val="single" w:sz="2" w:space="0" w:color="000001"/>
              <w:bottom w:val="single" w:sz="2" w:space="0" w:color="000001"/>
              <w:insideH w:val="single" w:sz="2" w:space="0" w:color="000001"/>
            </w:tcBorders>
            <w:shd w:fill="FFFFFF" w:val="clear"/>
            <w:tcMar>
              <w:top w:w="0" w:type="dxa"/>
              <w:left w:w="0" w:type="dxa"/>
              <w:bottom w:w="0" w:type="dxa"/>
              <w:right w:w="0" w:type="dxa"/>
            </w:tcMar>
          </w:tcPr>
          <w:p>
            <w:pPr>
              <w:pStyle w:val="TableContents"/>
              <w:spacing w:before="200" w:after="200"/>
              <w:jc w:val="center"/>
              <w:rPr>
                <w:rFonts w:ascii="Times new roman" w:hAnsi="Times new roman"/>
                <w:sz w:val="24"/>
                <w:szCs w:val="24"/>
              </w:rPr>
            </w:pPr>
            <w:r>
              <w:rPr>
                <w:rFonts w:ascii="Times new roman" w:hAnsi="Times new roman"/>
                <w:sz w:val="24"/>
                <w:szCs w:val="24"/>
              </w:rPr>
            </w:r>
          </w:p>
        </w:tc>
      </w:tr>
      <w:tr>
        <w:trPr/>
        <w:tc>
          <w:tcPr>
            <w:tcW w:w="2274" w:type="dxa"/>
            <w:tcBorders>
              <w:top w:val="single" w:sz="2" w:space="0" w:color="000001"/>
              <w:bottom w:val="single" w:sz="2" w:space="0" w:color="000001"/>
              <w:insideH w:val="single" w:sz="2" w:space="0" w:color="000001"/>
            </w:tcBorders>
            <w:shd w:fill="FFFFFF" w:val="clear"/>
          </w:tcPr>
          <w:p>
            <w:pPr>
              <w:pStyle w:val="Normal"/>
              <w:spacing w:lineRule="auto" w:line="240" w:before="200" w:after="200"/>
              <w:jc w:val="center"/>
              <w:rPr/>
            </w:pPr>
            <w:r>
              <w:rPr>
                <w:rFonts w:ascii="Times new roman" w:hAnsi="Times new roman"/>
                <w:sz w:val="24"/>
                <w:szCs w:val="24"/>
              </w:rPr>
              <w:t>present study</w:t>
            </w:r>
            <w:r>
              <w:rPr>
                <w:rFonts w:cs="" w:ascii="Times new roman" w:hAnsi="Times new roman" w:cstheme="minorBidi"/>
                <w:sz w:val="24"/>
                <w:szCs w:val="24"/>
                <w:highlight w:val="yellow"/>
              </w:rPr>
              <w:t xml:space="preserve">, </w:t>
            </w:r>
          </w:p>
          <w:p>
            <w:pPr>
              <w:pStyle w:val="Normal"/>
              <w:spacing w:lineRule="auto" w:line="240" w:before="200" w:after="200"/>
              <w:jc w:val="center"/>
              <w:rPr>
                <w:rFonts w:eastAsia="Cambria" w:cs="" w:cstheme="minorBidi" w:eastAsiaTheme="minorHAnsi"/>
                <w:highlight w:val="yellow"/>
              </w:rPr>
            </w:pPr>
            <w:r>
              <w:rPr>
                <w:rFonts w:eastAsia="Cambria" w:cs="" w:ascii="Times new roman" w:hAnsi="Times new roman" w:cstheme="minorBidi" w:eastAsiaTheme="minorHAnsi"/>
                <w:i/>
                <w:iCs/>
                <w:sz w:val="24"/>
                <w:szCs w:val="24"/>
                <w:highlight w:val="yellow"/>
              </w:rPr>
              <w:t>Eimeria</w:t>
            </w:r>
            <w:r>
              <w:rPr>
                <w:rFonts w:eastAsia="Cambria" w:cs="" w:ascii="Times new roman" w:hAnsi="Times new roman" w:cstheme="minorBidi" w:eastAsiaTheme="minorHAnsi"/>
                <w:sz w:val="24"/>
                <w:szCs w:val="24"/>
                <w:highlight w:val="yellow"/>
              </w:rPr>
              <w:t xml:space="preserve"> sp.</w:t>
            </w:r>
          </w:p>
        </w:tc>
        <w:tc>
          <w:tcPr>
            <w:tcW w:w="1010"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H0</w:t>
            </w:r>
          </w:p>
        </w:tc>
        <w:tc>
          <w:tcPr>
            <w:tcW w:w="1795"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0.74 (0.02)</w:t>
            </w:r>
          </w:p>
        </w:tc>
        <w:tc>
          <w:tcPr>
            <w:tcW w:w="3386" w:type="dxa"/>
            <w:gridSpan w:val="2"/>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-0.70</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2.33</w:t>
            </w:r>
          </w:p>
        </w:tc>
        <w:tc>
          <w:tcPr>
            <w:tcW w:w="3384" w:type="dxa"/>
            <w:gridSpan w:val="2"/>
            <w:vMerge w:val="continue"/>
            <w:tcBorders>
              <w:top w:val="single" w:sz="2" w:space="0" w:color="000001"/>
              <w:bottom w:val="single" w:sz="2" w:space="0" w:color="000001"/>
              <w:insideH w:val="single" w:sz="2" w:space="0" w:color="000001"/>
            </w:tcBorders>
            <w:shd w:fill="FFFFFF" w:val="clear"/>
            <w:tcMar>
              <w:top w:w="0" w:type="dxa"/>
              <w:left w:w="0" w:type="dxa"/>
              <w:bottom w:w="0" w:type="dxa"/>
              <w:right w:w="0" w:type="dxa"/>
            </w:tcMar>
          </w:tcPr>
          <w:p>
            <w:pPr>
              <w:pStyle w:val="Normal"/>
              <w:spacing w:before="0" w:after="200"/>
              <w:rPr>
                <w:rFonts w:ascii="Times new roman" w:hAnsi="Times new roman"/>
              </w:rPr>
            </w:pPr>
            <w:r>
              <w:rPr>
                <w:rFonts w:ascii="Times new roman" w:hAnsi="Times new roman"/>
              </w:rPr>
            </w:r>
          </w:p>
        </w:tc>
      </w:tr>
      <w:tr>
        <w:trPr/>
        <w:tc>
          <w:tcPr>
            <w:tcW w:w="2274" w:type="dxa"/>
            <w:tcBorders>
              <w:top w:val="single" w:sz="2" w:space="0" w:color="000001"/>
              <w:bottom w:val="single" w:sz="2" w:space="0" w:color="000001"/>
              <w:insideH w:val="single" w:sz="2" w:space="0" w:color="000001"/>
            </w:tcBorders>
            <w:shd w:fill="FFFFFF" w:val="clear"/>
          </w:tcPr>
          <w:p>
            <w:pPr>
              <w:pStyle w:val="Normal"/>
              <w:spacing w:lineRule="auto" w:line="240" w:before="200" w:after="200"/>
              <w:jc w:val="center"/>
              <w:rPr/>
            </w:pPr>
            <w:r>
              <w:rPr>
                <w:rFonts w:cs="" w:ascii="Times new roman" w:hAnsi="Times new roman" w:cstheme="minorBidi"/>
                <w:sz w:val="24"/>
                <w:szCs w:val="24"/>
                <w:highlight w:val="yellow"/>
              </w:rPr>
              <w:t xml:space="preserve">present study, </w:t>
            </w:r>
          </w:p>
          <w:p>
            <w:pPr>
              <w:pStyle w:val="Normal"/>
              <w:spacing w:lineRule="auto" w:line="240" w:before="200" w:after="200"/>
              <w:jc w:val="center"/>
              <w:rPr>
                <w:rFonts w:eastAsia="Cambria" w:cs="" w:cstheme="minorBidi" w:eastAsiaTheme="minorHAnsi"/>
                <w:highlight w:val="yellow"/>
              </w:rPr>
            </w:pPr>
            <w:r>
              <w:rPr>
                <w:rFonts w:eastAsia="Cambria" w:cs="" w:ascii="Times new roman" w:hAnsi="Times new roman" w:cstheme="minorBidi" w:eastAsiaTheme="minorHAnsi"/>
                <w:i/>
                <w:iCs/>
                <w:sz w:val="24"/>
                <w:szCs w:val="24"/>
                <w:highlight w:val="yellow"/>
              </w:rPr>
              <w:t>Eimeria ferrisi</w:t>
            </w:r>
          </w:p>
        </w:tc>
        <w:tc>
          <w:tcPr>
            <w:tcW w:w="1010"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rFonts w:eastAsia="Cambria" w:cs="" w:cstheme="minorBidi" w:eastAsiaTheme="minorHAnsi"/>
                <w:highlight w:val="yellow"/>
              </w:rPr>
            </w:pPr>
            <w:r>
              <w:rPr>
                <w:rFonts w:eastAsia="Cambria" w:cs="" w:ascii="Times new roman" w:hAnsi="Times new roman" w:cstheme="minorBidi" w:eastAsiaTheme="minorHAnsi"/>
                <w:sz w:val="24"/>
                <w:szCs w:val="24"/>
                <w:highlight w:val="yellow"/>
              </w:rPr>
              <w:t>H0</w:t>
            </w:r>
          </w:p>
        </w:tc>
        <w:tc>
          <w:tcPr>
            <w:tcW w:w="1795"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rFonts w:eastAsia="Cambria" w:cs="" w:cstheme="minorBidi" w:eastAsiaTheme="minorHAnsi"/>
                <w:highlight w:val="yellow"/>
              </w:rPr>
            </w:pPr>
            <w:r>
              <w:rPr>
                <w:rFonts w:eastAsia="Cambria" w:cs="" w:ascii="Times new roman" w:hAnsi="Times new roman" w:cstheme="minorBidi" w:eastAsiaTheme="minorHAnsi"/>
                <w:sz w:val="24"/>
                <w:szCs w:val="24"/>
                <w:highlight w:val="yellow"/>
              </w:rPr>
              <w:t>0.74 (0.02)</w:t>
            </w:r>
          </w:p>
        </w:tc>
        <w:tc>
          <w:tcPr>
            <w:tcW w:w="3386" w:type="dxa"/>
            <w:gridSpan w:val="2"/>
            <w:tcBorders>
              <w:top w:val="single" w:sz="2" w:space="0" w:color="000001"/>
              <w:bottom w:val="single" w:sz="2" w:space="0" w:color="000001"/>
              <w:insideH w:val="single" w:sz="2" w:space="0" w:color="000001"/>
            </w:tcBorders>
            <w:shd w:fill="FFFFFF" w:val="clear"/>
          </w:tcPr>
          <w:p>
            <w:pPr>
              <w:pStyle w:val="TableContents"/>
              <w:spacing w:before="200" w:after="200"/>
              <w:jc w:val="center"/>
              <w:rPr>
                <w:rFonts w:eastAsia="Cambria" w:cs="" w:cstheme="minorBidi" w:eastAsiaTheme="minorHAnsi"/>
                <w:highlight w:val="yellow"/>
              </w:rPr>
            </w:pPr>
            <w:r>
              <w:rPr>
                <w:rFonts w:eastAsia="Cambria" w:cs="" w:ascii="Times new roman" w:hAnsi="Times new roman" w:cstheme="minorBidi" w:eastAsiaTheme="minorHAnsi"/>
                <w:sz w:val="24"/>
                <w:szCs w:val="24"/>
                <w:highlight w:val="yellow"/>
              </w:rPr>
              <w:t>-0.70</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rFonts w:eastAsia="Cambria" w:cs="" w:cstheme="minorBidi" w:eastAsiaTheme="minorHAnsi"/>
                <w:highlight w:val="yellow"/>
              </w:rPr>
            </w:pPr>
            <w:r>
              <w:rPr>
                <w:rFonts w:eastAsia="Cambria" w:cs="" w:ascii="Times new roman" w:hAnsi="Times new roman" w:cstheme="minorBidi" w:eastAsiaTheme="minorHAnsi"/>
                <w:sz w:val="24"/>
                <w:szCs w:val="24"/>
                <w:highlight w:val="yellow"/>
              </w:rPr>
              <w:t>2.33</w:t>
            </w:r>
          </w:p>
        </w:tc>
        <w:tc>
          <w:tcPr>
            <w:tcW w:w="3384" w:type="dxa"/>
            <w:gridSpan w:val="2"/>
            <w:vMerge w:val="continue"/>
            <w:tcBorders>
              <w:top w:val="single" w:sz="2" w:space="0" w:color="000001"/>
              <w:bottom w:val="single" w:sz="2" w:space="0" w:color="000001"/>
              <w:insideH w:val="single" w:sz="2" w:space="0" w:color="000001"/>
            </w:tcBorders>
            <w:shd w:fill="FFFFFF" w:val="clear"/>
            <w:tcMar>
              <w:top w:w="0" w:type="dxa"/>
              <w:left w:w="0" w:type="dxa"/>
              <w:bottom w:w="0" w:type="dxa"/>
              <w:right w:w="0" w:type="dxa"/>
            </w:tcMar>
          </w:tcPr>
          <w:p>
            <w:pPr>
              <w:pStyle w:val="Normal"/>
              <w:spacing w:before="0" w:after="200"/>
              <w:rPr>
                <w:rFonts w:ascii="Times new roman" w:hAnsi="Times new roman"/>
              </w:rPr>
            </w:pPr>
            <w:r>
              <w:rPr>
                <w:rFonts w:ascii="Times new roman" w:hAnsi="Times new roman"/>
              </w:rPr>
            </w:r>
          </w:p>
        </w:tc>
      </w:tr>
      <w:tr>
        <w:trPr/>
        <w:tc>
          <w:tcPr>
            <w:tcW w:w="2274" w:type="dxa"/>
            <w:tcBorders>
              <w:top w:val="single" w:sz="2" w:space="0" w:color="000001"/>
              <w:bottom w:val="single" w:sz="2" w:space="0" w:color="000001"/>
              <w:insideH w:val="single" w:sz="2" w:space="0" w:color="000001"/>
            </w:tcBorders>
            <w:shd w:fill="EEEEEE" w:val="clear"/>
          </w:tcPr>
          <w:p>
            <w:pPr>
              <w:pStyle w:val="Normal"/>
              <w:spacing w:before="200" w:after="200"/>
              <w:jc w:val="center"/>
              <w:rPr/>
            </w:pPr>
            <w:r>
              <w:rPr>
                <w:rFonts w:ascii="Times new roman" w:hAnsi="Times new roman"/>
                <w:b/>
                <w:sz w:val="24"/>
                <w:szCs w:val="24"/>
              </w:rPr>
              <w:t>Pinworm intensity</w:t>
            </w:r>
          </w:p>
        </w:tc>
        <w:tc>
          <w:tcPr>
            <w:tcW w:w="1010"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Hyp.</w:t>
            </w:r>
          </w:p>
        </w:tc>
        <w:tc>
          <w:tcPr>
            <w:tcW w:w="1795"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Alpha          (p-value)</w:t>
            </w:r>
          </w:p>
        </w:tc>
        <w:tc>
          <w:tcPr>
            <w:tcW w:w="1693"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 xml:space="preserve">Load in count  </w:t>
            </w:r>
            <w:r>
              <w:rPr>
                <w:rFonts w:ascii="Times new roman" w:hAnsi="Times new roman"/>
                <w:i w:val="false"/>
                <w:iCs w:val="false"/>
                <w:sz w:val="24"/>
                <w:szCs w:val="24"/>
              </w:rPr>
              <w:t>Mmd</w:t>
            </w:r>
          </w:p>
        </w:tc>
        <w:tc>
          <w:tcPr>
            <w:tcW w:w="1693"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 xml:space="preserve">Load in count  </w:t>
            </w:r>
            <w:r>
              <w:rPr>
                <w:rFonts w:ascii="Times new roman" w:hAnsi="Times new roman"/>
                <w:i w:val="false"/>
                <w:iCs w:val="false"/>
                <w:sz w:val="24"/>
                <w:szCs w:val="24"/>
              </w:rPr>
              <w:t>Mmm</w:t>
            </w:r>
          </w:p>
        </w:tc>
        <w:tc>
          <w:tcPr>
            <w:tcW w:w="1693"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 xml:space="preserve">Aggregation </w:t>
            </w:r>
            <w:r>
              <w:rPr>
                <w:rFonts w:ascii="Times new roman" w:hAnsi="Times new roman"/>
                <w:i w:val="false"/>
                <w:iCs w:val="false"/>
                <w:sz w:val="24"/>
                <w:szCs w:val="24"/>
              </w:rPr>
              <w:t>Mmd</w:t>
            </w:r>
          </w:p>
        </w:tc>
        <w:tc>
          <w:tcPr>
            <w:tcW w:w="1693"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 xml:space="preserve">Aggregation  </w:t>
            </w:r>
            <w:r>
              <w:rPr>
                <w:rFonts w:ascii="Times new roman" w:hAnsi="Times new roman"/>
                <w:i w:val="false"/>
                <w:iCs w:val="false"/>
                <w:sz w:val="24"/>
                <w:szCs w:val="24"/>
              </w:rPr>
              <w:t>Mmm</w:t>
            </w:r>
          </w:p>
        </w:tc>
        <w:tc>
          <w:tcPr>
            <w:tcW w:w="1691"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Z parameter</w:t>
            </w:r>
          </w:p>
        </w:tc>
      </w:tr>
      <w:tr>
        <w:trPr/>
        <w:tc>
          <w:tcPr>
            <w:tcW w:w="2274" w:type="dxa"/>
            <w:tcBorders>
              <w:top w:val="single" w:sz="2" w:space="0" w:color="000001"/>
              <w:bottom w:val="single" w:sz="2" w:space="0" w:color="000001"/>
              <w:insideH w:val="single" w:sz="2" w:space="0" w:color="000001"/>
            </w:tcBorders>
            <w:shd w:fill="FFFFFF" w:val="clear"/>
          </w:tcPr>
          <w:p>
            <w:pPr>
              <w:pStyle w:val="Normal"/>
              <w:bidi w:val="0"/>
              <w:spacing w:before="200" w:after="200"/>
              <w:jc w:val="center"/>
              <w:textAlignment w:val="center"/>
              <w:rPr>
                <w:rFonts w:ascii="Times new roman" w:hAnsi="Times new roman"/>
                <w:sz w:val="24"/>
                <w:szCs w:val="24"/>
              </w:rPr>
            </w:pPr>
            <w:r>
              <w:rPr>
                <w:rFonts w:ascii="Times new roman" w:hAnsi="Times new roman"/>
                <w:sz w:val="24"/>
                <w:szCs w:val="24"/>
              </w:rPr>
            </w:r>
          </w:p>
          <w:p>
            <w:pPr>
              <w:pStyle w:val="Normal"/>
              <w:bidi w:val="0"/>
              <w:spacing w:before="200" w:after="200"/>
              <w:jc w:val="center"/>
              <w:textAlignment w:val="center"/>
              <w:rPr/>
            </w:pPr>
            <w:r>
              <w:rPr>
                <w:rFonts w:ascii="Times new roman" w:hAnsi="Times new roman"/>
                <w:sz w:val="24"/>
                <w:szCs w:val="24"/>
              </w:rPr>
              <w:t>present study</w:t>
            </w:r>
          </w:p>
        </w:tc>
        <w:tc>
          <w:tcPr>
            <w:tcW w:w="1010" w:type="dxa"/>
            <w:tcBorders>
              <w:top w:val="single" w:sz="2" w:space="0" w:color="000001"/>
              <w:bottom w:val="single" w:sz="2" w:space="0" w:color="000001"/>
              <w:insideH w:val="single" w:sz="2" w:space="0" w:color="000001"/>
            </w:tcBorders>
            <w:shd w:fill="FFFFFF" w:val="clear"/>
          </w:tcPr>
          <w:p>
            <w:pPr>
              <w:pStyle w:val="TableContents"/>
              <w:bidi w:val="0"/>
              <w:spacing w:before="200" w:after="200"/>
              <w:jc w:val="center"/>
              <w:textAlignment w:val="center"/>
              <w:rPr>
                <w:rFonts w:ascii="Times new roman" w:hAnsi="Times new roman"/>
                <w:sz w:val="24"/>
                <w:szCs w:val="24"/>
              </w:rPr>
            </w:pPr>
            <w:r>
              <w:rPr>
                <w:rFonts w:ascii="Times new roman" w:hAnsi="Times new roman"/>
                <w:sz w:val="24"/>
                <w:szCs w:val="24"/>
              </w:rPr>
            </w:r>
          </w:p>
          <w:p>
            <w:pPr>
              <w:pStyle w:val="TableContents"/>
              <w:bidi w:val="0"/>
              <w:spacing w:before="200" w:after="200"/>
              <w:jc w:val="center"/>
              <w:textAlignment w:val="center"/>
              <w:rPr/>
            </w:pPr>
            <w:r>
              <w:rPr>
                <w:rFonts w:ascii="Times new roman" w:hAnsi="Times new roman"/>
                <w:sz w:val="24"/>
                <w:szCs w:val="24"/>
              </w:rPr>
              <w:t>H3</w:t>
            </w:r>
          </w:p>
        </w:tc>
        <w:tc>
          <w:tcPr>
            <w:tcW w:w="1795"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0.91     (0.04)</w:t>
            </w:r>
          </w:p>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1.46 (&lt;0.001)</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35.57</w:t>
            </w:r>
          </w:p>
          <w:p>
            <w:pPr>
              <w:pStyle w:val="TableContents"/>
              <w:spacing w:before="200" w:after="200"/>
              <w:jc w:val="center"/>
              <w:rPr>
                <w:rFonts w:ascii="Times new roman" w:hAnsi="Times new roman"/>
                <w:sz w:val="24"/>
                <w:szCs w:val="24"/>
              </w:rPr>
            </w:pPr>
            <w:r>
              <w:rPr>
                <w:rFonts w:ascii="Times new roman" w:hAnsi="Times new roman"/>
                <w:sz w:val="24"/>
                <w:szCs w:val="24"/>
              </w:rPr>
            </w:r>
          </w:p>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30.38</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68.67</w:t>
            </w:r>
          </w:p>
          <w:p>
            <w:pPr>
              <w:pStyle w:val="TableContents"/>
              <w:spacing w:before="200" w:after="200"/>
              <w:jc w:val="center"/>
              <w:rPr>
                <w:rFonts w:ascii="Times new roman" w:hAnsi="Times new roman"/>
                <w:sz w:val="24"/>
                <w:szCs w:val="24"/>
              </w:rPr>
            </w:pPr>
            <w:r>
              <w:rPr>
                <w:rFonts w:ascii="Times new roman" w:hAnsi="Times new roman"/>
                <w:sz w:val="24"/>
                <w:szCs w:val="24"/>
              </w:rPr>
            </w:r>
          </w:p>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51.86</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1.45</w:t>
            </w:r>
          </w:p>
          <w:p>
            <w:pPr>
              <w:pStyle w:val="TableContents"/>
              <w:spacing w:before="200" w:after="200"/>
              <w:jc w:val="center"/>
              <w:rPr>
                <w:rFonts w:ascii="Times new roman" w:hAnsi="Times new roman"/>
                <w:sz w:val="24"/>
                <w:szCs w:val="24"/>
              </w:rPr>
            </w:pPr>
            <w:r>
              <w:rPr>
                <w:rFonts w:ascii="Times new roman" w:hAnsi="Times new roman"/>
                <w:sz w:val="24"/>
                <w:szCs w:val="24"/>
              </w:rPr>
            </w:r>
          </w:p>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2.10</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2.00</w:t>
            </w:r>
          </w:p>
          <w:p>
            <w:pPr>
              <w:pStyle w:val="TableContents"/>
              <w:spacing w:before="200" w:after="200"/>
              <w:jc w:val="center"/>
              <w:rPr>
                <w:rFonts w:ascii="Times new roman" w:hAnsi="Times new roman"/>
                <w:sz w:val="24"/>
                <w:szCs w:val="24"/>
              </w:rPr>
            </w:pPr>
            <w:r>
              <w:rPr>
                <w:rFonts w:ascii="Times new roman" w:hAnsi="Times new roman"/>
                <w:sz w:val="24"/>
                <w:szCs w:val="24"/>
              </w:rPr>
            </w:r>
          </w:p>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1.33</w:t>
            </w:r>
          </w:p>
        </w:tc>
        <w:tc>
          <w:tcPr>
            <w:tcW w:w="1691"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-1.04</w:t>
            </w:r>
          </w:p>
          <w:p>
            <w:pPr>
              <w:pStyle w:val="TableContents"/>
              <w:spacing w:before="200" w:after="200"/>
              <w:jc w:val="center"/>
              <w:rPr>
                <w:rFonts w:ascii="Times new roman" w:hAnsi="Times new roman"/>
                <w:sz w:val="24"/>
                <w:szCs w:val="24"/>
              </w:rPr>
            </w:pPr>
            <w:r>
              <w:rPr>
                <w:rFonts w:ascii="Times new roman" w:hAnsi="Times new roman"/>
                <w:sz w:val="24"/>
                <w:szCs w:val="24"/>
              </w:rPr>
            </w:r>
          </w:p>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-1.23</w:t>
            </w:r>
          </w:p>
        </w:tc>
      </w:tr>
      <w:tr>
        <w:trPr/>
        <w:tc>
          <w:tcPr>
            <w:tcW w:w="2274" w:type="dxa"/>
            <w:tcBorders>
              <w:top w:val="single" w:sz="2" w:space="0" w:color="000001"/>
              <w:bottom w:val="single" w:sz="2" w:space="0" w:color="000001"/>
              <w:insideH w:val="single" w:sz="2" w:space="0" w:color="000001"/>
            </w:tcBorders>
            <w:shd w:fill="FFFFFF" w:val="clear"/>
          </w:tcPr>
          <w:p>
            <w:pPr>
              <w:pStyle w:val="Normal"/>
              <w:spacing w:before="200" w:after="200"/>
              <w:jc w:val="center"/>
              <w:rPr/>
            </w:pPr>
            <w:r>
              <w:rPr>
                <w:rFonts w:ascii="Times new roman" w:hAnsi="Times new roman"/>
                <w:sz w:val="24"/>
                <w:szCs w:val="24"/>
              </w:rPr>
              <w:t>present study (data from Baird et al. 2012)</w:t>
            </w:r>
          </w:p>
        </w:tc>
        <w:tc>
          <w:tcPr>
            <w:tcW w:w="1010"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H1</w:t>
            </w:r>
          </w:p>
        </w:tc>
        <w:tc>
          <w:tcPr>
            <w:tcW w:w="1795"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1.21 (&lt;0.001)</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94.37</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46.81</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1.88</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1.34</w:t>
            </w:r>
          </w:p>
        </w:tc>
        <w:tc>
          <w:tcPr>
            <w:tcW w:w="1691"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-0.13</w:t>
            </w:r>
          </w:p>
        </w:tc>
      </w:tr>
    </w:tbl>
    <w:p>
      <w:pPr>
        <w:sectPr>
          <w:headerReference w:type="default" r:id="rId7"/>
          <w:footerReference w:type="default" r:id="rId8"/>
          <w:type w:val="nextPage"/>
          <w:pgSz w:orient="landscape" w:w="15840" w:h="12240"/>
          <w:pgMar w:left="1134" w:right="1134" w:header="0" w:top="1134" w:footer="0" w:bottom="1134" w:gutter="0"/>
          <w:lnNumType w:countBy="1" w:restart="continuous" w:distance="283"/>
          <w:pgNumType w:fmt="decimal"/>
          <w:formProt w:val="false"/>
          <w:textDirection w:val="lrTb"/>
          <w:docGrid w:type="default" w:linePitch="240" w:charSpace="0"/>
        </w:sectPr>
        <w:pStyle w:val="Normal"/>
        <w:rPr>
          <w:rFonts w:ascii="Times new roman" w:hAnsi="Times new roman"/>
        </w:rPr>
      </w:pPr>
      <w:r>
        <w:rPr>
          <w:rFonts w:ascii="Times new roman" w:hAnsi="Times new roman"/>
        </w:rPr>
      </w:r>
    </w:p>
    <w:p>
      <w:pPr>
        <w:pStyle w:val="Normal"/>
        <w:rPr/>
      </w:pPr>
      <w:bookmarkStart w:id="18" w:name="figure-legends"/>
      <w:bookmarkEnd w:id="18"/>
      <w:r>
        <w:rPr>
          <w:rFonts w:ascii="Times new roman" w:hAnsi="Times new roman"/>
          <w:b/>
          <w:bCs/>
        </w:rPr>
        <w:t>Figure legends</w:t>
      </w:r>
    </w:p>
    <w:p>
      <w:pPr>
        <w:pStyle w:val="Normal"/>
        <w:rPr/>
      </w:pPr>
      <w:r>
        <w:rPr>
          <w:rFonts w:ascii="Times new roman" w:hAnsi="Times new roman"/>
          <w:b/>
        </w:rPr>
        <w:t>Figure 1. Geographic range of house mouse subspecies in the European house mouse hybrid zone.</w:t>
      </w:r>
      <w:r>
        <w:rPr>
          <w:rFonts w:ascii="Times new roman" w:hAnsi="Times new roman"/>
        </w:rPr>
        <w:t xml:space="preserve"> Spatial organization of the HMHZ was inferred using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all individuals with 6 autosomal markers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available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(N=598 mice)</w:t>
      </w:r>
      <w:r>
        <w:rPr>
          <w:rFonts w:ascii="Times new roman" w:hAnsi="Times new roman"/>
        </w:rPr>
        <w:t xml:space="preserve"> (</w:t>
      </w:r>
      <w:r>
        <w:rPr>
          <w:rFonts w:ascii="Times new roman" w:hAnsi="Times new roman"/>
          <w:i/>
        </w:rPr>
        <w:t>Es1</w:t>
      </w:r>
      <w:r>
        <w:rPr>
          <w:rFonts w:ascii="Times new roman" w:hAnsi="Times new roman"/>
        </w:rPr>
        <w:t xml:space="preserve">, </w:t>
      </w:r>
      <w:r>
        <w:rPr>
          <w:rFonts w:ascii="Times new roman" w:hAnsi="Times new roman"/>
          <w:i/>
        </w:rPr>
        <w:t>H6pd</w:t>
      </w:r>
      <w:r>
        <w:rPr>
          <w:rFonts w:ascii="Times new roman" w:hAnsi="Times new roman"/>
        </w:rPr>
        <w:t xml:space="preserve">, </w:t>
      </w:r>
      <w:r>
        <w:rPr>
          <w:rFonts w:ascii="Times new roman" w:hAnsi="Times new roman"/>
          <w:i/>
        </w:rPr>
        <w:t>Idh1</w:t>
      </w:r>
      <w:r>
        <w:rPr>
          <w:rFonts w:ascii="Times new roman" w:hAnsi="Times new roman"/>
        </w:rPr>
        <w:t xml:space="preserve">, </w:t>
      </w:r>
      <w:r>
        <w:rPr>
          <w:rFonts w:ascii="Times new roman" w:hAnsi="Times new roman"/>
          <w:i/>
        </w:rPr>
        <w:t>Mpi</w:t>
      </w:r>
      <w:r>
        <w:rPr>
          <w:rFonts w:ascii="Times new roman" w:hAnsi="Times new roman"/>
        </w:rPr>
        <w:t xml:space="preserve">, </w:t>
      </w:r>
      <w:r>
        <w:rPr>
          <w:rFonts w:ascii="Times new roman" w:hAnsi="Times new roman"/>
          <w:i/>
        </w:rPr>
        <w:t>Np</w:t>
      </w:r>
      <w:r>
        <w:rPr>
          <w:rFonts w:ascii="Times new roman" w:hAnsi="Times new roman"/>
        </w:rPr>
        <w:t xml:space="preserve">, </w:t>
      </w:r>
      <w:r>
        <w:rPr>
          <w:rFonts w:ascii="Times new roman" w:hAnsi="Times new roman"/>
          <w:i/>
        </w:rPr>
        <w:t>Sod1</w:t>
      </w:r>
      <w:r>
        <w:rPr>
          <w:rFonts w:ascii="Times new roman" w:hAnsi="Times new roman"/>
        </w:rPr>
        <w:t xml:space="preserve">). </w:t>
      </w:r>
      <w:r>
        <w:rPr>
          <w:rFonts w:ascii="Times new roman" w:hAnsi="Times new roman"/>
          <w:i/>
        </w:rPr>
        <w:t>Mus musculus domesticus</w:t>
      </w:r>
      <w:r>
        <w:rPr>
          <w:rFonts w:ascii="Times new roman" w:hAnsi="Times new roman"/>
        </w:rPr>
        <w:t xml:space="preserve"> is found west of the hybrid zone (blue), </w:t>
      </w:r>
      <w:r>
        <w:rPr>
          <w:rFonts w:ascii="Times new roman" w:hAnsi="Times new roman"/>
          <w:i/>
        </w:rPr>
        <w:t>Mus musculus musculus</w:t>
      </w:r>
      <w:r>
        <w:rPr>
          <w:rFonts w:ascii="Times new roman" w:hAnsi="Times new roman"/>
        </w:rPr>
        <w:t xml:space="preserve"> east of it (red). The numbers at the level contours indicate posterior probabilities of population membership for each mouse subspecies. White dots represent each mouse included in the study.</w:t>
      </w:r>
    </w:p>
    <w:p>
      <w:pPr>
        <w:pStyle w:val="Normal"/>
        <w:rPr/>
      </w:pPr>
      <w:r>
        <w:rPr>
          <w:rFonts w:ascii="Times new roman" w:hAnsi="Times new roman"/>
          <w:b/>
        </w:rPr>
        <w:t xml:space="preserve">Figure 2. Probability of infection is constant and intensity of </w:t>
      </w:r>
      <w:r>
        <w:rPr>
          <w:rFonts w:ascii="Times new roman" w:hAnsi="Times new roman"/>
          <w:b/>
          <w:i/>
        </w:rPr>
        <w:t>Eimeria</w:t>
      </w:r>
      <w:r>
        <w:rPr>
          <w:rFonts w:ascii="Times new roman" w:hAnsi="Times new roman"/>
          <w:b/>
        </w:rPr>
        <w:t xml:space="preserve"> infection is reduced in hybrids.</w:t>
      </w:r>
      <w:r>
        <w:rPr>
          <w:rFonts w:ascii="Times new roman" w:hAnsi="Times new roman"/>
        </w:rPr>
        <w:t xml:space="preserve"> Individual mice tested for detection and quantification of </w:t>
      </w:r>
      <w:r>
        <w:rPr>
          <w:rFonts w:ascii="Times new roman" w:hAnsi="Times new roman"/>
          <w:i/>
        </w:rPr>
        <w:t>Eimeria</w:t>
      </w:r>
      <w:r>
        <w:rPr>
          <w:rFonts w:ascii="Times new roman" w:hAnsi="Times new roman"/>
        </w:rPr>
        <w:t xml:space="preserve"> spp. tissue stages (a) and mice tested positive (c) are displayed on a map (</w:t>
      </w:r>
      <w:r>
        <w:rPr>
          <w:rFonts w:cs="" w:ascii="Times new roman" w:hAnsi="Times new roman" w:cstheme="minorBidi"/>
          <w:highlight w:val="yellow"/>
        </w:rPr>
        <w:t>point color indicate</w:t>
      </w:r>
      <w:r>
        <w:rPr>
          <w:rFonts w:cs="" w:ascii="Times new roman" w:hAnsi="Times new roman" w:cstheme="minorBidi"/>
          <w:highlight w:val="yellow"/>
        </w:rPr>
        <w:t xml:space="preserve">s </w:t>
      </w:r>
      <w:r>
        <w:rPr>
          <w:rFonts w:cs="" w:ascii="Times new roman" w:hAnsi="Times new roman" w:cstheme="minorBidi"/>
          <w:highlight w:val="yellow"/>
        </w:rPr>
        <w:t>mice genotype, on a gradient ranging from blue (pure Mmd) to red (pure Mmm); increas</w:t>
      </w:r>
      <w:r>
        <w:rPr>
          <w:rFonts w:cs="" w:ascii="Times new roman" w:hAnsi="Times new roman" w:cstheme="minorBidi"/>
          <w:highlight w:val="yellow"/>
        </w:rPr>
        <w:t xml:space="preserve">ing </w:t>
      </w:r>
      <w:r>
        <w:rPr>
          <w:rFonts w:cs="" w:ascii="Times new roman" w:hAnsi="Times new roman" w:cstheme="minorBidi"/>
          <w:highlight w:val="yellow"/>
        </w:rPr>
        <w:t xml:space="preserve">number of mice sampled at one </w:t>
      </w:r>
      <w:r>
        <w:rPr>
          <w:rFonts w:cs="" w:ascii="Times new roman" w:hAnsi="Times new roman" w:cstheme="minorBidi"/>
          <w:highlight w:val="yellow"/>
        </w:rPr>
        <w:t>locality</w:t>
      </w:r>
      <w:r>
        <w:rPr>
          <w:rFonts w:cs="" w:ascii="Times new roman" w:hAnsi="Times new roman" w:cstheme="minorBidi"/>
          <w:highlight w:val="yellow"/>
        </w:rPr>
        <w:t xml:space="preserve"> </w:t>
      </w:r>
      <w:r>
        <w:rPr>
          <w:rFonts w:cs="" w:ascii="Times new roman" w:hAnsi="Times new roman" w:cstheme="minorBidi"/>
          <w:highlight w:val="yellow"/>
        </w:rPr>
        <w:t xml:space="preserve">is </w:t>
      </w:r>
      <w:r>
        <w:rPr>
          <w:rFonts w:cs="" w:ascii="Times new roman" w:hAnsi="Times new roman" w:cstheme="minorBidi"/>
          <w:highlight w:val="yellow"/>
        </w:rPr>
        <w:t>displayed as decrease in transparency).</w:t>
      </w:r>
      <w:r>
        <w:rPr>
          <w:rFonts w:ascii="Times new roman" w:hAnsi="Times new roman"/>
        </w:rPr>
        <w:t xml:space="preserve"> The predicted probability of infection does not differ in more admixed mice (b) for males (green) and females (orange)(</w:t>
      </w:r>
      <w:bookmarkStart w:id="19" w:name="docs-internal-guid-f56c7d2b-7fff-0977-1d"/>
      <w:bookmarkEnd w:id="19"/>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average overall </w:t>
      </w:r>
      <w:r>
        <w:rPr>
          <w:rFonts w:cs="" w:ascii="Times new roman" w:hAnsi="Times new roman" w:cstheme="minorBidi"/>
          <w:sz w:val="24"/>
          <w:szCs w:val="24"/>
          <w:highlight w:val="yellow"/>
        </w:rPr>
        <w:t>observed probability of infection</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 (prevalence) for males and females considered together</w:t>
      </w:r>
      <w:r>
        <w:rPr>
          <w:rFonts w:cs="" w:ascii="Times new roman" w:hAnsi="Times new roman" w:cstheme="minorBidi"/>
          <w:sz w:val="24"/>
          <w:szCs w:val="24"/>
          <w:highlight w:val="yellow"/>
        </w:rPr>
        <w:t>: grey dotted line)</w:t>
      </w:r>
      <w:r>
        <w:rPr>
          <w:rFonts w:ascii="Times new roman" w:hAnsi="Times new roman"/>
        </w:rPr>
        <w:t xml:space="preserve">. </w:t>
      </w:r>
      <w:r>
        <w:rPr>
          <w:rFonts w:ascii="Times new roman" w:hAnsi="Times new roman"/>
          <w:i/>
        </w:rPr>
        <w:t>Eimeria</w:t>
      </w:r>
      <w:r>
        <w:rPr>
          <w:rFonts w:ascii="Times new roman" w:hAnsi="Times new roman"/>
        </w:rPr>
        <w:t xml:space="preserve"> intensity </w:t>
      </w:r>
      <w:r>
        <w:rPr>
          <w:rFonts w:cs="" w:ascii="Times new roman" w:hAnsi="Times new roman" w:cstheme="minorBidi"/>
          <w:highlight w:val="yellow"/>
        </w:rPr>
        <w:t>(white dots = individual mice)</w:t>
      </w:r>
      <w:r>
        <w:rPr>
          <w:rFonts w:ascii="Times new roman" w:hAnsi="Times new roman"/>
        </w:rPr>
        <w:t xml:space="preserve"> is reduced at intermediate values of the hybrid index (d), represented as a gradient ranging from 0 (pure Mmd, in blue) to 1 (pure Mmm, in red). The optimized fit is represented by a solid line, the 95%CI of the fit as all parameters are allowed to vary in their 95%CI, is plotted as a grey ribbon. The 95%CI of the hybridization parameter alpha, as all parameters are fixed to their fitted value while alpha is allowed to vary in its 95%CI, is plotted as dashed lines.</w:t>
      </w:r>
    </w:p>
    <w:p>
      <w:pPr>
        <w:pStyle w:val="Normal"/>
        <w:rPr/>
      </w:pPr>
      <w:r>
        <w:rPr>
          <w:rFonts w:ascii="Times new roman" w:hAnsi="Times new roman"/>
          <w:b/>
        </w:rPr>
        <w:t>Figure 3. Probability of infection is constant and intensity of pinworm infection is reduced in hybrids.</w:t>
      </w:r>
      <w:r>
        <w:rPr>
          <w:rFonts w:ascii="Times new roman" w:hAnsi="Times new roman"/>
        </w:rPr>
        <w:t xml:space="preserve"> Individual mice tested for detection and quantification of pinworms (a) and mice tested positive (c) are displayed on a map (</w:t>
      </w:r>
      <w:r>
        <w:rPr>
          <w:rFonts w:cs="" w:ascii="Times new roman" w:hAnsi="Times new roman" w:cstheme="minorBidi"/>
          <w:highlight w:val="yellow"/>
        </w:rPr>
        <w:t>point color indicate</w:t>
      </w:r>
      <w:r>
        <w:rPr>
          <w:rFonts w:cs="" w:ascii="Times new roman" w:hAnsi="Times new roman" w:cstheme="minorBidi"/>
          <w:highlight w:val="yellow"/>
        </w:rPr>
        <w:t xml:space="preserve">s </w:t>
      </w:r>
      <w:r>
        <w:rPr>
          <w:rFonts w:cs="" w:ascii="Times new roman" w:hAnsi="Times new roman" w:cstheme="minorBidi"/>
          <w:highlight w:val="yellow"/>
        </w:rPr>
        <w:t>mice genotype, on a gradient ranging from blue (pure Mmd) to red (pure Mmm); increased number of mice sampled at one point displayed as decrease in transparency)</w:t>
      </w:r>
      <w:r>
        <w:rPr>
          <w:rFonts w:ascii="Times new roman" w:hAnsi="Times new roman"/>
        </w:rPr>
        <w:t>. The predicted probability of infection does not differ in more admixed mice (b) for males (green) and females (orange)(</w:t>
      </w:r>
      <w:bookmarkStart w:id="20" w:name="docs-internal-guid-f56c7d2b-7fff-0977-1d"/>
      <w:bookmarkEnd w:id="20"/>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average overall </w:t>
      </w:r>
      <w:r>
        <w:rPr>
          <w:rFonts w:cs="" w:ascii="Times new roman" w:hAnsi="Times new roman" w:cstheme="minorBidi"/>
          <w:sz w:val="24"/>
          <w:szCs w:val="24"/>
          <w:highlight w:val="yellow"/>
        </w:rPr>
        <w:t>observed probability of infection</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 (prevalence) for males and females considered together</w:t>
      </w:r>
      <w:r>
        <w:rPr>
          <w:rFonts w:cs="" w:ascii="Times new roman" w:hAnsi="Times new roman" w:cstheme="minorBidi"/>
          <w:sz w:val="24"/>
          <w:szCs w:val="24"/>
          <w:highlight w:val="yellow"/>
        </w:rPr>
        <w:t>: grey dotted line)</w:t>
      </w:r>
      <w:r>
        <w:rPr>
          <w:rFonts w:ascii="Times new roman" w:hAnsi="Times new roman"/>
        </w:rPr>
        <w:t xml:space="preserve">. Pinworm intensity </w:t>
      </w:r>
      <w:r>
        <w:rPr>
          <w:rFonts w:cs="" w:ascii="Times new roman" w:hAnsi="Times new roman" w:cstheme="minorBidi"/>
          <w:highlight w:val="yellow"/>
        </w:rPr>
        <w:t>(white dots = individual mice)</w:t>
      </w:r>
      <w:r>
        <w:rPr>
          <w:rFonts w:ascii="Times new roman" w:hAnsi="Times new roman"/>
        </w:rPr>
        <w:t xml:space="preserve"> is reduced at intermediate values of the hybrid index (d), represented as a gradient ranging from 0 (pure Mmd, in blue) to 1 (pure Mmm, in red), for males (green) and females (orange). The optimized fit is represented by a solid line, the 95%CI of the fit as all parameters are allowed to vary in their 95%CI, is plotted as a grey ribbon. The 95%CI of the hybridization parameter alpha, while all parameters are fixed to their fitted value and alpha is allowed to vary in its 95%CI, is plotted as dashed lines.</w:t>
      </w:r>
    </w:p>
    <w:p>
      <w:pPr>
        <w:pStyle w:val="Normal"/>
        <w:widowControl/>
        <w:bidi w:val="0"/>
        <w:spacing w:lineRule="auto" w:line="480" w:before="0" w:after="200"/>
        <w:jc w:val="both"/>
        <w:rPr/>
      </w:pPr>
      <w:r>
        <w:rPr>
          <w:rFonts w:ascii="Times new roman" w:hAnsi="Times new roman"/>
          <w:b/>
        </w:rPr>
        <w:t xml:space="preserve">Figure 4. Body condition does not significantly differ between hybrids and pure mice upon infection. </w:t>
      </w:r>
      <w:r>
        <w:rPr>
          <w:rFonts w:ascii="Times new roman" w:hAnsi="Times new roman"/>
        </w:rPr>
        <w:t xml:space="preserve">We modelled the residuals from ordinary least squares regression of body weight by body length along the hybrid zone. The fit and residuals for female and male mice is given in (a). The hybrid index is represented as a gradient ranging from 0 (pure Mmd, in blue) to 1 (pure Mmm, in red). ”Body condition” residuals along the hybrid index (for </w:t>
      </w:r>
      <w:r>
        <w:rPr>
          <w:rFonts w:ascii="Times new roman" w:hAnsi="Times new roman"/>
          <w:i/>
        </w:rPr>
        <w:t>Eimeria</w:t>
      </w:r>
      <w:r>
        <w:rPr>
          <w:rFonts w:ascii="Times new roman" w:hAnsi="Times new roman"/>
        </w:rPr>
        <w:t xml:space="preserve"> spp. (b) and pinworms (c)) show no difference for infected mice (light green) and non-infected mice (grey). The optimized fit is represented by a solid line, the 95%CI of the fit as all parameters are allowed to vary in their 95%CI, is plotted as a grey ribbon. The 95%CI of the hybridization parameter alpha, as all parameters are fixed to their fitted value while alpha is allowed to vary in its 95%CI, is plotted as dashed lines.</w:t>
      </w:r>
    </w:p>
    <w:sectPr>
      <w:headerReference w:type="default" r:id="rId9"/>
      <w:footerReference w:type="default" r:id="rId10"/>
      <w:type w:val="nextPage"/>
      <w:pgSz w:w="12240" w:h="15840"/>
      <w:pgMar w:left="1440" w:right="1440" w:header="0" w:top="1440" w:footer="1440" w:bottom="1720" w:gutter="0"/>
      <w:lnNumType w:countBy="1" w:restart="continuous" w:distance="283"/>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9-01T19:14:38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US" w:bidi="ar-SA" w:eastAsia="en-US"/>
        </w:rPr>
        <w:t>Is this H6pd or Gpd1? In Jarda’s table was written Gpd1, in Macholán et al., 2007 too, but was corrected at one point by Milos. Am I confused here?</w:t>
      </w:r>
    </w:p>
  </w:comment>
  <w:comment w:id="1" w:author="Emanuel Heitlinger" w:date="2019-09-04T10:42:23Z" w:initials="EH">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@alice: exact p-value.</w:t>
      </w:r>
    </w:p>
  </w:comment>
  <w:comment w:id="2" w:author="Emanuel Heitlinger" w:date="2019-09-04T10:42:04Z" w:initials="EH">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@alice: please add exact p-value.</w:t>
      </w:r>
    </w:p>
  </w:comment>
  <w:comment w:id="3" w:author="Emanuel Heitlinger" w:date="2019-09-04T10:48:20Z" w:initials="EH">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@alice: Add reference. Something from Maizels on worms and (maybe) Boothreut on Toxoplasma?!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roman">
    <w:altName w:val="Times New Roman"/>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40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41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43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480" w:before="0" w:after="200"/>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480" w:before="0" w:after="200"/>
      <w:jc w:val="both"/>
      <w:rPr/>
    </w:pPr>
    <w:r>
      <w:rPr/>
    </w:r>
  </w:p>
</w:hdr>
</file>

<file path=word/settings.xml><?xml version="1.0" encoding="utf-8"?>
<w:settings xmlns:w="http://schemas.openxmlformats.org/wordprocessingml/2006/main">
  <w:zoom w:percent="16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both"/>
    </w:pPr>
    <w:rPr>
      <w:rFonts w:ascii="Times roman" w:hAnsi="Times roman" w:eastAsia="Cambria" w:cs="" w:cstheme="minorBidi" w:eastAsiaTheme="minorHAnsi"/>
      <w:color w:val="00000A"/>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 w:cstheme="minorBidi"/>
      <w:b w:val="false"/>
      <w:i w:val="false"/>
      <w:caps w:val="false"/>
      <w:smallCaps w:val="false"/>
      <w:strike w:val="false"/>
      <w:dstrike w:val="false"/>
      <w:color w:val="1155CC"/>
      <w:sz w:val="24"/>
      <w:szCs w:val="24"/>
      <w:highlight w:val="yellow"/>
      <w:u w:val="single"/>
      <w:effect w:val="none"/>
    </w:rPr>
  </w:style>
  <w:style w:type="character" w:styleId="ListLabel2">
    <w:name w:val="ListLabel 2"/>
    <w:qFormat/>
    <w:rPr>
      <w:rFonts w:ascii="Times new roman" w:hAnsi="Times new roman" w:cs="" w:cstheme="minorBidi"/>
      <w:b w:val="false"/>
      <w:i w:val="false"/>
      <w:caps w:val="false"/>
      <w:smallCaps w:val="false"/>
      <w:strike w:val="false"/>
      <w:dstrike w:val="false"/>
      <w:color w:val="1155CC"/>
      <w:sz w:val="24"/>
      <w:szCs w:val="24"/>
      <w:highlight w:val="yellow"/>
      <w:u w:val="single"/>
      <w:effect w:val="none"/>
    </w:rPr>
  </w:style>
  <w:style w:type="character" w:styleId="ListLabel3">
    <w:name w:val="ListLabel 3"/>
    <w:qFormat/>
    <w:rPr>
      <w:rFonts w:ascii="Times new roman" w:hAnsi="Times new roman"/>
    </w:rPr>
  </w:style>
  <w:style w:type="character" w:styleId="ListLabel4">
    <w:name w:val="ListLabel 4"/>
    <w:qFormat/>
    <w:rPr>
      <w:rFonts w:ascii="Times new roman" w:hAnsi="Times new roman"/>
    </w:rPr>
  </w:style>
  <w:style w:type="paragraph" w:styleId="Heading">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Footer">
    <w:name w:val="Footer"/>
    <w:basedOn w:val="Normal"/>
    <w:pPr>
      <w:suppressLineNumbers/>
      <w:bidi w:val="0"/>
      <w:jc w:val="left"/>
    </w:pPr>
    <w:rPr/>
  </w:style>
  <w:style w:type="paragraph" w:styleId="Header">
    <w:name w:val="Header"/>
    <w:basedOn w:val="Normal"/>
    <w:pPr>
      <w:suppressLineNumbers/>
    </w:pPr>
    <w:rPr/>
  </w:style>
  <w:style w:type="paragraph" w:styleId="TableContents">
    <w:name w:val="Tabl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licebalard/Geneland" TargetMode="External"/><Relationship Id="rId3" Type="http://schemas.openxmlformats.org/officeDocument/2006/relationships/hyperlink" Target="https://inkscape.org/" TargetMode="External"/><Relationship Id="rId4" Type="http://schemas.openxmlformats.org/officeDocument/2006/relationships/hyperlink" Target="https://doi.org/10.32614/RJ-2013-014"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920</TotalTime>
  <Application>LibreOffice/6.0.3.2$Linux_X86_64 LibreOffice_project/8f48d515416608e3a835360314dac7e47fd0b821</Application>
  <Pages>43</Pages>
  <Words>9925</Words>
  <Characters>56815</Characters>
  <CharactersWithSpaces>66584</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2019-07-16T07:22:00Z</dcterms:created>
  <dc:creator/>
  <dc:description/>
  <dc:language>en-US</dc:language>
  <cp:lastModifiedBy>Emanuel Heitlinger</cp:lastModifiedBy>
  <dcterms:modified xsi:type="dcterms:W3CDTF">2019-09-04T13:25:28Z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