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24" w:right="-28" w:hanging="0"/>
        <w:jc w:val="both"/>
        <w:rPr>
          <w:highlight w:val="yellow"/>
        </w:rPr>
      </w:pPr>
      <w:r>
        <w:rPr>
          <w:rFonts w:eastAsia="Times New Roman" w:cs="Times New Roman" w:ascii="Times New Roman" w:hAnsi="Times New Roman"/>
          <w:highlight w:val="yellow"/>
        </w:rPr>
        <w:t xml:space="preserve">TO DO BEFORE SENDING: </w:t>
      </w:r>
    </w:p>
    <w:p>
      <w:pPr>
        <w:pStyle w:val="Normal"/>
        <w:widowControl w:val="false"/>
        <w:numPr>
          <w:ilvl w:val="0"/>
          <w:numId w:val="5"/>
        </w:numPr>
        <w:shd w:val="clear" w:fill="auto"/>
        <w:spacing w:lineRule="auto" w:line="276" w:before="0" w:after="0"/>
        <w:jc w:val="both"/>
        <w:rPr>
          <w:highlight w:val="yellow"/>
        </w:rPr>
      </w:pPr>
      <w:r>
        <w:rPr>
          <w:rFonts w:eastAsia="Times New Roman" w:cs="Times New Roman" w:ascii="Times New Roman" w:hAnsi="Times New Roman"/>
          <w:highlight w:val="yellow"/>
        </w:rPr>
        <w:t>correct the order of supplementary material</w:t>
      </w:r>
    </w:p>
    <w:p>
      <w:pPr>
        <w:pStyle w:val="Normal"/>
        <w:widowControl w:val="false"/>
        <w:numPr>
          <w:ilvl w:val="0"/>
          <w:numId w:val="5"/>
        </w:numPr>
        <w:shd w:val="clear" w:fill="auto"/>
        <w:spacing w:lineRule="auto" w:line="276" w:before="0" w:after="0"/>
        <w:jc w:val="both"/>
        <w:rPr/>
      </w:pPr>
      <w:r>
        <w:rPr>
          <w:rFonts w:eastAsia="Times New Roman" w:cs="Times New Roman" w:ascii="Times New Roman" w:hAnsi="Times New Roman"/>
          <w:highlight w:val="yellow"/>
        </w:rPr>
        <w:t>answer a more general comment to reviewer 1 more general review</w:t>
      </w:r>
    </w:p>
    <w:p>
      <w:pPr>
        <w:pStyle w:val="Normal"/>
        <w:widowControl w:val="false"/>
        <w:numPr>
          <w:ilvl w:val="0"/>
          <w:numId w:val="5"/>
        </w:numPr>
        <w:shd w:val="clear" w:fill="auto"/>
        <w:spacing w:lineRule="auto" w:line="276" w:before="0" w:after="0"/>
        <w:jc w:val="both"/>
        <w:rPr/>
      </w:pPr>
      <w:r>
        <w:rPr>
          <w:rFonts w:eastAsia="Times New Roman" w:cs="Times New Roman" w:ascii="Times New Roman" w:hAnsi="Times New Roman"/>
          <w:highlight w:val="yellow"/>
        </w:rPr>
        <w:t>maybe expand on qPCR (correlation lesions – qPCR, etc.)</w:t>
      </w:r>
    </w:p>
    <w:p>
      <w:pPr>
        <w:pStyle w:val="Normal"/>
        <w:widowControl w:val="false"/>
        <w:shd w:val="clear" w:fill="auto"/>
        <w:spacing w:lineRule="auto" w:line="276" w:before="0" w:after="0"/>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hd w:val="clear" w:fill="auto"/>
        <w:spacing w:lineRule="auto" w:line="276" w:before="0" w:after="0"/>
        <w:ind w:left="-24" w:right="-28" w:hanging="0"/>
        <w:jc w:val="both"/>
        <w:rPr/>
      </w:pPr>
      <w:r>
        <w:rPr>
          <w:rFonts w:eastAsia="Times New Roman" w:cs="Times New Roman" w:ascii="Times New Roman" w:hAnsi="Times New Roman"/>
        </w:rPr>
        <w:t xml:space="preserve">We thank the reviewers for their thorough comments. Please find attached an annotated version of the main text with all modifications from the first document highlighted in yellow, as well as supplementary material updated according to the reviewer’s requests.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shd w:val="clear" w:fill="auto"/>
        <w:spacing w:lineRule="auto" w:line="276" w:before="0" w:after="0"/>
        <w:ind w:left="-24" w:right="-28" w:hanging="0"/>
        <w:jc w:val="both"/>
        <w:rPr/>
      </w:pPr>
      <w:r>
        <w:rPr>
          <w:rFonts w:eastAsia="Times New Roman" w:cs="Times New Roman" w:ascii="Times New Roman" w:hAnsi="Times New Roman"/>
          <w:b/>
          <w:sz w:val="48"/>
          <w:szCs w:val="48"/>
        </w:rPr>
        <w:t xml:space="preserve">Response to reviewer 1. </w:t>
      </w:r>
    </w:p>
    <w:p>
      <w:pPr>
        <w:pStyle w:val="Normal"/>
        <w:widowControl w:val="false"/>
        <w:shd w:val="clear" w:fill="auto"/>
        <w:spacing w:lineRule="auto" w:line="276" w:before="0" w:after="0"/>
        <w:ind w:left="-24" w:right="-28" w:hanging="0"/>
        <w:jc w:val="both"/>
        <w:rPr>
          <w:rFonts w:ascii="Times New Roman" w:hAnsi="Times New Roman" w:eastAsia="Times New Roman" w:cs="Times New Roman"/>
          <w:b/>
          <w:b/>
          <w:color w:val="073763"/>
          <w:sz w:val="48"/>
          <w:szCs w:val="48"/>
        </w:rPr>
      </w:pPr>
      <w:r>
        <w:rPr>
          <w:rFonts w:eastAsia="Times New Roman" w:cs="Times New Roman" w:ascii="Times New Roman" w:hAnsi="Times New Roman"/>
          <w:b/>
          <w:color w:val="073763"/>
          <w:sz w:val="48"/>
          <w:szCs w:val="48"/>
        </w:rPr>
      </w:r>
    </w:p>
    <w:p>
      <w:pPr>
        <w:pStyle w:val="Normal"/>
        <w:widowControl w:val="false"/>
        <w:shd w:val="clear" w:fill="auto"/>
        <w:spacing w:lineRule="auto" w:line="276" w:before="0" w:after="0"/>
        <w:ind w:left="-24" w:right="-28" w:hanging="0"/>
        <w:jc w:val="both"/>
        <w:rPr>
          <w:rFonts w:ascii="Times new roman" w:hAnsi="Times new roman"/>
          <w:color w:val="355269"/>
          <w:sz w:val="22"/>
          <w:szCs w:val="22"/>
        </w:rPr>
      </w:pPr>
      <w:r>
        <w:rPr>
          <w:rFonts w:eastAsia="Times New Roman" w:cs="Times New Roman" w:ascii="Times new roman" w:hAnsi="Times new roman"/>
          <w:b w:val="false"/>
          <w:i w:val="false"/>
          <w:caps w:val="false"/>
          <w:smallCaps w:val="false"/>
          <w:color w:val="073763"/>
          <w:spacing w:val="0"/>
          <w:sz w:val="22"/>
          <w:szCs w:val="22"/>
        </w:rPr>
        <w:t>Comments to the Author</w:t>
        <w:tab/>
      </w:r>
      <w:r>
        <w:rPr>
          <w:rFonts w:eastAsia="Times New Roman" w:cs="Times New Roman" w:ascii="Times new roman" w:hAnsi="Times new roman"/>
          <w:b/>
          <w:color w:val="073763"/>
          <w:sz w:val="22"/>
          <w:szCs w:val="22"/>
        </w:rPr>
        <w:br/>
      </w:r>
      <w:r>
        <w:rPr>
          <w:rFonts w:eastAsia="Times New Roman" w:cs="Times New Roman" w:ascii="Times new roman" w:hAnsi="Times new roman"/>
          <w:b w:val="false"/>
          <w:i w:val="false"/>
          <w:caps w:val="false"/>
          <w:smallCaps w:val="false"/>
          <w:color w:val="073763"/>
          <w:spacing w:val="0"/>
          <w:sz w:val="22"/>
          <w:szCs w:val="22"/>
        </w:rPr>
        <w:t>All comments to be considered are in the attached documents.</w:t>
      </w:r>
      <w:r>
        <w:rPr>
          <w:rFonts w:eastAsia="Times New Roman" w:cs="Times New Roman" w:ascii="Times new roman" w:hAnsi="Times new roman"/>
          <w:b/>
          <w:i w:val="false"/>
          <w:caps w:val="false"/>
          <w:smallCaps w:val="false"/>
          <w:color w:val="073763"/>
          <w:spacing w:val="0"/>
          <w:sz w:val="22"/>
          <w:szCs w:val="22"/>
        </w:rPr>
        <w:t xml:space="preserve"> </w:t>
      </w:r>
      <w:r>
        <w:rPr>
          <w:rFonts w:eastAsia="Times New Roman" w:cs="Times New Roman" w:ascii="Times new roman" w:hAnsi="Times new roman"/>
          <w:b w:val="false"/>
          <w:i w:val="false"/>
          <w:caps w:val="false"/>
          <w:smallCaps w:val="false"/>
          <w:color w:val="073763"/>
          <w:spacing w:val="0"/>
          <w:sz w:val="22"/>
          <w:szCs w:val="22"/>
        </w:rPr>
        <w:t>To summarize, this work needs more depth, rigor, precision, analysis and objectivity to take its true value. It is necessary to extend your references and your elements of thinking. Especially you can not validate your approaches with the same data and on the same samples.</w:t>
      </w:r>
      <w:r>
        <w:rPr>
          <w:rFonts w:eastAsia="Times New Roman" w:cs="Times New Roman" w:ascii="Times new roman" w:hAnsi="Times new roman"/>
          <w:b/>
          <w:i w:val="false"/>
          <w:caps w:val="false"/>
          <w:smallCaps w:val="false"/>
          <w:color w:val="073763"/>
          <w:spacing w:val="0"/>
          <w:sz w:val="22"/>
          <w:szCs w:val="22"/>
        </w:rPr>
        <w:t xml:space="preserve"> </w:t>
      </w:r>
    </w:p>
    <w:p>
      <w:pPr>
        <w:pStyle w:val="Normal"/>
        <w:widowControl w:val="false"/>
        <w:shd w:val="clear" w:fill="auto"/>
        <w:spacing w:lineRule="auto" w:line="276" w:before="0" w:after="0"/>
        <w:ind w:left="-24" w:right="-28" w:hanging="0"/>
        <w:jc w:val="both"/>
        <w:rPr>
          <w:rFonts w:ascii="Times new roman" w:hAnsi="Times new roman"/>
          <w:color w:val="355269"/>
          <w:sz w:val="22"/>
          <w:szCs w:val="22"/>
        </w:rPr>
      </w:pPr>
      <w:r>
        <w:rPr>
          <w:rFonts w:eastAsia="Times New Roman" w:cs="Times New Roman" w:ascii="Times new roman" w:hAnsi="Times new roman"/>
          <w:b w:val="false"/>
          <w:i w:val="false"/>
          <w:caps w:val="false"/>
          <w:smallCaps w:val="false"/>
          <w:color w:val="073763"/>
          <w:spacing w:val="0"/>
          <w:sz w:val="22"/>
          <w:szCs w:val="22"/>
        </w:rPr>
        <w:t>At the very least, you must clear your dataset, describe with more rigor and precision your analyse, taking into account their shortcomings, arguing for them, and discuss them objectively in more detail. Particular attention should be brought to the role of parasites as selective factor. For the best, I advise you to perform an experimental study calibrating the quantification of Eimeria intensity with qPCR, to perform the double analysis on the Hybrids-Parents comparison, and to identify another parameter or additional parameters to link to fitness. Bibliography must be better exploited.</w:t>
      </w:r>
    </w:p>
    <w:p>
      <w:pPr>
        <w:pStyle w:val="Normal"/>
        <w:widowControl w:val="false"/>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ind w:left="-24" w:right="-28" w:hanging="0"/>
        <w:jc w:val="both"/>
        <w:rPr>
          <w:rFonts w:ascii="Times New Roman" w:hAnsi="Times New Roman" w:eastAsia="Times New Roman" w:cs="Times New Roman"/>
          <w:color w:val="980000"/>
        </w:rPr>
      </w:pPr>
      <w:r>
        <w:rPr>
          <w:rFonts w:eastAsia="Times New Roman" w:cs="Times New Roman" w:ascii="Times New Roman" w:hAnsi="Times New Roman"/>
          <w:color w:val="073763"/>
          <w:sz w:val="22"/>
          <w:szCs w:val="22"/>
        </w:rPr>
        <w:t xml:space="preserve">Main of my comments follow the text, only the last ones on </w:t>
      </w:r>
      <w:r>
        <w:rPr>
          <w:rFonts w:eastAsia="Times New Roman" w:cs="Times New Roman" w:ascii="Times New Roman" w:hAnsi="Times New Roman"/>
          <w:i/>
          <w:color w:val="073763"/>
          <w:sz w:val="22"/>
          <w:szCs w:val="22"/>
        </w:rPr>
        <w:t xml:space="preserve">Eimeria </w:t>
      </w:r>
      <w:r>
        <w:rPr>
          <w:rFonts w:eastAsia="Times New Roman" w:cs="Times New Roman" w:ascii="Times New Roman" w:hAnsi="Times New Roman"/>
          <w:color w:val="073763"/>
          <w:sz w:val="22"/>
          <w:szCs w:val="22"/>
        </w:rPr>
        <w:t xml:space="preserve">model and parasitological concepts are given apart. I refer to previous or subsequent comments that complete each other when necessary, to avoid repetitions.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57-59: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experimental works,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and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show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only F1 are concerned, which clearly cannot be compared to highly recombined wild hybrids. Indeed,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1991), either those observed with experimental infections of wild-derived strains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1993).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proposed a new hypothesis to be coherent with these previous field results and experimental infections, suggesting that a pleiotropic effect was selected in the hybrid zone (see further). </w:t>
      </w:r>
    </w:p>
    <w:p>
      <w:pPr>
        <w:pStyle w:val="Normal"/>
        <w:keepNext w:val="false"/>
        <w:keepLines w:val="false"/>
        <w:widowControl w:val="false"/>
        <w:shd w:val="clear" w:fill="auto"/>
        <w:spacing w:lineRule="auto" w:line="276" w:before="288" w:after="0"/>
        <w:ind w:left="720" w:right="-28" w:hanging="0"/>
        <w:jc w:val="both"/>
        <w:rPr/>
      </w:pPr>
      <w:r>
        <w:rPr>
          <w:rFonts w:eastAsia="Times New Roman" w:cs="Times New Roman" w:ascii="Times New Roman" w:hAnsi="Times New Roman"/>
        </w:rPr>
        <w:t xml:space="preserve">We agree that the difference between F1 and recombinant hybrids should be made as clear as possible and therefore changed the wording “hybrid” by “inter-subspecies F1” (line 61-62 new). We address general challenges dealing with these previous results in our last comment to this reviewer.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59-60: “the highest statistical power”.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Quite strong statement without arguments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statistical choice of Baird et al. 2012, as well as this of this very study, is not the only available one (see upcoming comments).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We agree that superlatives should be avoided in scientific writing. We mention sample size and sampling design (see following paragraph) as arguments now. We do not develop further, as the argument is thoroughly developed in the study itself (</w:t>
      </w:r>
      <w:r>
        <w:rPr>
          <w:rFonts w:eastAsia="Times New Roman" w:cs="Times New Roman" w:ascii="Times New Roman" w:hAnsi="Times New Roman"/>
          <w:highlight w:val="white"/>
        </w:rPr>
        <w:t xml:space="preserve">Baird et al. 2012). We replaced by </w:t>
      </w:r>
      <w:r>
        <w:rPr>
          <w:rFonts w:eastAsia="Times New Roman" w:cs="Times New Roman" w:ascii="Times new roman" w:hAnsi="Times new roman"/>
          <w:highlight w:val="white"/>
        </w:rPr>
        <w:t xml:space="preserve"> </w:t>
      </w:r>
      <w:r>
        <w:rPr>
          <w:rFonts w:eastAsia="Times New Roman" w:cs="" w:ascii="Times new roman" w:hAnsi="Times new roman" w:cstheme="minorBidi"/>
          <w:highlight w:val="white"/>
        </w:rPr>
        <w:t xml:space="preserve">more recent </w:t>
      </w:r>
      <w:r>
        <w:rPr>
          <w:rFonts w:eastAsia="Times New Roman" w:cs="Times New Roman" w:ascii="Times new roman" w:hAnsi="Times new roman"/>
          <w:highlight w:val="white"/>
        </w:rPr>
        <w:t>field study</w:t>
      </w:r>
      <w:r>
        <w:rPr>
          <w:rFonts w:eastAsia="Times New Roman" w:cs="" w:ascii="Times new roman" w:hAnsi="Times new roman" w:cstheme="minorBidi"/>
          <w:highlight w:val="white"/>
        </w:rPr>
        <w:t>,</w:t>
      </w:r>
      <w:r>
        <w:rPr>
          <w:rFonts w:eastAsia="Times New Roman" w:cs="Times New Roman" w:ascii="Times new roman" w:hAnsi="Times new roman"/>
          <w:highlight w:val="white"/>
        </w:rPr>
        <w:t xml:space="preserve"> with </w:t>
      </w:r>
      <w:r>
        <w:rPr>
          <w:rFonts w:eastAsia="Times New Roman" w:cs="" w:ascii="Times new roman" w:hAnsi="Times new roman" w:cstheme="minorBidi"/>
          <w:highlight w:val="white"/>
        </w:rPr>
        <w:t>high</w:t>
      </w:r>
      <w:r>
        <w:rPr>
          <w:rFonts w:eastAsia="Times New Roman" w:cs="Times New Roman" w:ascii="Times new roman" w:hAnsi="Times new roman"/>
          <w:highlight w:val="white"/>
        </w:rPr>
        <w:t xml:space="preserve"> statistical power</w:t>
      </w:r>
      <w:r>
        <w:rPr>
          <w:rFonts w:eastAsia="Times New Roman" w:cs="" w:ascii="Times new roman" w:hAnsi="Times new roman" w:cstheme="minorBidi"/>
          <w:highlight w:val="white"/>
        </w:rPr>
        <w:t xml:space="preserve"> (more mice sampled and more suitable statistical approach) and arguably improved sampling design,[…</w:t>
      </w:r>
      <w:r>
        <w:rPr>
          <w:rFonts w:eastAsia="Times New Roman" w:cs="Times New Roman" w:ascii="Times New Roman" w:hAnsi="Times New Roman"/>
          <w:highlight w:val="white"/>
        </w:rPr>
        <w:t>]</w:t>
      </w:r>
      <w:r>
        <w:rPr>
          <w:rFonts w:eastAsia="Times New Roman" w:cs="Times New Roman" w:ascii="Times New Roman" w:hAnsi="Times New Roman"/>
        </w:rPr>
        <w:t>(line 60-63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w:t>
      </w:r>
      <w:r>
        <w:rPr>
          <w:rFonts w:eastAsia="Times New Roman" w:cs="Times New Roman" w:ascii="Times New Roman" w:hAnsi="Times New Roman"/>
          <w:color w:val="073763"/>
          <w:sz w:val="22"/>
          <w:szCs w:val="22"/>
        </w:rPr>
        <w:t>9</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 “prevalence and abundance, the latter defined as parasite load in all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Bad definition of 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widowControl w:val="false"/>
        <w:spacing w:lineRule="auto" w:line="240" w:before="288" w:after="0"/>
        <w:ind w:left="696" w:right="-28" w:hanging="0"/>
        <w:jc w:val="both"/>
        <w:rPr/>
      </w:pPr>
      <w:r>
        <w:rPr>
          <w:rFonts w:eastAsia="Times New Roman" w:cs="Times New Roman" w:ascii="Times New Roman" w:hAnsi="Times New Roman"/>
        </w:rPr>
        <w:t>This comment highlights a lack of clarity in our original text, in which we refer to “all possible hosts, i.e. the whole sample” as “host”. We therefore replace “hosts” by “animals” (line 99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widowControl w:val="false"/>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This is a very useful conceptual point to clarify and thank the reviewer for bringing it to our attention. We use this controversial terminology (pathogenicity) for “impact of host health”, and therefore decided to replace all occurrences of “pathogenicity” by “impact of host health” in the text. </w:t>
      </w:r>
    </w:p>
    <w:p>
      <w:pPr>
        <w:pStyle w:val="Normal"/>
        <w:widowControl w:val="false"/>
        <w:spacing w:lineRule="auto" w:line="240"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73-74: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narrow point of view and weakness of the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very frequent in all mouse populations. See for instance Behnke, 1975; Behnke, 1976; Kriska, 1993; Ressouche et al., 1998. </w:t>
      </w:r>
    </w:p>
    <w:p>
      <w:pPr>
        <w:pStyle w:val="Normal"/>
        <w:keepNext w:val="false"/>
        <w:keepLines w:val="false"/>
        <w:widowControl w:val="false"/>
        <w:shd w:val="clear" w:fill="auto"/>
        <w:spacing w:lineRule="auto" w:line="276" w:before="288" w:after="0"/>
        <w:ind w:left="696" w:right="-23" w:hanging="0"/>
        <w:jc w:val="left"/>
        <w:rPr/>
      </w:pPr>
      <w:r>
        <w:rPr>
          <w:rFonts w:eastAsia="Times New Roman" w:cs="Times New Roman" w:ascii="Times New Roman" w:hAnsi="Times New Roman"/>
        </w:rPr>
        <w:t>We added the mentioned references.</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75-76. Pay attention, this is 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prejudiced idea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widowControl w:val="false"/>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In the specific sentence, we modified as follow:  </w:t>
        <w:tab/>
        <w:tab/>
        <w:t xml:space="preserve"> </w:t>
        <w:tab/>
        <w:t xml:space="preserve"> </w:t>
        <w:tab/>
      </w:r>
    </w:p>
    <w:p>
      <w:pPr>
        <w:pStyle w:val="Normal"/>
        <w:widowControl w:val="false"/>
        <w:ind w:left="720" w:right="-33" w:hanging="0"/>
        <w:jc w:val="both"/>
        <w:rPr/>
      </w:pPr>
      <w:r>
        <w:rPr>
          <w:rFonts w:eastAsia="Times New Roman" w:cs="Times New Roman" w:ascii="Times New Roman" w:hAnsi="Times New Roman"/>
        </w:rPr>
        <w:t>“</w:t>
      </w:r>
      <w:r>
        <w:rPr>
          <w:rFonts w:eastAsia="Times New Roman" w:cs="Times New Roman" w:ascii="Times New Roman" w:hAnsi="Times New Roman"/>
        </w:rPr>
        <w:t>They are often considered to provoke mild symptoms on their hosts, even if in rare conditions (e.g. particularly high burden) they have been shown to affect the health of laboratory mice (Taffs, 1976).” (lines 86-88 new).</w:t>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720" w:right="-33" w:hanging="0"/>
        <w:jc w:val="both"/>
        <w:rPr>
          <w:rFonts w:ascii="Times New Roman" w:hAnsi="Times New Roman" w:eastAsia="Times New Roman" w:cs="Times New Roman"/>
          <w:color w:val="980000"/>
          <w:u w:val="single"/>
        </w:rPr>
      </w:pPr>
      <w:r>
        <w:rPr>
          <w:rFonts w:eastAsia="Times New Roman" w:cs="Times New Roman" w:ascii="Times New Roman" w:hAnsi="Times New Roman"/>
          <w:color w:val="980000"/>
          <w:u w:val="single"/>
        </w:rPr>
        <w:t>As a more general comment, to which we will refer on later comments:</w:t>
      </w:r>
    </w:p>
    <w:p>
      <w:pPr>
        <w:pStyle w:val="Normal"/>
        <w:widowControl w:val="false"/>
        <w:spacing w:lineRule="auto" w:line="24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40"/>
        <w:ind w:left="720" w:right="-33" w:hanging="0"/>
        <w:jc w:val="both"/>
        <w:rPr/>
      </w:pPr>
      <w:r>
        <w:rPr>
          <w:rFonts w:eastAsia="Times New Roman" w:cs="Times New Roman" w:ascii="Times New Roman" w:hAnsi="Times New Roman"/>
          <w:color w:val="980000"/>
          <w:sz w:val="22"/>
          <w:szCs w:val="22"/>
        </w:rPr>
        <w:t xml:space="preserve">Our study is designed to jointly study two different parasites. We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As a result of the reviewer’s comments, we developed more on the differences that make this comparison valuable, and abandoned the term “pathogenicity” which is too vague to carry all differences: extra vs. intra-cellular, targeting a Th2 vs a Th1 immune pathways, possible different impact on host health. We now introduced this idea in more detail in the </w:t>
      </w:r>
      <w:r>
        <w:rPr>
          <w:rFonts w:eastAsia="Times New Roman" w:cs="Times New Roman" w:ascii="Times New Roman" w:hAnsi="Times New Roman"/>
          <w:b/>
          <w:color w:val="980000"/>
          <w:sz w:val="22"/>
          <w:szCs w:val="22"/>
        </w:rPr>
        <w:t>introduction</w:t>
      </w:r>
      <w:r>
        <w:rPr>
          <w:rFonts w:eastAsia="Times New Roman" w:cs="Times New Roman" w:ascii="Times New Roman" w:hAnsi="Times New Roman"/>
          <w:color w:val="980000"/>
          <w:sz w:val="22"/>
          <w:szCs w:val="22"/>
          <w:u w:val="single"/>
        </w:rPr>
        <w:t xml:space="preserve"> </w:t>
      </w:r>
      <w:r>
        <w:rPr>
          <w:rFonts w:eastAsia="Times New Roman" w:cs="Times New Roman" w:ascii="Times New Roman" w:hAnsi="Times New Roman"/>
          <w:color w:val="980000"/>
          <w:sz w:val="22"/>
          <w:szCs w:val="22"/>
        </w:rPr>
        <w:t xml:space="preserve">(line 72-82 new), and in the </w:t>
      </w:r>
      <w:r>
        <w:rPr>
          <w:rFonts w:eastAsia="Times New Roman" w:cs="Times New Roman" w:ascii="Times New Roman" w:hAnsi="Times New Roman"/>
          <w:b/>
          <w:color w:val="980000"/>
          <w:sz w:val="22"/>
          <w:szCs w:val="22"/>
        </w:rPr>
        <w:t>discussion</w:t>
      </w:r>
      <w:r>
        <w:rPr>
          <w:rFonts w:eastAsia="Times New Roman" w:cs="Times New Roman" w:ascii="Times New Roman" w:hAnsi="Times New Roman"/>
          <w:color w:val="980000"/>
          <w:sz w:val="22"/>
          <w:szCs w:val="22"/>
        </w:rPr>
        <w:t xml:space="preserve"> (line 410-414 new). </w:t>
      </w:r>
    </w:p>
    <w:p>
      <w:pPr>
        <w:pStyle w:val="Normal"/>
        <w:keepNext w:val="false"/>
        <w:keepLines w:val="false"/>
        <w:widowControl w:val="false"/>
        <w:shd w:val="clear" w:fill="auto"/>
        <w:spacing w:lineRule="auto" w:line="276" w:before="292"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79-81: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is not really what Al-khlifeh et al., 2019, shows. Especially on weight loss, one of the wild-derived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strains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the mice studied in this very study)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show the same level of negative effect than the laboratory maintained strain of the same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The other wild-derived strain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does not decrease the weight of the NMRI mice compared to the controls. The Al-khlifeh et al. reference then shows that different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could have different effect on the mouse strain NMRI (i.e. one mouse genotype). That is all the authors can say!</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both"/>
        <w:rPr/>
      </w:pPr>
      <w:r>
        <w:rPr>
          <w:rFonts w:eastAsia="Times New Roman" w:cs="Times New Roman" w:ascii="Times New Roman" w:hAnsi="Times New Roman"/>
        </w:rPr>
        <w:t xml:space="preserve">We disagree. This statement is correct. The main focus of Al-khlifeh et al. 2019 are to differences in gene expression induced by different </w:t>
      </w:r>
      <w:r>
        <w:rPr>
          <w:rFonts w:eastAsia="Times New Roman" w:cs="Times New Roman" w:ascii="Times New Roman" w:hAnsi="Times New Roman"/>
          <w:i/>
          <w:iCs/>
        </w:rPr>
        <w:t>Eimeria</w:t>
      </w:r>
      <w:r>
        <w:rPr>
          <w:rFonts w:eastAsia="Times New Roman" w:cs="Times New Roman" w:ascii="Times New Roman" w:hAnsi="Times New Roman"/>
        </w:rPr>
        <w:t xml:space="preserve"> isolates. Indeed </w:t>
      </w:r>
      <w:r>
        <w:rPr>
          <w:rFonts w:eastAsia="Times New Roman" w:cs="Times New Roman" w:ascii="Times New Roman" w:hAnsi="Times New Roman"/>
          <w:i/>
          <w:iCs/>
        </w:rPr>
        <w:t>E. ferrisi</w:t>
      </w:r>
      <w:r>
        <w:rPr>
          <w:rFonts w:eastAsia="Times New Roman" w:cs="Times New Roman" w:ascii="Times New Roman" w:hAnsi="Times New Roman"/>
        </w:rPr>
        <w:t xml:space="preserve"> (as opposed to and E</w:t>
      </w:r>
      <w:r>
        <w:rPr>
          <w:rFonts w:eastAsia="Times New Roman" w:cs="Times New Roman" w:ascii="Times New Roman" w:hAnsi="Times New Roman"/>
          <w:i/>
          <w:iCs/>
        </w:rPr>
        <w:t>. falciformis</w:t>
      </w:r>
      <w:r>
        <w:rPr>
          <w:rFonts w:eastAsia="Times New Roman" w:cs="Times New Roman" w:ascii="Times New Roman" w:hAnsi="Times New Roman"/>
        </w:rPr>
        <w:t xml:space="preserve"> lab isolate) did not induce a systematic response measurable in the spleen. Nevertheless, mice lost weight in infection with all </w:t>
      </w:r>
      <w:r>
        <w:rPr>
          <w:rFonts w:eastAsia="Times New Roman" w:cs="Times New Roman" w:ascii="Times New Roman" w:hAnsi="Times New Roman"/>
          <w:i/>
        </w:rPr>
        <w:t>Eimeria</w:t>
      </w:r>
      <w:r>
        <w:rPr>
          <w:rFonts w:eastAsia="Times New Roman" w:cs="Times New Roman" w:ascii="Times New Roman" w:hAnsi="Times New Roman"/>
        </w:rPr>
        <w:t xml:space="preserve"> isolates from the different species. “The period of patency (oocyst shedding) was characterized by body weight loss in infected mice in all infections (</w:t>
      </w:r>
      <w:r>
        <w:fldChar w:fldCharType="begin"/>
      </w:r>
      <w:r>
        <w:rPr>
          <w:rStyle w:val="ListLabel37"/>
          <w:rFonts w:eastAsia="Times New Roman" w:cs="Times New Roman" w:ascii="Times New Roman" w:hAnsi="Times New Roman"/>
        </w:rPr>
        <w:instrText> HYPERLINK "https://www.biorxiv.org/content/10.1101/611277v2.full" \l "F1"</w:instrText>
      </w:r>
      <w:r>
        <w:rPr>
          <w:rStyle w:val="ListLabel37"/>
          <w:rFonts w:eastAsia="Times New Roman" w:cs="Times New Roman" w:ascii="Times New Roman" w:hAnsi="Times New Roman"/>
        </w:rPr>
        <w:fldChar w:fldCharType="separate"/>
      </w:r>
      <w:r>
        <w:rPr>
          <w:rStyle w:val="ListLabel37"/>
          <w:rFonts w:eastAsia="Times New Roman" w:cs="Times New Roman" w:ascii="Times New Roman" w:hAnsi="Times New Roman"/>
        </w:rPr>
        <w:t>Figure 1b</w:t>
      </w:r>
      <w:r>
        <w:rPr>
          <w:rStyle w:val="ListLabel37"/>
          <w:rFonts w:eastAsia="Times New Roman" w:cs="Times New Roman" w:ascii="Times New Roman" w:hAnsi="Times New Roman"/>
        </w:rPr>
        <w:fldChar w:fldCharType="end"/>
      </w:r>
      <w:r>
        <w:rPr>
          <w:rFonts w:eastAsia="Times New Roman" w:cs="Times New Roman" w:ascii="Times New Roman" w:hAnsi="Times New Roman"/>
        </w:rPr>
        <w:t>).” (</w:t>
      </w:r>
      <w:hyperlink r:id="rId2">
        <w:r>
          <w:rPr>
            <w:rStyle w:val="ListLabel37"/>
            <w:rFonts w:eastAsia="Times New Roman" w:cs="Times New Roman" w:ascii="Times New Roman" w:hAnsi="Times New Roman"/>
          </w:rPr>
          <w:t>https://www.biorxiv.org/content/10.1101/611277v2.full</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position w:val="0"/>
          <w:sz w:val="22"/>
          <w:sz w:val="22"/>
          <w:vertAlign w:val="baseline"/>
        </w:rPr>
        <w:t xml:space="preserve"> </w:t>
      </w:r>
    </w:p>
    <w:p>
      <w:pPr>
        <w:pStyle w:val="Normal"/>
        <w:keepNext w:val="false"/>
        <w:keepLines w:val="false"/>
        <w:widowControl w:val="false"/>
        <w:shd w:val="clear" w:fill="auto"/>
        <w:spacing w:lineRule="auto" w:line="276" w:before="288" w:after="0"/>
        <w:ind w:left="-24" w:right="-28" w:hanging="0"/>
        <w:jc w:val="both"/>
        <w:rPr/>
      </w:pPr>
      <w:r>
        <w:rPr>
          <w:rFonts w:eastAsia="Times New Roman" w:cs="Times New Roman" w:ascii="Times New Roman" w:hAnsi="Times New Roman"/>
          <w:b/>
          <w:color w:val="980000"/>
          <w:sz w:val="22"/>
          <w:szCs w:val="22"/>
        </w:rPr>
        <w:t xml:space="preserve">C8.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81-84 : parasites in another host species than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M. musculus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extrapolation is far too fast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Treponema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or HIV /SIV.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agree, and remove the extrapolation.</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84-86: we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data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color w:val="980000"/>
          <w:sz w:val="22"/>
          <w:szCs w:val="22"/>
        </w:rPr>
        <w:t>That is a very good point. By the time of the analysis, we did not have the full dataset sequenced. We are happy to provide suppleme</w:t>
      </w:r>
      <w:r>
        <w:rPr>
          <w:rFonts w:eastAsia="Times New Roman" w:cs="Times New Roman" w:ascii="Times New Roman" w:hAnsi="Times New Roman"/>
          <w:color w:val="980000"/>
        </w:rPr>
        <w:t xml:space="preserve">ntary data on the most prevalent </w:t>
      </w:r>
      <w:r>
        <w:rPr>
          <w:rFonts w:eastAsia="Times New Roman" w:cs="Times New Roman" w:ascii="Times New Roman" w:hAnsi="Times New Roman"/>
          <w:i/>
          <w:color w:val="980000"/>
        </w:rPr>
        <w:t>Eimeria</w:t>
      </w:r>
      <w:r>
        <w:rPr>
          <w:rFonts w:eastAsia="Times New Roman" w:cs="Times New Roman" w:ascii="Times New Roman" w:hAnsi="Times New Roman"/>
          <w:color w:val="980000"/>
        </w:rPr>
        <w:t xml:space="preserve"> species, namely </w:t>
      </w:r>
      <w:r>
        <w:rPr>
          <w:rFonts w:eastAsia="Times New Roman" w:cs="Times New Roman" w:ascii="Times New Roman" w:hAnsi="Times New Roman"/>
          <w:i/>
          <w:color w:val="980000"/>
        </w:rPr>
        <w:t>E. ferrisi</w:t>
      </w:r>
      <w:r>
        <w:rPr>
          <w:rFonts w:eastAsia="Times New Roman" w:cs="Times New Roman" w:ascii="Times New Roman" w:hAnsi="Times New Roman"/>
          <w:color w:val="980000"/>
        </w:rPr>
        <w:t>, and confirm the results on hybrid resistance at the genus level. We added these information in the text (lines 353-357 new) and as</w:t>
      </w:r>
      <w:r>
        <w:rPr>
          <w:rFonts w:eastAsia="Times New Roman" w:cs="Times New Roman" w:ascii="Times New Roman" w:hAnsi="Times New Roman"/>
          <w:b/>
          <w:color w:val="980000"/>
        </w:rPr>
        <w:t xml:space="preserve"> Supplementary Figure S5. </w:t>
      </w:r>
      <w:r>
        <w:rPr>
          <w:rFonts w:eastAsia="Times New Roman" w:cs="Times New Roman" w:ascii="Times New Roman" w:hAnsi="Times New Roman"/>
          <w:color w:val="980000"/>
        </w:rPr>
        <w:t xml:space="preserve">We moreover added identification at the species level, for those that we could identify, in a column of </w:t>
      </w:r>
      <w:r>
        <w:rPr>
          <w:rFonts w:eastAsia="Times New Roman" w:cs="Times New Roman" w:ascii="Times New Roman" w:hAnsi="Times New Roman"/>
          <w:b/>
          <w:color w:val="980000"/>
        </w:rPr>
        <w:t>Supplementary Table S3</w:t>
      </w:r>
      <w:r>
        <w:rPr>
          <w:rFonts w:eastAsia="Times New Roman" w:cs="Times New Roman" w:ascii="Times New Roman" w:hAnsi="Times New Roman"/>
          <w:color w:val="980000"/>
        </w:rPr>
        <w:t xml:space="preserve"> (previously Supplementary Table S1)</w:t>
      </w:r>
      <w:r>
        <w:rPr>
          <w:rFonts w:eastAsia="Times New Roman" w:cs="Times New Roman" w:ascii="Times New Roman" w:hAnsi="Times New Roman"/>
          <w:color w:val="980000"/>
          <w:sz w:val="22"/>
          <w:szCs w:val="22"/>
        </w:rPr>
        <w:t xml:space="preserve">. We hope it is obvious that hybrid differences cannot be tested for parasites with low prevalence due to a lack of statistical power.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87: “a novel transect”.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Specify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“novel” compared to what? I suppose not from this of Jarquín-Díaz et al., 2019, as it is the same transect and as this one includes the Jarquin-Diaz sampling! </w:t>
      </w:r>
    </w:p>
    <w:p>
      <w:pPr>
        <w:pStyle w:val="Normal"/>
        <w:keepNext w:val="false"/>
        <w:keepLines w:val="false"/>
        <w:widowControl w:val="false"/>
        <w:shd w:val="clear" w:fill="auto"/>
        <w:spacing w:lineRule="auto" w:line="276" w:before="288" w:after="0"/>
        <w:ind w:left="696" w:right="-28" w:hanging="0"/>
        <w:jc w:val="left"/>
        <w:rPr/>
      </w:pPr>
      <w:r>
        <w:rPr>
          <w:rFonts w:eastAsia="Times New Roman" w:cs="Times New Roman" w:ascii="Times New Roman" w:hAnsi="Times New Roman"/>
        </w:rPr>
        <w:t>For clarity, we added “in which the hypothesis of hybrid resistance/susceptibility to parasite was never tested.”  (lines 97-98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88-91: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Trouble with excluding “zero” loads of the analysis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keepNext w:val="false"/>
        <w:keepLines w:val="false"/>
        <w:widowControl w:val="false"/>
        <w:shd w:val="clear" w:fill="auto"/>
        <w:spacing w:lineRule="auto" w:line="276" w:before="297" w:after="0"/>
        <w:ind w:left="335" w:right="4584"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not yet encounter the parasites, </w:t>
      </w:r>
    </w:p>
    <w:p>
      <w:pPr>
        <w:pStyle w:val="Normal"/>
        <w:keepNext w:val="false"/>
        <w:keepLines w:val="false"/>
        <w:widowControl w:val="false"/>
        <w:shd w:val="clear" w:fill="auto"/>
        <w:spacing w:lineRule="auto" w:line="276" w:before="100" w:after="0"/>
        <w:ind w:left="335"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keepNext w:val="false"/>
        <w:keepLines w:val="false"/>
        <w:widowControl w:val="false"/>
        <w:shd w:val="clear" w:fill="auto"/>
        <w:spacing w:lineRule="auto" w:line="276" w:before="100" w:after="0"/>
        <w:ind w:left="335" w:right="24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before those around you and have already eliminate the parasites </w:t>
      </w:r>
    </w:p>
    <w:p>
      <w:pPr>
        <w:pStyle w:val="Normal"/>
        <w:keepNext w:val="false"/>
        <w:keepLines w:val="false"/>
        <w:widowControl w:val="false"/>
        <w:shd w:val="clear" w:fill="auto"/>
        <w:spacing w:lineRule="auto" w:line="276" w:before="96" w:after="0"/>
        <w:ind w:left="335"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in the same time than those around you but you have been successful to eliminate the parasites, while the others no (or not yet) </w:t>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This comment, as well as several mentioned later on, helped us to improve our article in the following way. We:</w:t>
      </w:r>
    </w:p>
    <w:p>
      <w:pPr>
        <w:pStyle w:val="Normal"/>
        <w:keepNext w:val="false"/>
        <w:keepLines w:val="false"/>
        <w:widowControl w:val="false"/>
        <w:numPr>
          <w:ilvl w:val="0"/>
          <w:numId w:val="1"/>
        </w:numPr>
        <w:shd w:val="clear" w:fill="auto"/>
        <w:spacing w:lineRule="auto" w:line="276" w:before="96" w:afterAutospacing="0" w:after="0"/>
        <w:ind w:left="720" w:right="-33" w:hanging="360"/>
        <w:jc w:val="both"/>
        <w:rPr/>
      </w:pPr>
      <w:r>
        <w:rPr>
          <w:rFonts w:eastAsia="Times New Roman" w:cs="Times New Roman" w:ascii="Times New Roman" w:hAnsi="Times New Roman"/>
          <w:color w:val="980000"/>
          <w:sz w:val="22"/>
          <w:szCs w:val="22"/>
        </w:rPr>
        <w:t>added a detailed paragraph describing our approach (lines 196-210 new) integrating information on the SIR model and how we approach it in our model</w:t>
      </w:r>
    </w:p>
    <w:p>
      <w:pPr>
        <w:pStyle w:val="Normal"/>
        <w:keepNext w:val="false"/>
        <w:keepLines w:val="false"/>
        <w:widowControl w:val="false"/>
        <w:numPr>
          <w:ilvl w:val="0"/>
          <w:numId w:val="1"/>
        </w:numPr>
        <w:shd w:val="clear" w:fill="auto"/>
        <w:spacing w:lineRule="auto" w:line="276" w:beforeAutospacing="0" w:before="0" w:afterAutospacing="0" w:after="0"/>
        <w:ind w:left="720" w:right="-33" w:hanging="360"/>
        <w:jc w:val="both"/>
        <w:rPr/>
      </w:pPr>
      <w:r>
        <w:rPr>
          <w:rFonts w:eastAsia="Times New Roman" w:cs="Times New Roman" w:ascii="Times New Roman" w:hAnsi="Times New Roman"/>
          <w:color w:val="980000"/>
          <w:sz w:val="22"/>
          <w:szCs w:val="22"/>
        </w:rPr>
        <w:t>tested for potential differences in mortality of hybrids (lines 222-237; lines 335-343)</w:t>
      </w:r>
    </w:p>
    <w:p>
      <w:pPr>
        <w:pStyle w:val="Normal"/>
        <w:keepNext w:val="false"/>
        <w:keepLines w:val="false"/>
        <w:widowControl w:val="false"/>
        <w:numPr>
          <w:ilvl w:val="0"/>
          <w:numId w:val="1"/>
        </w:numPr>
        <w:shd w:val="clear" w:fill="auto"/>
        <w:spacing w:lineRule="auto" w:line="276" w:beforeAutospacing="0" w:before="0" w:after="0"/>
        <w:ind w:left="720" w:right="-33" w:hanging="360"/>
        <w:jc w:val="both"/>
        <w:rPr/>
      </w:pPr>
      <w:r>
        <w:rPr>
          <w:rFonts w:eastAsia="Times New Roman" w:cs="Times New Roman" w:ascii="Times New Roman" w:hAnsi="Times New Roman"/>
          <w:color w:val="980000"/>
          <w:sz w:val="22"/>
          <w:szCs w:val="22"/>
        </w:rPr>
        <w:t>added a new f</w:t>
      </w:r>
      <w:r>
        <w:rPr>
          <w:rFonts w:eastAsia="Times New Roman" w:cs="Times New Roman" w:ascii="Times New Roman" w:hAnsi="Times New Roman"/>
          <w:color w:val="980000"/>
        </w:rPr>
        <w:t>igure reporting the result (Supplementary Figure S6)</w:t>
      </w:r>
    </w:p>
    <w:p>
      <w:pPr>
        <w:pStyle w:val="Normal"/>
        <w:keepNext w:val="false"/>
        <w:keepLines w:val="false"/>
        <w:widowControl w:val="false"/>
        <w:shd w:val="clear" w:fill="auto"/>
        <w:spacing w:lineRule="auto" w:line="276" w:before="96" w:after="0"/>
        <w:ind w:left="335" w:right="-33" w:hanging="0"/>
        <w:jc w:val="both"/>
        <w:rPr>
          <w:rFonts w:ascii="Times New Roman" w:hAnsi="Times New Roman" w:eastAsia="Times New Roman" w:cs="Times New Roman"/>
          <w:color w:val="1C1D1E"/>
        </w:rPr>
      </w:pPr>
      <w:r>
        <w:rPr>
          <w:rFonts w:eastAsia="Times New Roman" w:cs="Times New Roman" w:ascii="Times New Roman" w:hAnsi="Times New Roman"/>
          <w:color w:val="1C1D1E"/>
        </w:rPr>
        <w:t xml:space="preserve"> </w:t>
      </w:r>
      <w:r>
        <w:rPr>
          <w:rFonts w:eastAsia="Times New Roman" w:cs="Times New Roman" w:ascii="Times New Roman" w:hAnsi="Times New Roman"/>
          <w:color w:val="1C1D1E"/>
        </w:rPr>
        <w:tab/>
      </w:r>
    </w:p>
    <w:p>
      <w:pPr>
        <w:pStyle w:val="Normal"/>
        <w:keepNext w:val="false"/>
        <w:keepLines w:val="false"/>
        <w:widowControl w:val="false"/>
        <w:shd w:val="clear" w:fill="auto"/>
        <w:spacing w:lineRule="auto" w:line="276" w:before="96" w:after="0"/>
        <w:ind w:left="0"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as been important in evaluating difference in resistance or susceptibility. See specific comments on “parasitological indexes approach”. </w:t>
      </w:r>
    </w:p>
    <w:p>
      <w:pPr>
        <w:pStyle w:val="Normal"/>
        <w:widowControl w:val="false"/>
        <w:spacing w:lineRule="auto" w:line="240" w:before="96" w:after="0"/>
        <w:ind w:left="335" w:right="-33" w:hanging="0"/>
        <w:jc w:val="both"/>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u w:val="single"/>
        </w:rPr>
        <w:t>the authors should compare the respective portions of “zero” loads in parental and hybrid mices</w:t>
      </w:r>
      <w:r>
        <w:rPr>
          <w:rFonts w:eastAsia="Times New Roman" w:cs="Times New Roman" w:ascii="Times New Roman" w:hAnsi="Times New Roman"/>
          <w:sz w:val="22"/>
          <w:szCs w:val="22"/>
        </w:rPr>
        <w:t>” is the exact analysis we are conducting on a continuous scale of hybridization, using a logistic regression. We reworded the section of material and methods to make this more clear. (lines 220-232 new).</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agree and removed the term “epidemiological”.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101-102 “The trapping was designed to capture both parental and hybrid/recombinant populations.”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Not clear</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bias between hybrid or parental mouse trapping is (are) expected?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agree with a possible confusion of the terms, “trapping” could mean “location of trapping” (the way we use it) or “method of trapping” (not expected to differ across hybridization scale). We detail by replacing “The trapping w</w:t>
      </w:r>
      <w:r>
        <w:rPr>
          <w:rFonts w:eastAsia="Times New Roman" w:cs="Times New Roman" w:ascii="Times New Roman" w:hAnsi="Times New Roman"/>
        </w:rPr>
        <w:t>as designed” by “The locations for trapping were selected in a geographical range allowing ”</w:t>
      </w:r>
      <w:r>
        <w:rPr>
          <w:rFonts w:eastAsia="Times New Roman" w:cs="Times New Roman" w:ascii="Times New Roman" w:hAnsi="Times New Roman"/>
          <w:sz w:val="22"/>
          <w:szCs w:val="22"/>
        </w:rPr>
        <w:t xml:space="preserve"> (line 111-112 new)</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102-108: Sexing? Pregnancy statement? Age estimation (even categories)? The age could be interfering factor in Body Condition (see upcoming comments)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spacing w:lineRule="auto" w:line="240" w:before="288" w:after="0"/>
        <w:ind w:left="696" w:right="-23" w:hanging="0"/>
        <w:jc w:val="both"/>
        <w:rPr>
          <w:rFonts w:ascii="Times New Roman" w:hAnsi="Times New Roman" w:eastAsia="Times New Roman" w:cs="Times New Roman"/>
          <w:b/>
          <w:b/>
        </w:rPr>
      </w:pPr>
      <w:r>
        <w:rPr>
          <w:rFonts w:eastAsia="Times New Roman" w:cs="Times New Roman" w:ascii="Times New Roman" w:hAnsi="Times New Roman"/>
        </w:rPr>
        <w:t xml:space="preserve">We adding information in the text (lines 321-323) as well as in the new </w:t>
      </w:r>
      <w:r>
        <w:rPr>
          <w:rFonts w:eastAsia="Times New Roman" w:cs="Times New Roman" w:ascii="Times New Roman" w:hAnsi="Times New Roman"/>
          <w:b/>
        </w:rPr>
        <w:t>Supplementary Table S4.</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difference in reliability of HI determined with 4 or 14 diagnostic loci is too high</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keepNext w:val="false"/>
        <w:keepLines w:val="false"/>
        <w:widowControl w:val="false"/>
        <w:shd w:val="clear" w:fill="auto"/>
        <w:spacing w:lineRule="auto" w:line="276" w:before="288" w:after="0"/>
        <w:ind w:left="686" w:right="3667"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are the remaining 8% distributed from 4 to 9? </w:t>
      </w:r>
    </w:p>
    <w:p>
      <w:pPr>
        <w:pStyle w:val="Normal"/>
        <w:keepNext w:val="false"/>
        <w:keepLines w:val="false"/>
        <w:widowControl w:val="false"/>
        <w:shd w:val="clear" w:fill="auto"/>
        <w:spacing w:lineRule="auto" w:line="276" w:before="288" w:after="0"/>
        <w:ind w:left="686"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keepNext w:val="false"/>
        <w:keepLines w:val="false"/>
        <w:widowControl w:val="false"/>
        <w:shd w:val="clear" w:fill="auto"/>
        <w:spacing w:lineRule="auto" w:line="276" w:before="288" w:after="0"/>
        <w:ind w:left="686"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-Why do not eliminate these 8% or at least all the individuals among these 8% with less than 7 exploitable diagnostic loci.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how do the authors explain such a large percentage of missing data (8% below 10 from 14 tested loci (indeed 13 for all the mice, as YNPAR is not present in females ))? See further comments on results and table S1. </w:t>
      </w:r>
    </w:p>
    <w:p>
      <w:pPr>
        <w:pStyle w:val="Normal"/>
        <w:widowControl w:val="false"/>
        <w:spacing w:lineRule="auto" w:line="240" w:before="288" w:after="0"/>
        <w:ind w:left="696" w:right="-28" w:hanging="0"/>
        <w:jc w:val="both"/>
        <w:rPr/>
      </w:pPr>
      <w:r>
        <w:rPr>
          <w:rFonts w:eastAsia="Times New Roman" w:cs="Times New Roman" w:ascii="Times New Roman" w:hAnsi="Times New Roman"/>
        </w:rPr>
        <w:t>For the sake of transparency we provided originally as supplementary material our full raw data file, including mice non used for the analysis (N=10) for insufficient data on them, or because they were embryos. W</w:t>
      </w:r>
      <w:r>
        <w:rPr>
          <w:rFonts w:eastAsia="Times New Roman" w:cs="Times New Roman" w:ascii="Times New Roman" w:hAnsi="Times New Roman"/>
          <w:sz w:val="22"/>
          <w:szCs w:val="22"/>
        </w:rPr>
        <w:t>e had previously supplied, for each analysis, the number of mice considered. We now clarify this further as we:</w:t>
      </w:r>
    </w:p>
    <w:p>
      <w:pPr>
        <w:pStyle w:val="Normal"/>
        <w:widowControl w:val="false"/>
        <w:numPr>
          <w:ilvl w:val="0"/>
          <w:numId w:val="2"/>
        </w:numPr>
        <w:spacing w:lineRule="auto" w:line="240"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added the histogram of distribution of markers, as well as the distribution along the hybrid index, for each analysis (lines 131-133 new; </w:t>
      </w:r>
      <w:r>
        <w:rPr>
          <w:rFonts w:eastAsia="Times New Roman" w:cs="Times New Roman" w:ascii="Times New Roman" w:hAnsi="Times New Roman"/>
          <w:b/>
          <w:sz w:val="22"/>
          <w:szCs w:val="22"/>
        </w:rPr>
        <w:t>Supplementary Figure S1)</w:t>
      </w:r>
    </w:p>
    <w:p>
      <w:pPr>
        <w:pStyle w:val="Normal"/>
        <w:widowControl w:val="false"/>
        <w:numPr>
          <w:ilvl w:val="0"/>
          <w:numId w:val="2"/>
        </w:numPr>
        <w:spacing w:lineRule="auto" w:line="240" w:beforeAutospacing="0" w:before="0"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removed 10 confusing mice from row data table (previous Supplementary Table S1, now </w:t>
      </w:r>
      <w:r>
        <w:rPr>
          <w:rFonts w:eastAsia="Times New Roman" w:cs="Times New Roman" w:ascii="Times New Roman" w:hAnsi="Times New Roman"/>
          <w:b/>
          <w:sz w:val="22"/>
          <w:szCs w:val="22"/>
        </w:rPr>
        <w:t>Supplementary Table S3)</w:t>
      </w:r>
    </w:p>
    <w:p>
      <w:pPr>
        <w:pStyle w:val="Normal"/>
        <w:widowControl w:val="false"/>
        <w:numPr>
          <w:ilvl w:val="0"/>
          <w:numId w:val="2"/>
        </w:numPr>
        <w:spacing w:lineRule="auto" w:line="240"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added in this table columns corresponding to each analysis, with “yes” or “no”, to see in a glance which mouse was used for which analysis (</w:t>
      </w:r>
      <w:r>
        <w:rPr>
          <w:rFonts w:eastAsia="Times New Roman" w:cs="Times New Roman" w:ascii="Times New Roman" w:hAnsi="Times New Roman"/>
        </w:rPr>
        <w:t>our qPCR technique was not optimised before 2016, hence this was used only for 2016 and 2017 (years and number of mice already mentioned in the text).</w:t>
      </w:r>
    </w:p>
    <w:p>
      <w:pPr>
        <w:pStyle w:val="Normal"/>
        <w:widowControl w:val="false"/>
        <w:spacing w:lineRule="auto" w:line="240" w:before="288" w:after="0"/>
        <w:ind w:right="-28" w:hanging="0"/>
        <w:jc w:val="both"/>
        <w:rPr/>
      </w:pPr>
      <w:r>
        <w:rPr>
          <w:rFonts w:eastAsia="Times New Roman" w:cs="Times New Roman" w:ascii="Times New Roman" w:hAnsi="Times New Roman"/>
        </w:rPr>
        <w:t xml:space="preserve">These modifications did not change any results previously shown, as we never used the full raw data but only the indicated subset. The analysis is openly available in full detail at </w:t>
      </w:r>
      <w:hyperlink r:id="rId3">
        <w:r>
          <w:rPr>
            <w:rStyle w:val="InternetLink"/>
            <w:rFonts w:eastAsia="Times New Roman" w:cs="Times New Roman" w:ascii="Times new roman" w:hAnsi="Times new roman"/>
          </w:rPr>
          <w:t>https://github.com/alicebalard/Article_IntensityEimeriaHMHZ/tree/master/code</w:t>
        </w:r>
      </w:hyperlink>
      <w:r>
        <w:rPr>
          <w:rFonts w:eastAsia="Times New Roman" w:cs="Times New Roman" w:ascii="Times New Roman" w:hAnsi="Times New Roman"/>
        </w:rPr>
        <w:t xml:space="preserve">  (indicated in lines 301-302 new). We, however, made the supplementary file self-explanatory without consultation this code. Importantly, the analyses had never been incoherent and the number of mice was indicated in the original version of the manuscript for all analyses. </w:t>
      </w:r>
    </w:p>
    <w:p>
      <w:pPr>
        <w:pStyle w:val="Normal"/>
        <w:keepNext w:val="false"/>
        <w:keepLines w:val="false"/>
        <w:widowControl w:val="false"/>
        <w:shd w:val="clear" w:fill="auto"/>
        <w:spacing w:lineRule="auto" w:line="276" w:before="288" w:after="0"/>
        <w:ind w:left="-24" w:right="-136"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118: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H6PD in the text is listed as GPD1 in Table S1. </w:t>
      </w:r>
    </w:p>
    <w:p>
      <w:pPr>
        <w:pStyle w:val="Normal"/>
        <w:keepNext w:val="false"/>
        <w:keepLines w:val="false"/>
        <w:widowControl w:val="false"/>
        <w:shd w:val="clear" w:fill="auto"/>
        <w:spacing w:lineRule="auto" w:line="276" w:before="288" w:after="0"/>
        <w:ind w:left="696" w:right="-136" w:hanging="0"/>
        <w:jc w:val="left"/>
        <w:rPr>
          <w:rFonts w:ascii="Times new roman" w:hAnsi="Times new roman"/>
          <w:color w:val="000000"/>
          <w:sz w:val="22"/>
          <w:szCs w:val="22"/>
        </w:rPr>
      </w:pPr>
      <w:r>
        <w:rPr>
          <w:rFonts w:eastAsia="Times New Roman" w:cs="Times New Roman" w:ascii="Times new roman" w:hAnsi="Times new roman"/>
          <w:color w:val="000000"/>
          <w:sz w:val="22"/>
          <w:szCs w:val="22"/>
        </w:rPr>
        <w:t>Thanks for pointing this inconsistency, we corrected it. We</w:t>
      </w:r>
      <w:r>
        <w:rPr>
          <w:rFonts w:eastAsia="Times New Roman" w:cs="Times New Roman" w:ascii="Times new roman" w:hAnsi="Times new roman"/>
          <w:b w:val="false"/>
          <w:i w:val="false"/>
          <w:caps w:val="false"/>
          <w:smallCaps w:val="false"/>
          <w:color w:val="000000"/>
          <w:spacing w:val="0"/>
          <w:sz w:val="22"/>
          <w:szCs w:val="22"/>
        </w:rPr>
        <w:t xml:space="preserve"> have used in the text (changed from previous papers) the name of the gene (</w:t>
      </w:r>
      <w:r>
        <w:rPr>
          <w:rFonts w:eastAsia="Times New Roman" w:cs="Times New Roman" w:ascii="Times new roman" w:hAnsi="Times new roman"/>
          <w:b w:val="false"/>
          <w:i/>
          <w:color w:val="000000"/>
          <w:spacing w:val="0"/>
          <w:sz w:val="22"/>
          <w:szCs w:val="22"/>
        </w:rPr>
        <w:t>H6pd</w:t>
      </w:r>
      <w:r>
        <w:rPr>
          <w:rFonts w:eastAsia="Times New Roman" w:cs="Times New Roman" w:ascii="Times new roman" w:hAnsi="Times new roman"/>
          <w:b w:val="false"/>
          <w:i w:val="false"/>
          <w:caps w:val="false"/>
          <w:smallCaps w:val="false"/>
          <w:color w:val="000000"/>
          <w:spacing w:val="0"/>
          <w:sz w:val="22"/>
          <w:szCs w:val="22"/>
        </w:rPr>
        <w:t xml:space="preserve">) according to current version of the MGI database. We changed it now also in the </w:t>
      </w:r>
      <w:r>
        <w:rPr>
          <w:rFonts w:eastAsia="Times New Roman" w:cs="Times New Roman" w:ascii="Times new roman" w:hAnsi="Times new roman"/>
          <w:b/>
          <w:bCs/>
          <w:i w:val="false"/>
          <w:caps w:val="false"/>
          <w:smallCaps w:val="false"/>
          <w:color w:val="000000"/>
          <w:spacing w:val="0"/>
          <w:sz w:val="22"/>
          <w:szCs w:val="22"/>
        </w:rPr>
        <w:t xml:space="preserve">Supplementary Table S3 </w:t>
      </w:r>
      <w:r>
        <w:rPr>
          <w:rFonts w:eastAsia="Times New Roman" w:cs="Times New Roman" w:ascii="Times new roman" w:hAnsi="Times new roman"/>
          <w:b w:val="false"/>
          <w:i w:val="false"/>
          <w:caps w:val="false"/>
          <w:smallCaps w:val="false"/>
          <w:color w:val="000000"/>
          <w:spacing w:val="0"/>
          <w:sz w:val="22"/>
          <w:szCs w:val="22"/>
        </w:rPr>
        <w:t>(ex S1).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122-123 : “...(graphical resolution increased over defaults) based on a subset of the six autosomal markers that were genotyped in all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contradicts what is written previously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some mice have been genotyped only on 4 markers so the minimum 6 autosomal ones are not there! See futher comments on results and table S1 </w:t>
      </w:r>
    </w:p>
    <w:p>
      <w:pPr>
        <w:pStyle w:val="Normal"/>
        <w:widowControl w:val="false"/>
        <w:spacing w:lineRule="auto" w:line="240" w:before="288" w:after="0"/>
        <w:ind w:left="696" w:right="5"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Thanks for pointing this error, we corrected it in the text, and mention that we estimate the hybrid zone centre with “all individuals with 6 diploid markers (N=598 mice)” (line 137 new)</w:t>
      </w:r>
    </w:p>
    <w:p>
      <w:pPr>
        <w:pStyle w:val="Normal"/>
        <w:keepNext w:val="false"/>
        <w:keepLines w:val="false"/>
        <w:widowControl w:val="false"/>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133-134: focus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tertraptera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S. obvelata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only. </w:t>
      </w:r>
    </w:p>
    <w:p>
      <w:pPr>
        <w:pStyle w:val="Normal"/>
        <w:keepNext w:val="false"/>
        <w:keepLines w:val="false"/>
        <w:widowControl w:val="false"/>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1/Need some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justifications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keepNext w:val="false"/>
        <w:keepLines w:val="false"/>
        <w:widowControl w:val="false"/>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color w:val="073763"/>
          <w:sz w:val="22"/>
          <w:szCs w:val="22"/>
        </w:rPr>
        <w:tab/>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Perhaps in result part as well as in table S1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give some elements on helminth species diversity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evaluate the proportion of the pinworms. </w:t>
      </w:r>
    </w:p>
    <w:p>
      <w:pPr>
        <w:pStyle w:val="Normal"/>
        <w:keepNext w:val="false"/>
        <w:keepLines w:val="false"/>
        <w:widowControl w:val="false"/>
        <w:shd w:val="clear" w:fill="auto"/>
        <w:spacing w:lineRule="auto" w:line="276"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Test was modified and a supplementary figure was added as follow:</w:t>
      </w:r>
    </w:p>
    <w:p>
      <w:pPr>
        <w:pStyle w:val="Normal"/>
        <w:widowControl w:val="false"/>
        <w:spacing w:lineRule="auto" w:line="240" w:before="0" w:after="200"/>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142-144: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primers: specify the source (it seems to be Jarquin-Diaz et al., 2019 and Ahmed et al. , 2019) as well as their universality for the three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present in the HZ. </w:t>
      </w:r>
    </w:p>
    <w:p>
      <w:pPr>
        <w:pStyle w:val="Normal"/>
        <w:keepNext w:val="false"/>
        <w:keepLines w:val="false"/>
        <w:widowControl w:val="false"/>
        <w:shd w:val="clear" w:fill="auto"/>
        <w:spacing w:lineRule="auto" w:line="276" w:before="0" w:after="0"/>
        <w:ind w:left="-24" w:right="191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144-146: house mouse primers: same details than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are needed. </w:t>
      </w:r>
    </w:p>
    <w:p>
      <w:pPr>
        <w:pStyle w:val="Normal"/>
        <w:widowControl w:val="false"/>
        <w:spacing w:lineRule="auto" w:line="240" w:before="288" w:after="0"/>
        <w:ind w:left="696" w:right="-28"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We added the adequate reference and details (lines 159, 162, 164 new)</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151-160.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Major lacks of explanation and validation of the protocol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 </w:t>
      </w:r>
    </w:p>
    <w:p>
      <w:pPr>
        <w:pStyle w:val="Normal"/>
        <w:keepNext w:val="false"/>
        <w:keepLines w:val="false"/>
        <w:widowControl w:val="false"/>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rPr>
        <w:tab/>
      </w: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173 ff new)</w:t>
      </w:r>
      <w:r>
        <w:rPr>
          <w:rFonts w:eastAsia="Times New Roman" w:cs="Times New Roman" w:ascii="Times New Roman" w:hAnsi="Times New Roman"/>
          <w:color w:val="073763"/>
        </w:rPr>
        <w:tab/>
      </w:r>
      <w:r>
        <w:rPr>
          <w:rFonts w:eastAsia="Times New Roman" w:cs="Times New Roman" w:ascii="Times New Roman" w:hAnsi="Times New Roman"/>
          <w:color w:val="073763"/>
          <w:sz w:val="22"/>
          <w:szCs w:val="22"/>
        </w:rPr>
        <w:t xml:space="preserve">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164-165 :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hybridicity which is genetically and statistically more appropriate.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166: “and only median intensity for Eimeria spp”.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of explanation.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(are) the argument (s) to omit abundance in the case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not nematodes?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This is a good point, it is obviously not clear enough based on previous description in material and method. We added some explanation: “For qPCR some uninfected samples present technical noise due to unspecific amplification of non-target DNA. We therefore used a qPCR threshold validated by independent genotyping PCRs (see “Fig. 4” of Jarquín-Díaz et al., 2019) to establish the infection status of each sample (and we don’t report abundance for Eimeria, see Jarquín-Díaz et al., 2019 for details).” (line 194-198 new)</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166 -170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repetition of the above lines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w:t>
      </w:r>
      <w:r>
        <w:rPr>
          <w:rFonts w:eastAsia="Times New Roman" w:cs="Times New Roman" w:ascii="Times New Roman" w:hAnsi="Times New Roman"/>
          <w:color w:val="073763"/>
          <w:sz w:val="22"/>
          <w:szCs w:val="22"/>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162-166.</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rPr>
        <w:t>We thank the reviewer for pointing out this mistake, we removed the incriminated repetition.</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176 -177.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Review the statement of the epidemiological model basis.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 sp</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induced mortality?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720" w:right="-28" w:hanging="0"/>
        <w:jc w:val="both"/>
        <w:rPr/>
      </w:pPr>
      <w:r>
        <w:rPr>
          <w:rFonts w:eastAsia="Times New Roman" w:cs="Times New Roman" w:ascii="Times New Roman" w:hAnsi="Times New Roman"/>
          <w:sz w:val="22"/>
          <w:szCs w:val="22"/>
        </w:rPr>
        <w:t xml:space="preserve">This was fully modified and developed, see our answer to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180.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Relevance of the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 do not see in which way the work of Poulin 2013 supports the two categories subdivision of the model. Inappropriate.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removed the reference.</w:t>
      </w:r>
    </w:p>
    <w:p>
      <w:pPr>
        <w:pStyle w:val="Normal"/>
        <w:keepNext w:val="false"/>
        <w:keepLines w:val="false"/>
        <w:widowControl w:val="false"/>
        <w:shd w:val="clear" w:fill="auto"/>
        <w:spacing w:lineRule="auto" w:line="276" w:before="288" w:after="0"/>
        <w:ind w:left="-3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181 -183. Using a proxy that equate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musculus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and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domesticus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The authors make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 a priori of equality of the two mouse genomes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keepNext w:val="false"/>
        <w:keepLines w:val="false"/>
        <w:widowControl w:val="false"/>
        <w:shd w:val="clear" w:fill="auto"/>
        <w:spacing w:lineRule="auto" w:line="276" w:before="0" w:after="0"/>
        <w:ind w:left="-24" w:right="-23"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the counterpart parasite species/ taxa/ genotype P1 associated to host HI =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At least this simplifying choice must be argued and discussed. </w:t>
      </w:r>
    </w:p>
    <w:p>
      <w:pPr>
        <w:pStyle w:val="Normal"/>
        <w:keepNext w:val="false"/>
        <w:keepLines w:val="false"/>
        <w:widowControl w:val="false"/>
        <w:shd w:val="clear" w:fill="auto"/>
        <w:spacing w:lineRule="auto" w:line="276" w:before="0" w:after="0"/>
        <w:ind w:left="69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b/>
        <w:t xml:space="preserve"> </w:t>
        <w:tab/>
        <w:t xml:space="preserve"> </w:t>
        <w:tab/>
      </w:r>
    </w:p>
    <w:p>
      <w:pPr>
        <w:pStyle w:val="Normal"/>
        <w:widowControl w:val="false"/>
        <w:numPr>
          <w:ilvl w:val="0"/>
          <w:numId w:val="3"/>
        </w:numPr>
        <w:spacing w:lineRule="auto" w:line="240" w:before="0" w:afterAutospacing="0" w:after="0"/>
        <w:ind w:left="720" w:hanging="360"/>
        <w:jc w:val="both"/>
        <w:rPr/>
      </w:pPr>
      <w:r>
        <w:rPr>
          <w:rFonts w:eastAsia="Times New Roman" w:cs="Times New Roman" w:ascii="Times New Roman" w:hAnsi="Times New Roman"/>
          <w:sz w:val="22"/>
          <w:szCs w:val="22"/>
        </w:rPr>
        <w:t xml:space="preserve">We added justification for this choice (lines 224-233 new) </w:t>
      </w:r>
    </w:p>
    <w:p>
      <w:pPr>
        <w:pStyle w:val="Normal"/>
        <w:widowControl w:val="false"/>
        <w:numPr>
          <w:ilvl w:val="0"/>
          <w:numId w:val="3"/>
        </w:numPr>
        <w:spacing w:lineRule="auto" w:line="240" w:before="0" w:after="200"/>
        <w:ind w:left="720" w:hanging="360"/>
        <w:jc w:val="both"/>
        <w:rPr/>
      </w:pPr>
      <w:r>
        <w:rPr>
          <w:rFonts w:eastAsia="Times New Roman" w:cs="Times New Roman" w:ascii="Times New Roman" w:hAnsi="Times New Roman"/>
          <w:sz w:val="22"/>
          <w:szCs w:val="22"/>
        </w:rPr>
        <w:t>We tested separately on both sides, and found similar results (</w:t>
      </w:r>
      <w:r>
        <w:rPr>
          <w:rFonts w:eastAsia="Times New Roman" w:cs="Times New Roman" w:ascii="Times New Roman" w:hAnsi="Times New Roman"/>
        </w:rPr>
        <w:t>Supplementary Figure S5)</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188 à 229: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statistical analyses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use the global methodology proposed by Baird et al. 2012. I am not expert in this area but the approach seems clearly explained in this previous 2012 work. However, in this study,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for instance, equ 5 – line 199 à 202- is not enough explained (as well as the alpha parameter) whereas this is the main parameter use to compare parasite load!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did not want to overload the text by repeating the very complete and detailed development given in Baird et al. 2012. We here provide a shortened (maybe more technical explanation detailing all formulas used). We would be happy to take any comment to improve the clarity without falling into repetition but so far we do not see what should be added.</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more general and basic criticism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(1986). Indeed, the two statistical approaches went in the same direction, but,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my opinion, it is insufficiently demonstrated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keepNext w:val="false"/>
        <w:keepLines w:val="false"/>
        <w:widowControl w:val="false"/>
        <w:shd w:val="clear" w:fill="auto"/>
        <w:spacing w:lineRule="auto" w:line="276" w:before="288" w:after="0"/>
        <w:ind w:left="696" w:right="-33" w:hanging="0"/>
        <w:jc w:val="both"/>
        <w:rPr/>
      </w:pPr>
      <w:r>
        <w:rPr>
          <w:rFonts w:eastAsia="Times New Roman" w:cs="Times New Roman" w:ascii="Times New Roman" w:hAnsi="Times New Roman"/>
          <w:sz w:val="22"/>
          <w:szCs w:val="22"/>
        </w:rPr>
        <w:t>We strongly disagree with this the reasoning behind ths statement. One cannot validate a conceptual framework by comparing it with older, less biologically meaningful, less p</w:t>
      </w:r>
      <w:r>
        <w:rPr>
          <w:rFonts w:eastAsia="Times New Roman" w:cs="Times New Roman" w:ascii="Times New Roman" w:hAnsi="Times New Roman"/>
        </w:rPr>
        <w:t>owerful previous one.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i/>
        </w:rPr>
        <w:t>HI</w:t>
      </w:r>
      <w:r>
        <w:rPr>
          <w:rFonts w:eastAsia="Times New Roman" w:cs="Times New Roman" w:ascii="Times New Roman" w:hAnsi="Times New Roman"/>
        </w:rPr>
        <w:t xml:space="preserve">) can be used to place any mouse on a linear scale from </w:t>
      </w:r>
      <w:r>
        <w:rPr>
          <w:rFonts w:eastAsia="Times New Roman" w:cs="Times New Roman" w:ascii="Times New Roman" w:hAnsi="Times New Roman"/>
          <w:i/>
        </w:rPr>
        <w:t>musculus</w:t>
      </w:r>
      <w:r>
        <w:rPr>
          <w:rFonts w:eastAsia="Times New Roman" w:cs="Times New Roman" w:ascii="Times New Roman" w:hAnsi="Times New Roman"/>
        </w:rPr>
        <w:t xml:space="preserve"> to </w:t>
      </w:r>
      <w:r>
        <w:rPr>
          <w:rFonts w:eastAsia="Times New Roman" w:cs="Times New Roman" w:ascii="Times New Roman" w:hAnsi="Times New Roman"/>
          <w:i/>
        </w:rPr>
        <w:t>domesticus</w:t>
      </w:r>
      <w:r>
        <w:rPr>
          <w:rFonts w:eastAsia="Times New Roman" w:cs="Times New Roman" w:ascii="Times New Roman" w:hAnsi="Times New Roman"/>
        </w:rPr>
        <w:t xml:space="preserve">depending on the count of </w:t>
      </w:r>
      <w:r>
        <w:rPr>
          <w:rFonts w:eastAsia="Times New Roman" w:cs="Times New Roman" w:ascii="Times New Roman" w:hAnsi="Times New Roman"/>
          <w:i/>
        </w:rPr>
        <w:t>domesticus</w:t>
      </w:r>
      <w:r>
        <w:rPr>
          <w:rFonts w:eastAsia="Times New Roman" w:cs="Times New Roman" w:ascii="Times New Roman" w:hAnsi="Times New Roman"/>
        </w:rPr>
        <w:t xml:space="preserve"> alleles at assayed loci.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i/>
        </w:rPr>
        <w:t>HI</w:t>
      </w:r>
      <w:r>
        <w:rPr>
          <w:rFonts w:eastAsia="Times New Roman" w:cs="Times New Roman" w:ascii="Times New Roman" w:hAnsi="Times New Roman"/>
        </w:rPr>
        <w:t xml:space="preserve"> as percentage </w:t>
      </w:r>
      <w:r>
        <w:rPr>
          <w:rFonts w:eastAsia="Times New Roman" w:cs="Times New Roman" w:ascii="Times New Roman" w:hAnsi="Times New Roman"/>
          <w:i/>
        </w:rPr>
        <w:t>domesticus</w:t>
      </w:r>
      <w:r>
        <w:rPr>
          <w:rFonts w:eastAsia="Times New Roman" w:cs="Times New Roman" w:ascii="Times New Roman" w:hAnsi="Times New Roman"/>
        </w:rPr>
        <w:t xml:space="preserve">, “hybrids” have 12.5% &lt; </w:t>
      </w:r>
      <w:r>
        <w:rPr>
          <w:rFonts w:eastAsia="Times New Roman" w:cs="Times New Roman" w:ascii="Times New Roman" w:hAnsi="Times New Roman"/>
          <w:i/>
        </w:rPr>
        <w:t>HI</w:t>
      </w:r>
      <w:r>
        <w:rPr>
          <w:rFonts w:eastAsia="Times New Roman" w:cs="Times New Roman" w:ascii="Times New Roman" w:hAnsi="Times New Roman"/>
        </w:rPr>
        <w:t xml:space="preserve"> &lt; 87.5% in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20% &lt; </w:t>
      </w:r>
      <w:r>
        <w:rPr>
          <w:rFonts w:eastAsia="Times New Roman" w:cs="Times New Roman" w:ascii="Times New Roman" w:hAnsi="Times New Roman"/>
          <w:i/>
        </w:rPr>
        <w:t>HI</w:t>
      </w:r>
      <w:r>
        <w:rPr>
          <w:rFonts w:eastAsia="Times New Roman" w:cs="Times New Roman" w:ascii="Times New Roman" w:hAnsi="Times New Roman"/>
        </w:rPr>
        <w:t xml:space="preserve"> &lt; 60% in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2% &lt; </w:t>
      </w:r>
      <w:r>
        <w:rPr>
          <w:rFonts w:eastAsia="Times New Roman" w:cs="Times New Roman" w:ascii="Times New Roman" w:hAnsi="Times New Roman"/>
          <w:i/>
        </w:rPr>
        <w:t>HI</w:t>
      </w:r>
      <w:r>
        <w:rPr>
          <w:rFonts w:eastAsia="Times New Roman" w:cs="Times New Roman" w:ascii="Times New Roman" w:hAnsi="Times New Roman"/>
        </w:rPr>
        <w:t xml:space="preserve"> &lt; 97% in </w:t>
      </w:r>
      <w:r>
        <w:fldChar w:fldCharType="begin"/>
      </w:r>
      <w:r>
        <w:rPr>
          <w:rStyle w:val="ListLabel38"/>
          <w:u w:val="single"/>
          <w:rFonts w:eastAsia="Times New Roman" w:cs="Times New Roman" w:ascii="Times New Roman" w:hAnsi="Times New Roman"/>
        </w:rPr>
        <w:instrText> HYPERLINK "https://onlinelibrary.wiley.com/doi/full/10.1111/j.1558-5646.2012.01633.x" \l "b43"</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(1993)</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w:t>
      </w:r>
    </w:p>
    <w:p>
      <w:pPr>
        <w:pStyle w:val="Normal"/>
        <w:keepNext w:val="false"/>
        <w:keepLines w:val="false"/>
        <w:widowControl w:val="false"/>
        <w:shd w:val="clear" w:fill="auto"/>
        <w:spacing w:lineRule="auto" w:line="276" w:before="288" w:after="0"/>
        <w:ind w:left="696" w:right="-33" w:hanging="0"/>
        <w:jc w:val="both"/>
        <w:rPr/>
      </w:pPr>
      <w:r>
        <w:rPr>
          <w:rFonts w:eastAsia="Times New Roman" w:cs="Times New Roman" w:ascii="Times New Roman" w:hAnsi="Times New Roman"/>
        </w:rPr>
        <w:t xml:space="preserve">Adding analysis in categories would not validate our approach, but misguide readers seemingly validating an inappropriate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213: “which was confirmed for helminth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Baird et al., 2012)”.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Insufficient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Binomial negative is known as relevant distribution for helminths in all kind of host populations (and not only helminths) many previous works and years ago!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color w:val="073763"/>
          <w:sz w:val="22"/>
          <w:szCs w:val="22"/>
        </w:rPr>
        <w:tab/>
      </w:r>
      <w:r>
        <w:rPr>
          <w:rFonts w:eastAsia="Times New Roman" w:cs="Times New Roman" w:ascii="Times New Roman" w:hAnsi="Times New Roman"/>
          <w:sz w:val="22"/>
          <w:szCs w:val="22"/>
        </w:rPr>
        <w:t>We agree, and added “in a previous transect” in the original sentence (line 226 new). More citations were already given at the beginning of the sentence (“The negative binomial distribution should perform well for macroparasite counts (Crofton, 1971; Shaw &amp; Dobson, 1995),[...]”)  (orig. line 213).</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214-215: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added the corresponding plots for clarity as supplementary material (</w:t>
      </w:r>
      <w:r>
        <w:rPr>
          <w:rFonts w:eastAsia="Times New Roman" w:cs="Times New Roman" w:ascii="Times New Roman" w:hAnsi="Times New Roman"/>
          <w:b/>
          <w:sz w:val="22"/>
          <w:szCs w:val="22"/>
        </w:rPr>
        <w:t>Supplementary Figure S4</w:t>
      </w:r>
      <w:r>
        <w:rPr>
          <w:rFonts w:eastAsia="Times New Roman" w:cs="Times New Roman" w:ascii="Times New Roman" w:hAnsi="Times New Roman"/>
          <w:sz w:val="22"/>
          <w:szCs w:val="22"/>
        </w:rPr>
        <w:t>).</w:t>
      </w:r>
    </w:p>
    <w:p>
      <w:pPr>
        <w:pStyle w:val="Normal"/>
        <w:widowControl w:val="false"/>
        <w:spacing w:lineRule="auto" w:line="240" w:before="288" w:after="0"/>
        <w:ind w:left="696" w:right="-28" w:hanging="0"/>
        <w:jc w:val="both"/>
        <w:rPr/>
      </w:pPr>
      <w:r>
        <w:rPr>
          <w:rFonts w:eastAsia="Times New Roman" w:cs="Times New Roman" w:ascii="Times New Roman" w:hAnsi="Times New Roman"/>
          <w:sz w:val="22"/>
          <w:szCs w:val="22"/>
        </w:rPr>
        <w:t>The value of 7.14 is biologically meaningless and confuse the reader, it’s just the best value that maximise the likelihood &amp; allows positive values, so we modified as follow: “In the case of ΔCt</w:t>
      </w:r>
      <w:r>
        <w:rPr>
          <w:rFonts w:eastAsia="Times New Roman" w:cs="Times New Roman" w:ascii="Times New Roman" w:hAnsi="Times New Roman"/>
          <w:sz w:val="22"/>
          <w:szCs w:val="22"/>
          <w:vertAlign w:val="subscript"/>
        </w:rPr>
        <w:t>Mouse</w:t>
      </w:r>
      <w:r>
        <w:rPr>
          <w:rFonts w:eastAsia="Gungsuh" w:cs="Gungsuh" w:ascii="Gungsuh" w:hAnsi="Gungsuh"/>
          <w:i/>
          <w:sz w:val="22"/>
          <w:szCs w:val="22"/>
          <w:vertAlign w:val="subscript"/>
        </w:rPr>
        <w:t>−</w:t>
      </w:r>
      <w:r>
        <w:rPr>
          <w:rFonts w:eastAsia="Times New Roman" w:cs="Times New Roman" w:ascii="Times New Roman" w:hAnsi="Times New Roman"/>
          <w:sz w:val="22"/>
          <w:szCs w:val="22"/>
          <w:vertAlign w:val="subscript"/>
        </w:rPr>
        <w:t>Eimeria</w:t>
      </w:r>
      <w:r>
        <w:rPr>
          <w:rFonts w:eastAsia="Times New Roman" w:cs="Times New Roman" w:ascii="Times New Roman" w:hAnsi="Times New Roman"/>
          <w:sz w:val="22"/>
          <w:szCs w:val="22"/>
        </w:rPr>
        <w:t xml:space="preserve">, the Weibull distribution requires positive values as input. Therefore, we estimated an extra “shift parameter” which was optimized by maximum likelihood..” (lines 273-275 new). </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230 -251. correlating body condition (based on Body Weight) with health status.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argument is given to support these data as indicator of fitness with or without parasite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1</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conclude, I recommend the reading of Wilder et al. 2016.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Functional Ecology 30, 108–115 to question the relevance of BC parameter. Clearly, I am not convinced that this data reflects the health status under infection or not. At least, I would have appreciate the </w:t>
      </w:r>
      <w:r>
        <w:rPr>
          <w:rFonts w:eastAsia="Times New Roman" w:cs="Times New Roman" w:ascii="Times New Roman" w:hAnsi="Times New Roman"/>
          <w:color w:val="073763"/>
          <w:sz w:val="22"/>
          <w:szCs w:val="22"/>
        </w:rPr>
        <w:t xml:space="preserve">authors develop some arguments! See further comments on pathogeny , parasite cost/ host fitness and induced mortality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1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Ullman-Culleré and Foltz. 1999. Laboratory Animal Science. Difference in Relevance of BW to assess the health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i w:val="false"/>
          <w:caps w:val="false"/>
          <w:smallCaps w:val="false"/>
          <w:strike w:val="false"/>
          <w:dstrike w:val="false"/>
          <w:color w:val="073763"/>
          <w:position w:val="0"/>
          <w:sz w:val="19"/>
          <w:sz w:val="19"/>
          <w:szCs w:val="19"/>
          <w:u w:val="none"/>
          <w:vertAlign w:val="baseline"/>
        </w:rPr>
        <w:t xml:space="preserve">How is differences of age in BC taken into account in this very study?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rPr>
        <w:t xml:space="preserve">This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We have the strong opinion that the absence of an effect on health should be the null hypothesis. </w:t>
      </w:r>
    </w:p>
    <w:p>
      <w:pPr>
        <w:pStyle w:val="Normal"/>
        <w:keepNext w:val="false"/>
        <w:keepLines w:val="false"/>
        <w:widowControl w:val="false"/>
        <w:shd w:val="clear" w:fill="auto"/>
        <w:spacing w:lineRule="auto" w:line="276" w:before="288" w:after="0"/>
        <w:ind w:left="-24" w:right="-28" w:hanging="0"/>
        <w:jc w:val="left"/>
        <w:rPr/>
      </w:pPr>
      <w:r>
        <w:rPr>
          <w:rFonts w:eastAsia="Times New Roman" w:cs="Times New Roman" w:ascii="Times New Roman" w:hAnsi="Times New Roman"/>
          <w:b/>
          <w:color w:val="980000"/>
          <w:sz w:val="22"/>
          <w:szCs w:val="22"/>
        </w:rPr>
        <w:t xml:space="preserve">C32.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232-233: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Lake of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At least validate the use of the residue with some previous references. Perhaps Jacobs et al. 1996. OIKOS 77: 61-67?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260 -270: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in this part we understand that sampling of mice studied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and pinworm infections have not been completely identical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384 mice sampled in 2016 and 2017; Pinworms: Between 2014 and 2017, 585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This must be explained before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M&amp;M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C16. </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3 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are pooled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result and the upcoming ones, but theirs distributions across the zone are not equal (Jarquín-Díaz et al., 2019). Only the most largely distributed species must be taken into account to be rigorous. </w:t>
      </w:r>
    </w:p>
    <w:p>
      <w:pPr>
        <w:pStyle w:val="Normal"/>
        <w:keepNext w:val="false"/>
        <w:keepLines w:val="false"/>
        <w:widowControl w:val="false"/>
        <w:shd w:val="clear" w:fill="auto"/>
        <w:spacing w:lineRule="auto" w:line="276" w:before="288" w:after="0"/>
        <w:ind w:left="696" w:right="-33"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C9.</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the author have the possibility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investigate co-infections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sp.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pinworm infections? When comparing number (prevalence) and intensities of co-infections, are parental and hybrid mice identical?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agree that co-infections is a major topic of research. We have the option to investigate co-infection with 2 specific parasites. These mice carry a lot of helminths, coccidia, bacteria… So this investigation would be only a small first glimpse at potential of co-infections. We are currently working on a more complete molecular analysis of parasites and the microbiome of mice in the HMHZ, but don’t consider this in the scope of the current study. </w:t>
      </w:r>
    </w:p>
    <w:p>
      <w:pPr>
        <w:pStyle w:val="Normal"/>
        <w:keepNext w:val="false"/>
        <w:keepLines w:val="false"/>
        <w:widowControl w:val="false"/>
        <w:shd w:val="clear" w:fill="auto"/>
        <w:spacing w:lineRule="auto" w:line="276" w:before="288" w:after="0"/>
        <w:ind w:left="0" w:right="-28" w:hanging="0"/>
        <w:jc w:val="both"/>
        <w:rPr/>
      </w:pPr>
      <w:r>
        <w:rPr>
          <w:rFonts w:eastAsia="Times New Roman" w:cs="Times New Roman" w:ascii="Times New Roman" w:hAnsi="Times New Roman"/>
          <w:b/>
          <w:color w:val="980000"/>
          <w:sz w:val="22"/>
          <w:szCs w:val="22"/>
        </w:rPr>
        <w:t xml:space="preserve">C34.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271-270. This result agrees with the previous parasitological studies of the HZ. Clearly, we do not expected great variation in encounter and ecological parameters in such a limited area.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was never tested with this method (logistic regression modelling prevalence) in the HMHZ</w:t>
      </w:r>
    </w:p>
    <w:p>
      <w:pPr>
        <w:pStyle w:val="Normal"/>
        <w:widowControl w:val="false"/>
        <w:spacing w:lineRule="auto" w:line="240"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279-287 (Results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288-307 (results on Pinworms) and 308-318 (results on Body conditions): these results are coherent only if we agree with the protocol and the previous statements of modeling. See above comments and troubles on this subject.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are sure that our analysis is coherent. We hope the answers to previous comments and additions to the text allow the reviewer and the reader to come to the same conclusion.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obscure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be validated by the reader without more arguments. See more comments on table 1.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All occurrences of “Alpha” in our text are now explained verbatim with “hybridization effect”, we still use the shorthand in tables. We added more explanation at the first occurence: “Alpha represent the hybridization effect, or deviation from additivity between the two parental genomes. “ (lines 234-235 new)</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325-327.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Unclear.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widowControl w:val="false"/>
        <w:spacing w:lineRule="auto" w:line="276" w:before="288" w:after="0"/>
        <w:ind w:left="696" w:right="-28" w:hanging="0"/>
        <w:jc w:val="both"/>
        <w:rPr/>
      </w:pPr>
      <w:r>
        <w:rPr>
          <w:rFonts w:eastAsia="Times New Roman" w:cs="Times New Roman" w:ascii="Times New Roman" w:hAnsi="Times New Roman"/>
        </w:rPr>
        <w:t xml:space="preserve">We developed for clarity on line 412-417 (new) as follow: “ ouse mouse hybrids in the European HMHZ are not first-generation crossings, but rather genetically complex “late generation” recombinants. This means that each of their genomes presents a complex admixture of both Mmm and Mmd ones (Macholán et al., 2007). There is no clear-cut between hybrids and parental individuals. Therefore, individuals in such systems should not be considered in categories, but rather on a continuous scale of “hybridicity” (a hybrid index) when analyzing parasite infections or any other trait (Baird et al., 2012).” This also explains our modelling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331-332: “to de-confound the prevalence and intensity aspects of parasite load”. These two parasitological parameters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are clearly un-confounded and expressed quite different aspect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 of the parasite distributions. I could understand what this sentence suggested for the authors when reading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entire document – even if I am reserved (See specific comments on” parasitological indexes approach”). However, this assertion as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is a misunderstanding of epidemiology and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Moreover, in this very context, it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misused.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part of the text was modified; 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341-342: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very likely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more pathogenic than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(Al-khlifeh et al., 2019; Fuller &amp; Blaustein, 1996; Hakkarainen et al., 2007)”.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Pay attention to the meaning of the sentence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These studies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compare pathogeny of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and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studied the negative impact on health status (even mortality)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C40/1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(ref475).”Then in case of susceptibility (genetically determined or not) pinworms could then not be regarded as weakly pathogenic. </w:t>
      </w:r>
    </w:p>
    <w:p>
      <w:pPr>
        <w:pStyle w:val="Normal"/>
        <w:widowControl w:val="false"/>
        <w:spacing w:lineRule="auto" w:line="240" w:before="288" w:after="0"/>
        <w:ind w:left="696"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C40/2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Above all</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the symptomatic and medical- centered point of view that is pathogeny makes little sense in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Symptoms as well as pathogenic “signals” do not reflect parasite cost on host fitness.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Occurrence of resistance/ tolerance genotypes, as existing among mice from pinworms (Derothe et al. 1997), prove selective pressure and then potential costs.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No field study can ever be perfectly controlled by definition, while no lab study can ever claim to represent natural diversity. We therefore consider that a first field study on two very different parasites, showing the same pattern of hybrid resistance, should discuss this interesting finding. Moreover, our study’s main characteristic is exactly to considers the “</w:t>
      </w:r>
      <w:r>
        <w:rPr>
          <w:rFonts w:eastAsia="Times New Roman" w:cs="Times New Roman" w:ascii="Times New Roman" w:hAnsi="Times New Roman"/>
          <w:color w:val="073763"/>
          <w:sz w:val="22"/>
          <w:szCs w:val="22"/>
        </w:rPr>
        <w:t>analysis of the prevalence of parasites across the zone”.</w:t>
      </w:r>
      <w:r>
        <w:rPr>
          <w:rFonts w:eastAsia="Times New Roman" w:cs="Times New Roman" w:ascii="Times New Roman" w:hAnsi="Times New Roman"/>
          <w:b/>
          <w:color w:val="073763"/>
          <w:sz w:val="22"/>
          <w:szCs w:val="22"/>
        </w:rPr>
        <w:t xml:space="preserve"> </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C42. </w:t>
      </w:r>
      <w:r>
        <w:rPr>
          <w:rFonts w:eastAsia="Times New Roman" w:cs="Times New Roman" w:ascii="Times New Roman" w:hAnsi="Times New Roman"/>
          <w:color w:val="073763"/>
          <w:sz w:val="22"/>
          <w:szCs w:val="22"/>
        </w:rPr>
        <w:t>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not a mix of intensity and prevalence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sensu stricto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but a third parasitological parameter giving another information that the two others ( “number of infested ones”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“parasite load if infested” respectively). See specific comments on” parasitological indexes approach”. </w:t>
      </w:r>
    </w:p>
    <w:p>
      <w:pPr>
        <w:pStyle w:val="Normal"/>
        <w:widowControl w:val="false"/>
        <w:spacing w:lineRule="auto" w:line="240" w:before="288" w:after="0"/>
        <w:ind w:left="696" w:right="-28" w:hanging="0"/>
        <w:jc w:val="both"/>
        <w:rPr/>
      </w:pPr>
      <w:r>
        <w:rPr>
          <w:rFonts w:eastAsia="Times New Roman" w:cs="Times New Roman" w:ascii="Times New Roman" w:hAnsi="Times New Roman"/>
          <w:sz w:val="22"/>
          <w:szCs w:val="22"/>
        </w:rPr>
        <w:t xml:space="preserve">We agree, but we never claimed that “abundance = intensity + prevalence”. We claim that we test for the first time separately prevalence and intensity in the context of a hybrid zone. See </w:t>
      </w:r>
      <w:r>
        <w:rPr>
          <w:rFonts w:eastAsia="Times New Roman" w:cs="Times New Roman" w:ascii="Times New Roman" w:hAnsi="Times New Roman"/>
          <w:b/>
          <w:color w:val="980000"/>
          <w:sz w:val="22"/>
          <w:szCs w:val="22"/>
        </w:rPr>
        <w:t xml:space="preserve">C11. </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C43.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362-365: See specific comments on” parasitological indexes approach” </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C11</w:t>
      </w:r>
      <w:r>
        <w:rPr>
          <w:rFonts w:eastAsia="Times New Roman" w:cs="Times New Roman" w:ascii="Times New Roman" w:hAnsi="Times New Roman"/>
          <w:sz w:val="22"/>
          <w:szCs w:val="22"/>
        </w:rPr>
        <w:t>.</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373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 references and discussion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body conditions). Is it because they have opposite conclusions, as “The presence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parasites was higher in dense mainland populations than insparsely populated islands”.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cite Winternitz et al. 2012 to show that lower density does not necessarily correlate with increased prevalence (“This is, however, not a general law [...] Independent of the direction of the effect, correlation between abundance and prevalence could be confounded with intrinsic effects of hybrid hosts.”). For completion of the discussion we added the Hakkarainen citation.</w:t>
      </w:r>
    </w:p>
    <w:p>
      <w:pPr>
        <w:pStyle w:val="Normal"/>
        <w:widowControl w:val="false"/>
        <w:spacing w:lineRule="auto" w:line="240"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color w:val="073763"/>
          <w:sz w:val="22"/>
          <w:szCs w:val="22"/>
        </w:rPr>
        <w:t>these three indexes are linked as they reflect distributions of parasite</w:t>
      </w:r>
      <w:r>
        <w:rPr>
          <w:rFonts w:eastAsia="Times New Roman" w:cs="Times New Roman" w:ascii="Times New Roman" w:hAnsi="Times New Roman"/>
          <w:color w:val="073763"/>
          <w:sz w:val="22"/>
          <w:szCs w:val="22"/>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widowControl w:val="false"/>
        <w:spacing w:lineRule="auto" w:line="240" w:before="200" w:after="0"/>
        <w:ind w:left="720"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380 -388</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inappropriate statements for eco-evo-parasitological point of view</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pathogenic versus parasite costs, as well as about selection of resistance and immune mechanisms in mice with pinworms.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C4.&amp;C6.</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Do not confound symptoms and parasite effect on fitness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these points and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shd w:val="clear" w:fill="auto"/>
        <w:spacing w:lineRule="auto" w:line="276" w:before="288" w:after="0"/>
        <w:ind w:left="720"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See C40/2.</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397-398 : Are there really hybrids with strong heterosis on variable phenotypes in the hybrid zone in which genomes are highly recombined (not those of experimental F1)? </w:t>
      </w:r>
    </w:p>
    <w:p>
      <w:pPr>
        <w:pStyle w:val="Normal"/>
        <w:keepNext w:val="false"/>
        <w:keepLines w:val="false"/>
        <w:widowControl w:val="false"/>
        <w:shd w:val="clear" w:fill="auto"/>
        <w:spacing w:lineRule="auto" w:line="276" w:before="288" w:after="0"/>
        <w:ind w:left="696" w:right="-28" w:hanging="0"/>
        <w:jc w:val="left"/>
        <w:rPr/>
      </w:pPr>
      <w:r>
        <w:rPr>
          <w:rFonts w:eastAsia="Times New Roman" w:cs="Times New Roman" w:ascii="Times New Roman" w:hAnsi="Times New Roman"/>
          <w:sz w:val="22"/>
          <w:szCs w:val="22"/>
        </w:rPr>
        <w:t>These are general statements about hybrids in general (not mice in particular). “Intensity of a particular parasite infection is not necessarily correlated with reduced health and a fitness decrease” lines orig. 395-396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 xml:space="preserve">We thank the reviewer 1 for all his/her comments that helped us to improve a lot the present work. We are confident in our conclusions and hope that, after answering the different comments and correcting our article for clarity, reviewer 1 will agree that we have provided a clear demonstration of our conclusions. To address specific concerns: </w:t>
      </w:r>
    </w:p>
    <w:p>
      <w:pPr>
        <w:pStyle w:val="Normal"/>
        <w:keepNext w:val="false"/>
        <w:keepLines w:val="false"/>
        <w:widowControl w:val="false"/>
        <w:numPr>
          <w:ilvl w:val="0"/>
          <w:numId w:val="4"/>
        </w:numPr>
        <w:shd w:val="clear" w:fill="auto"/>
        <w:spacing w:lineRule="auto" w:line="276"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no double statistical comparison, no clear modeling design” answer is addressed comment</w:t>
      </w:r>
      <w:r>
        <w:rPr>
          <w:rFonts w:eastAsia="Times New Roman" w:cs="Times New Roman" w:ascii="Times New Roman" w:hAnsi="Times New Roman"/>
          <w:b/>
          <w:color w:val="980000"/>
          <w:sz w:val="22"/>
          <w:szCs w:val="22"/>
        </w:rPr>
        <w:t xml:space="preserve"> C28/2</w:t>
      </w:r>
    </w:p>
    <w:p>
      <w:pPr>
        <w:pStyle w:val="Normal"/>
        <w:keepNext w:val="false"/>
        <w:keepLines w:val="false"/>
        <w:widowControl w:val="false"/>
        <w:numPr>
          <w:ilvl w:val="0"/>
          <w:numId w:val="4"/>
        </w:numPr>
        <w:shd w:val="clear" w:fill="auto"/>
        <w:spacing w:lineRule="auto" w:line="276"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confusion in parasite parameters and ecology” answer is addressed comment </w:t>
      </w:r>
      <w:r>
        <w:rPr>
          <w:rFonts w:eastAsia="Times New Roman" w:cs="Times New Roman" w:ascii="Times New Roman" w:hAnsi="Times New Roman"/>
          <w:b/>
          <w:color w:val="980000"/>
        </w:rPr>
        <w:t>C11</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comment/ explanation about these differences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do you explain this with the same parasite models in the same zone? </w:t>
      </w:r>
    </w:p>
    <w:p>
      <w:pPr>
        <w:pStyle w:val="Normal"/>
        <w:keepNext w:val="false"/>
        <w:keepLines w:val="false"/>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We noted these differences (see line 352-355 orig.) without entering into details as our main focus is effect of hybridization. We added now a brief explanation and modified our text (line 424-433 new)</w:t>
      </w:r>
    </w:p>
    <w:p>
      <w:pPr>
        <w:pStyle w:val="Normal"/>
        <w:keepNext w:val="false"/>
        <w:keepLines w:val="false"/>
        <w:widowControl w:val="false"/>
        <w:shd w:val="clear" w:fill="auto"/>
        <w:spacing w:lineRule="auto" w:line="276" w:before="288" w:after="0"/>
        <w:ind w:left="-24" w:right="4612"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Figure legends: Lack of legends and explanations </w:t>
      </w:r>
    </w:p>
    <w:p>
      <w:pPr>
        <w:pStyle w:val="Normal"/>
        <w:keepNext w:val="false"/>
        <w:keepLines w:val="false"/>
        <w:widowControl w:val="false"/>
        <w:shd w:val="clear" w:fill="auto"/>
        <w:spacing w:lineRule="auto" w:line="276" w:before="288" w:after="0"/>
        <w:ind w:left="-24" w:right="83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1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 &amp; C18.</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numbers at the level contours indicate posterior probabilities of population membership for each mouse subspecies”. What do the authors mean by posterior? </w:t>
      </w:r>
    </w:p>
    <w:p>
      <w:pPr>
        <w:pStyle w:val="Normal"/>
        <w:keepNext w:val="false"/>
        <w:keepLines w:val="false"/>
        <w:widowControl w:val="false"/>
        <w:shd w:val="clear" w:fill="auto"/>
        <w:spacing w:lineRule="auto" w:line="276" w:before="288" w:after="0"/>
        <w:ind w:left="696" w:right="-23" w:hanging="0"/>
        <w:jc w:val="both"/>
        <w:rPr/>
      </w:pPr>
      <w:r>
        <w:rPr>
          <w:rFonts w:eastAsia="Times New Roman" w:cs="Times New Roman" w:ascii="Times New Roman" w:hAnsi="Times New Roman"/>
          <w:sz w:val="22"/>
          <w:szCs w:val="22"/>
        </w:rPr>
        <w:t xml:space="preserve">This is a specific wording of Bayesian statistics, which uses “prior” and “posterior” probabilities. The software is referenced, and our code modifications are available. Describing this would lead to a lecture on Bayesian statistics, which we think should outside the focus of our article. </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white dots are mice of the study, very few of them as hybrids with an undeniable part of recombination (between 0,2-0,8)? This does not seem consistent with the data, especially Table S1. </w:t>
      </w:r>
    </w:p>
    <w:p>
      <w:pPr>
        <w:pStyle w:val="Normal"/>
        <w:widowControl w:val="false"/>
        <w:spacing w:lineRule="auto" w:line="276" w:before="288" w:after="0"/>
        <w:ind w:left="696" w:right="-23" w:hanging="0"/>
        <w:rPr/>
      </w:pPr>
      <w:r>
        <w:rPr>
          <w:rFonts w:eastAsia="Times New Roman" w:cs="Times New Roman" w:ascii="Times New Roman" w:hAnsi="Times New Roman"/>
          <w:sz w:val="22"/>
          <w:szCs w:val="22"/>
        </w:rPr>
        <w:t>This software allows to detect separation between two groups and to categorize into this groups, it does not estimate hybrid zone widht. We never claim to estimate the width of the zone. For clarity (and to be technically more correct) we modified “the course of the HMHZ” (line 121 old) to “the expected centre” (line 134 new).</w:t>
      </w:r>
    </w:p>
    <w:p>
      <w:pPr>
        <w:pStyle w:val="Normal"/>
        <w:widowControl w:val="false"/>
        <w:spacing w:lineRule="auto" w:line="276" w:before="288" w:after="0"/>
        <w:ind w:left="0" w:right="-23" w:hanging="0"/>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2 . </w:t>
      </w:r>
    </w:p>
    <w:p>
      <w:pPr>
        <w:pStyle w:val="Normal"/>
        <w:keepNext w:val="false"/>
        <w:keepLines w:val="false"/>
        <w:widowControl w:val="false"/>
        <w:shd w:val="clear" w:fill="auto"/>
        <w:spacing w:lineRule="auto" w:line="276" w:before="288" w:after="0"/>
        <w:ind w:left="-24" w:right="5"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Explain the color code in a) and c). Why are some points paler than </w:t>
      </w:r>
      <w:r>
        <w:rPr>
          <w:rFonts w:eastAsia="Times New Roman" w:cs="Times New Roman" w:ascii="Times New Roman" w:hAnsi="Times New Roman"/>
          <w:color w:val="073763"/>
          <w:sz w:val="22"/>
          <w:szCs w:val="22"/>
        </w:rPr>
        <w: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thers? </w:t>
      </w:r>
    </w:p>
    <w:p>
      <w:pPr>
        <w:pStyle w:val="Normal"/>
        <w:keepNext w:val="false"/>
        <w:keepLines w:val="false"/>
        <w:widowControl w:val="false"/>
        <w:shd w:val="clear" w:fill="auto"/>
        <w:spacing w:lineRule="auto" w:line="276" w:before="288" w:after="0"/>
        <w:ind w:left="696" w:right="5"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b/>
        <w:t>We added “(points color indicate mice genotype, on a gradient ranging from blue (pure Mmd) to red (pure Mmm); increased number of mice sampled at one point displayed as decrease in transparency).” in the legend.</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“The predicted probability of infection does not differ in more admixed mice (b) for males (green) and females (orange)”. What are the more admixed mice: part of the sampling? Produced by model?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more admixed mice” are hybrids that are more admixed. See </w:t>
      </w:r>
      <w:r>
        <w:rPr>
          <w:rFonts w:eastAsia="Times New Roman" w:cs="Times New Roman" w:ascii="Times New Roman" w:hAnsi="Times New Roman"/>
          <w:b/>
          <w:color w:val="980000"/>
          <w:sz w:val="22"/>
          <w:szCs w:val="22"/>
        </w:rPr>
        <w:t>C37</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u w:val="none"/>
          <w:vertAlign w:val="baseline"/>
        </w:rPr>
      </w:pPr>
      <w:r>
        <w:rPr>
          <w:rFonts w:eastAsia="Times New Roman" w:cs="Times New Roman" w:ascii="Times New Roman" w:hAnsi="Times New Roman"/>
          <w:b/>
          <w:color w:val="980000"/>
        </w:rPr>
        <w:t xml:space="preserve">C55. </w:t>
      </w:r>
      <w:r>
        <w:rPr>
          <w:rFonts w:eastAsia="Times New Roman" w:cs="Times New Roman" w:ascii="Times New Roman" w:hAnsi="Times New Roman"/>
          <w:i w:val="false"/>
          <w:caps w:val="false"/>
          <w:smallCaps w:val="false"/>
          <w:strike w:val="false"/>
          <w:dstrike w:val="false"/>
          <w:color w:val="073763"/>
          <w:position w:val="0"/>
          <w:sz w:val="22"/>
          <w:sz w:val="22"/>
          <w:u w:val="none"/>
          <w:vertAlign w:val="baseline"/>
        </w:rPr>
        <w:t xml:space="preserve">“(average observed probability of infection: grey dotted line)” Average of what? Males and females? if so, it could be such an horizontal line. Theoretic average if no hybridization effect? </w:t>
      </w:r>
    </w:p>
    <w:p>
      <w:pPr>
        <w:pStyle w:val="Normal"/>
        <w:keepNext w:val="false"/>
        <w:keepLines w:val="false"/>
        <w:widowControl w:val="false"/>
        <w:shd w:val="clear" w:fill="auto"/>
        <w:spacing w:lineRule="auto" w:line="276" w:before="288" w:after="0"/>
        <w:ind w:left="696" w:right="-23" w:hanging="0"/>
        <w:jc w:val="left"/>
        <w:rPr>
          <w:rFonts w:ascii="Times New Roman" w:hAnsi="Times New Roman" w:eastAsia="Times New Roman" w:cs="Times New Roman"/>
        </w:rPr>
      </w:pPr>
      <w:r>
        <w:rPr>
          <w:rFonts w:eastAsia="Times New Roman" w:cs="Times New Roman" w:ascii="Times New Roman" w:hAnsi="Times New Roman"/>
        </w:rPr>
        <w:t>We added this precision for clarity: “average overall observed probability of infection (prevalence) for males and females considered together: grey dotted line)</w:t>
      </w:r>
    </w:p>
    <w:p>
      <w:pPr>
        <w:pStyle w:val="Normal"/>
        <w:keepNext w:val="false"/>
        <w:keepLines w:val="false"/>
        <w:widowControl w:val="false"/>
        <w:shd w:val="clear" w:fill="auto"/>
        <w:spacing w:lineRule="auto" w:line="276" w:before="288" w:after="0"/>
        <w:ind w:left="0"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d) what are the white dots? The 70 Individuals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suppose.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We added this precision for clarity “(white dots = individual mice)”</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When considered HI between 0,25 and 0,75, no mouse show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(as estimated) more than 0. See my previous comments about mortality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specific comments. </w:t>
      </w:r>
    </w:p>
    <w:p>
      <w:pPr>
        <w:pStyle w:val="Normal"/>
        <w:widowControl w:val="false"/>
        <w:spacing w:lineRule="auto" w:line="276" w:before="288" w:after="0"/>
        <w:ind w:left="696" w:right="-23" w:hanging="0"/>
        <w:jc w:val="both"/>
        <w:rPr/>
      </w:pPr>
      <w:r>
        <w:rPr>
          <w:rFonts w:eastAsia="Times New Roman" w:cs="Times New Roman" w:ascii="Times New Roman" w:hAnsi="Times New Roman"/>
          <w:sz w:val="22"/>
          <w:szCs w:val="22"/>
        </w:rPr>
        <w:t xml:space="preserve">Our sampling locations are selected to capture the broadest possible range of hybrid genotypes, but we cannot know the exact hybrid index of a mouse before capturing and genotyping it. Nevertheless, the maximum likelihood estimation takes into account this difference of density, as show the wider confidence interval in the centre of the HI. There is no narrowness of the HZ, as addressed comment </w:t>
      </w: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sz w:val="22"/>
          <w:szCs w:val="22"/>
        </w:rPr>
        <w:t xml:space="preserve">Mortality: see </w:t>
      </w:r>
      <w:r>
        <w:rPr>
          <w:rFonts w:eastAsia="Times New Roman" w:cs="Times New Roman" w:ascii="Times New Roman" w:hAnsi="Times New Roman"/>
          <w:b/>
          <w:color w:val="980000"/>
          <w:sz w:val="22"/>
          <w:szCs w:val="22"/>
        </w:rPr>
        <w:t>C11.</w:t>
      </w:r>
    </w:p>
    <w:p>
      <w:pPr>
        <w:pStyle w:val="Normal"/>
        <w:keepNext w:val="false"/>
        <w:keepLines w:val="false"/>
        <w:widowControl w:val="false"/>
        <w:shd w:val="clear" w:fill="auto"/>
        <w:spacing w:lineRule="auto" w:line="276" w:before="288" w:after="0"/>
        <w:ind w:left="-24" w:right="827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3: </w:t>
      </w:r>
    </w:p>
    <w:p>
      <w:pPr>
        <w:pStyle w:val="Normal"/>
        <w:keepNext w:val="false"/>
        <w:keepLines w:val="false"/>
        <w:widowControl w:val="false"/>
        <w:shd w:val="clear" w:fill="auto"/>
        <w:spacing w:lineRule="auto" w:line="276" w:before="288" w:after="0"/>
        <w:ind w:left="-24" w:right="515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Same questions than for figure 2 1/ and 2/ </w:t>
      </w:r>
    </w:p>
    <w:p>
      <w:pPr>
        <w:pStyle w:val="Normal"/>
        <w:widowControl w:val="false"/>
        <w:spacing w:lineRule="auto" w:line="240" w:before="288" w:after="0"/>
        <w:ind w:left="696" w:right="-23"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We corrected on this plot legend as well see </w:t>
      </w:r>
      <w:r>
        <w:rPr>
          <w:rFonts w:eastAsia="Times New Roman" w:cs="Times New Roman" w:ascii="Times New Roman" w:hAnsi="Times New Roman"/>
          <w:b/>
          <w:color w:val="980000"/>
          <w:sz w:val="22"/>
          <w:szCs w:val="22"/>
        </w:rPr>
        <w:t xml:space="preserve">C53.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3/remark: it clearly appears from those distributions that mice with HI between 0,25 and 0,75 are less numerous than parental ones ( narrowness of the HZ figure 1 and Table S1). </w:t>
      </w:r>
    </w:p>
    <w:p>
      <w:pPr>
        <w:pStyle w:val="Normal"/>
        <w:keepNext w:val="false"/>
        <w:keepLines w:val="false"/>
        <w:widowControl w:val="false"/>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See </w:t>
      </w:r>
      <w:r>
        <w:rPr>
          <w:rFonts w:eastAsia="Times New Roman" w:cs="Times New Roman" w:ascii="Times New Roman" w:hAnsi="Times New Roman"/>
          <w:b/>
          <w:color w:val="980000"/>
          <w:sz w:val="22"/>
          <w:szCs w:val="22"/>
        </w:rPr>
        <w:t>C57.</w:t>
      </w:r>
    </w:p>
    <w:p>
      <w:pPr>
        <w:pStyle w:val="Normal"/>
        <w:keepNext w:val="false"/>
        <w:keepLines w:val="false"/>
        <w:widowControl w:val="false"/>
        <w:shd w:val="clear" w:fill="auto"/>
        <w:spacing w:lineRule="auto" w:line="276" w:before="288" w:after="0"/>
        <w:ind w:left="0" w:right="-28"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on table S1 (see xls joint document) </w:t>
      </w:r>
    </w:p>
    <w:p>
      <w:pPr>
        <w:pStyle w:val="Normal"/>
        <w:keepNext w:val="false"/>
        <w:keepLines w:val="false"/>
        <w:widowControl w:val="false"/>
        <w:shd w:val="clear" w:fill="auto"/>
        <w:spacing w:lineRule="auto" w:line="276" w:before="288" w:after="0"/>
        <w:ind w:left="-24" w:right="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indeed identify 51 mice from 660 (near 8 %) to which HI was estimated from 4 to 9 loci.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a very few of them, clearly too much data are lacking and the HI is not valuable (SK 2891, AA_0272) It must be noted that for AA_0169, HI was determined on 6 loci and not 7 as indicated)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left"/>
        <w:rPr/>
      </w:pPr>
      <w:r>
        <w:rPr>
          <w:rFonts w:eastAsia="Times New Roman" w:cs="Times New Roman" w:ascii="Times New Roman" w:hAnsi="Times New Roman"/>
          <w:sz w:val="22"/>
          <w:szCs w:val="22"/>
        </w:rPr>
        <w:t xml:space="preserve">Corrections made; 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24" w:right="-33" w:hanging="0"/>
        <w:jc w:val="both"/>
        <w:rPr/>
      </w:pPr>
      <w:r>
        <w:rPr>
          <w:rFonts w:eastAsia="Times New Roman" w:cs="Times New Roman" w:ascii="Times New Roman" w:hAnsi="Times New Roman"/>
          <w:b/>
          <w:color w:val="980000"/>
          <w:sz w:val="22"/>
          <w:szCs w:val="22"/>
        </w:rPr>
        <w:t xml:space="preserve">C61.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keepNext w:val="false"/>
        <w:keepLines w:val="false"/>
        <w:widowControl w:val="false"/>
        <w:shd w:val="clear" w:fill="auto"/>
        <w:spacing w:lineRule="auto" w:line="276"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most of the 51, the most troubling is that HI of some groups of mice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determined on markers entirely different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which is false, since for 17 mice the data are missing for all these markers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lack of data on at least one of these 6 autosomal markers are present for 3 others mice from theses very 51 and for 36 of the remaining 609 (if I did not make a mistake counting too quickly) </w:t>
      </w:r>
    </w:p>
    <w:p>
      <w:pPr>
        <w:pStyle w:val="Normal"/>
        <w:widowControl w:val="false"/>
        <w:spacing w:lineRule="auto" w:line="240" w:before="288" w:after="0"/>
        <w:ind w:left="696"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the authors “use” several of these 51 mice, which showed little supported HI as data for body weight, pinworm load, even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 The assignment of these parasite data or health status to a weak hybridization level is not without consequence on the analysis of the models and therefore the results of the publication.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widowControl w:val="false"/>
        <w:spacing w:lineRule="auto" w:line="240"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Concerning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Species diversity across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found in the HZ are those of Jarquín-Díaz et al., 2019, as being part of the same sampling (360 versus 660 mice). They reveal that not only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the most prevalent in the zone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very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 vermiformis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too the species for which no weigh loss has been identified by Al-khlifeh et al., 2019 (strain derived from the same sampling again).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same result on the same data is in fact use two time and present as a validation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 rigorous.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sz w:val="22"/>
          <w:szCs w:val="22"/>
        </w:rPr>
        <w:t xml:space="preserve">&amp; </w:t>
      </w:r>
      <w:r>
        <w:rPr>
          <w:rFonts w:eastAsia="Times New Roman" w:cs="Times New Roman" w:ascii="Times New Roman" w:hAnsi="Times New Roman"/>
          <w:b/>
          <w:color w:val="980000"/>
          <w:sz w:val="22"/>
          <w:szCs w:val="22"/>
        </w:rPr>
        <w:t>C9.</w:t>
      </w:r>
    </w:p>
    <w:p>
      <w:pPr>
        <w:pStyle w:val="Normal"/>
        <w:keepNext w:val="false"/>
        <w:keepLines w:val="false"/>
        <w:widowControl w:val="false"/>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B /Induced mortality.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rodent hosts: mortality and population regulation. But the authors do not even mention these results. Let focus on 3 main references about 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studied in this study: one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(Klesius and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Heinds, 1979) , two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(Stockdale et al, 1985; Marhrt and Shi, 1988). They suggest that these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2</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keepNext w:val="false"/>
        <w:keepLines w:val="false"/>
        <w:widowControl w:val="false"/>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shd w:val="clear" w:fill="auto"/>
        <w:spacing w:lineRule="auto" w:line="276"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sz w:val="22"/>
          <w:szCs w:val="22"/>
        </w:rPr>
        <w:t xml:space="preserve">There is no narrowness of the HZ, as addressed comment </w:t>
      </w:r>
      <w:r>
        <w:rPr>
          <w:rFonts w:eastAsia="Times New Roman" w:cs="Times New Roman" w:ascii="Times New Roman" w:hAnsi="Times New Roman"/>
          <w:b/>
          <w:color w:val="980000"/>
          <w:sz w:val="22"/>
          <w:szCs w:val="22"/>
        </w:rPr>
        <w:t>C52.</w:t>
      </w:r>
    </w:p>
    <w:p>
      <w:pPr>
        <w:pStyle w:val="Normal"/>
        <w:keepNext w:val="false"/>
        <w:keepLines w:val="false"/>
        <w:widowControl w:val="false"/>
        <w:shd w:val="clear" w:fill="auto"/>
        <w:spacing w:lineRule="auto" w:line="276" w:before="0" w:after="0"/>
        <w:ind w:left="0"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b/>
          <w:color w:val="980000"/>
          <w:sz w:val="22"/>
          <w:szCs w:val="22"/>
        </w:rPr>
      </w:r>
    </w:p>
    <w:p>
      <w:pPr>
        <w:pStyle w:val="Normal"/>
        <w:keepNext w:val="false"/>
        <w:keepLines w:val="false"/>
        <w:widowControl w:val="false"/>
        <w:shd w:val="clear" w:fill="auto"/>
        <w:spacing w:lineRule="auto" w:line="276"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C66.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 / Quantification of the intensities thanks qPCR </w:t>
      </w:r>
    </w:p>
    <w:p>
      <w:pPr>
        <w:pStyle w:val="Normal"/>
        <w:keepNext w:val="false"/>
        <w:keepLines w:val="false"/>
        <w:widowControl w:val="false"/>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keepNext w:val="false"/>
        <w:keepLines w:val="false"/>
        <w:widowControl w:val="false"/>
        <w:shd w:val="clear" w:fill="auto"/>
        <w:spacing w:lineRule="auto" w:line="276" w:before="288" w:after="0"/>
        <w:ind w:left="-24"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 clearly want to use these non-helminth parasites as a quite definitive element of the demonstration or not of hybrid susceptibility. So, I have trouble understanding why they have not taken the time: </w:t>
      </w:r>
    </w:p>
    <w:p>
      <w:pPr>
        <w:pStyle w:val="Normal"/>
        <w:keepNext w:val="false"/>
        <w:keepLines w:val="false"/>
        <w:widowControl w:val="false"/>
        <w:shd w:val="clear" w:fill="auto"/>
        <w:spacing w:lineRule="auto" w:line="276" w:before="288" w:after="0"/>
        <w:ind w:left="335"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to build an rigorous experimental protocol on a mouse strain that they handle easily (NMRI for </w:t>
      </w:r>
    </w:p>
    <w:p>
      <w:pPr>
        <w:pStyle w:val="Normal"/>
        <w:keepNext w:val="false"/>
        <w:keepLines w:val="false"/>
        <w:widowControl w:val="false"/>
        <w:shd w:val="clear" w:fill="auto"/>
        <w:spacing w:lineRule="auto" w:line="276" w:before="91" w:after="0"/>
        <w:ind w:left="335" w:right="-28"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example) , - to realize controlled infections and load data evaluated from histology and coprology (which </w:t>
      </w:r>
    </w:p>
    <w:p>
      <w:pPr>
        <w:pStyle w:val="Normal"/>
        <w:keepNext w:val="false"/>
        <w:keepLines w:val="false"/>
        <w:widowControl w:val="false"/>
        <w:shd w:val="clear" w:fill="auto"/>
        <w:spacing w:lineRule="auto" w:line="276" w:before="91" w:after="0"/>
        <w:ind w:left="335" w:right="1132"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they know well) - to couple these date with an approach by qPCR they usually performed well too. </w:t>
      </w:r>
    </w:p>
    <w:p>
      <w:pPr>
        <w:pStyle w:val="Normal"/>
        <w:keepNext w:val="false"/>
        <w:keepLines w:val="false"/>
        <w:widowControl w:val="false"/>
        <w:shd w:val="clear" w:fill="auto"/>
        <w:spacing w:lineRule="auto" w:line="276" w:before="288" w:after="0"/>
        <w:ind w:left="335" w:right="-23" w:hanging="0"/>
        <w:jc w:val="both"/>
        <w:rPr>
          <w:rFonts w:ascii="Times New Roman" w:hAnsi="Times New Roman" w:eastAsia="Times New Roman" w:cs="Times New Roman"/>
          <w:color w:val="073763"/>
          <w:sz w:val="12"/>
          <w:szCs w:val="1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This experiment would allow them to validate rigorously and definitively the qPCR estimate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keepNext w:val="false"/>
        <w:keepLines w:val="false"/>
        <w:widowControl w:val="false"/>
        <w:shd w:val="clear" w:fill="auto"/>
        <w:spacing w:lineRule="auto" w:line="276" w:before="796" w:after="0"/>
        <w:ind w:left="-24" w:right="854" w:hanging="0"/>
        <w:jc w:val="left"/>
        <w:rPr>
          <w:rFonts w:ascii="Times New Roman" w:hAnsi="Times New Roman" w:eastAsia="Times New Roman" w:cs="Times New Roman"/>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2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Note that pinworm distributions are not known as season-dependent in mouse populations. It could be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verified </w:t>
      </w:r>
    </w:p>
    <w:p>
      <w:pPr>
        <w:pStyle w:val="Normal"/>
        <w:keepNext w:val="false"/>
        <w:keepLines w:val="false"/>
        <w:widowControl w:val="false"/>
        <w:shd w:val="clear" w:fill="auto"/>
        <w:spacing w:lineRule="auto" w:line="276" w:before="0"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 Eaton et al. 2016. Parasites &amp; Vectors volume 9, 38.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N. americanus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Positive correlations between eggs count and QPCR on human stool samples. More Efficient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w:t>
      </w:r>
    </w:p>
    <w:p>
      <w:pPr>
        <w:pStyle w:val="Normal"/>
        <w:keepNext w:val="false"/>
        <w:keepLines w:val="false"/>
        <w:widowControl w:val="false"/>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the relationship between number of expelled nematodes after treatment with both DNA quantification and Eggs counts is also evaluated.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claim for the use of more sensitive qPCR tool for prevalence and even intensity, but with prior rigorous standardization. </w:t>
      </w:r>
    </w:p>
    <w:p>
      <w:pPr>
        <w:pStyle w:val="Normal"/>
        <w:keepNext w:val="false"/>
        <w:keepLines w:val="false"/>
        <w:widowControl w:val="false"/>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See Eaton et al., 2017 . Parasites &amp; Vectors volume 10, 256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keepNext w:val="false"/>
        <w:keepLines w:val="false"/>
        <w:widowControl w:val="false"/>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C/ Pett et al. 2016. Malaria Journal volume 15, 539. Correlation between estimation of gametocytes in blood / qPCR. Rigorous experimental calibration performed with different dilutions of gametocytes </w:t>
      </w:r>
    </w:p>
    <w:p>
      <w:pPr>
        <w:pStyle w:val="Normal"/>
        <w:keepNext w:val="false"/>
        <w:keepLines w:val="false"/>
        <w:widowControl w:val="false"/>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cell cultures and various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Plasmodium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strains. Clear explanation of their positive threshold and Δ. GLM analysis. </w:t>
      </w:r>
    </w:p>
    <w:p>
      <w:pPr>
        <w:pStyle w:val="Normal"/>
        <w:widowControl w:val="false"/>
        <w:spacing w:lineRule="auto" w:line="276" w:before="288" w:after="0"/>
        <w:ind w:left="720" w:right="-28" w:hanging="0"/>
        <w:jc w:val="both"/>
        <w:rPr/>
      </w:pPr>
      <w:r>
        <w:rPr>
          <w:rFonts w:eastAsia="Times New Roman" w:cs="Times New Roman" w:ascii="Times New Roman" w:hAnsi="Times New Roman"/>
        </w:rPr>
        <w:t xml:space="preserve">This protocol has been validated, we added for precision: </w:t>
      </w:r>
      <w:r>
        <w:rPr>
          <w:rFonts w:eastAsia="Times New Roman" w:cs="Times New Roman" w:ascii="Times New Roman" w:hAnsi="Times New Roman"/>
          <w:color w:val="073763"/>
        </w:rPr>
        <w:t>“</w:t>
      </w:r>
      <w:r>
        <w:rPr>
          <w:rFonts w:eastAsia="Times New Roman" w:cs="Times New Roman" w:ascii="Times New Roman" w:hAnsi="Times New Roman"/>
        </w:rPr>
        <w:t xml:space="preserve">This method was validated in an infection experiment in NMRI mice (Al-khlifeh et al., 2019). We considered ΔCt = -5 our limit of detection as at this limit it was possible to obtain genotyping data for all samples using independent PCR reactions (Ahmed et al., 2019; Jarquín-Díaz et al., 2019).”  (line 154 orig., lines 176 new). The genotyping PCRs of Jarquín-Díaz et al., 2019 are methodologically independent.  We do not compare this to oocyst shedding, as we have evidence from e.g. re-infection (homologous and heterologous challenge of </w:t>
      </w:r>
      <w:r>
        <w:rPr>
          <w:rFonts w:eastAsia="Times New Roman" w:cs="Times New Roman" w:ascii="Times New Roman" w:hAnsi="Times New Roman"/>
          <w:i/>
          <w:iCs/>
        </w:rPr>
        <w:t xml:space="preserve">E. ferrisi </w:t>
      </w:r>
      <w:r>
        <w:rPr>
          <w:rFonts w:eastAsia="Times New Roman" w:cs="Times New Roman" w:ascii="Times New Roman" w:hAnsi="Times New Roman"/>
        </w:rPr>
        <w:t xml:space="preserve">/ </w:t>
      </w:r>
      <w:r>
        <w:rPr>
          <w:rFonts w:eastAsia="Times New Roman" w:cs="Times New Roman" w:ascii="Times New Roman" w:hAnsi="Times New Roman"/>
          <w:i/>
          <w:iCs/>
        </w:rPr>
        <w:t>E. falciformis</w:t>
      </w:r>
      <w:r>
        <w:rPr>
          <w:rFonts w:eastAsia="Times New Roman" w:cs="Times New Roman" w:ascii="Times New Roman" w:hAnsi="Times New Roman"/>
        </w:rPr>
        <w:t xml:space="preserve">), that intestinal intensity can be considerably without any oocyst shedding. We argue that the intensity of intestinal parasite stages is a more meaningful measure than parasite reproduction. See also </w:t>
      </w:r>
      <w:r>
        <w:rPr>
          <w:rFonts w:eastAsia="Times New Roman" w:cs="Times New Roman" w:ascii="Times New Roman" w:hAnsi="Times New Roman"/>
          <w:b/>
          <w:color w:val="980000"/>
        </w:rPr>
        <w:t>C11.</w:t>
      </w:r>
    </w:p>
    <w:p>
      <w:pPr>
        <w:pStyle w:val="Normal"/>
        <w:widowControl w:val="false"/>
        <w:spacing w:lineRule="auto" w:line="24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Specific comments on “ parasitological indexes approach”. </w:t>
      </w:r>
    </w:p>
    <w:p>
      <w:pPr>
        <w:pStyle w:val="Normal"/>
        <w:keepNext w:val="false"/>
        <w:keepLines w:val="false"/>
        <w:widowControl w:val="false"/>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hd w:val="clear" w:fill="auto"/>
        <w:spacing w:lineRule="auto" w:line="276" w:before="288" w:after="0"/>
        <w:ind w:left="696" w:right="-28" w:hanging="0"/>
        <w:jc w:val="both"/>
        <w:rPr/>
      </w:pPr>
      <w:r>
        <w:rPr>
          <w:rFonts w:eastAsia="Times New Roman" w:cs="Times New Roman" w:ascii="Times New Roman" w:hAnsi="Times New Roman"/>
          <w:sz w:val="22"/>
          <w:szCs w:val="22"/>
        </w:rPr>
        <w:t>An answer on the technical level is that the fit of our models was carefully optimised, 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C30.</w:t>
      </w:r>
      <w:r>
        <w:rPr>
          <w:rFonts w:eastAsia="Times New Roman" w:cs="Times New Roman" w:ascii="Times New Roman" w:hAnsi="Times New Roman"/>
          <w:b/>
          <w:sz w:val="22"/>
          <w:szCs w:val="22"/>
        </w:rPr>
        <w:t xml:space="preserve"> </w:t>
      </w:r>
      <w:r>
        <w:rPr>
          <w:rFonts w:eastAsia="Times New Roman" w:cs="Times New Roman" w:ascii="Times New Roman" w:hAnsi="Times New Roman"/>
          <w:b w:val="false"/>
          <w:bCs w:val="false"/>
          <w:sz w:val="22"/>
          <w:szCs w:val="22"/>
        </w:rPr>
        <w:t xml:space="preserve">To answer on an almost philosophical level: Natural sciences can only argue with results, we should leave proofs to mathematicians. We thank the reviewer for their rigor and hope to engage in an open and fair argument, as natural scientists we can’t prove our arguments. </w:t>
      </w:r>
    </w:p>
    <w:p>
      <w:pPr>
        <w:pStyle w:val="Normal"/>
        <w:keepNext w:val="false"/>
        <w:keepLines w:val="false"/>
        <w:widowControl w:val="false"/>
        <w:shd w:val="clear" w:fill="auto"/>
        <w:spacing w:lineRule="auto" w:line="276" w:before="288" w:after="0"/>
        <w:ind w:left="-24" w:right="-28" w:hanging="0"/>
        <w:jc w:val="both"/>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Supplementary general comment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p>
    <w:p>
      <w:pPr>
        <w:pStyle w:val="Normal"/>
        <w:keepNext w:val="false"/>
        <w:keepLines w:val="false"/>
        <w:widowControl w:val="false"/>
        <w:shd w:val="clear" w:fill="auto"/>
        <w:spacing w:lineRule="auto" w:line="276" w:before="288" w:after="0"/>
        <w:ind w:left="696" w:right="-28" w:hanging="0"/>
        <w:jc w:val="both"/>
        <w:rPr>
          <w:rFonts w:ascii="Times New Roman" w:hAnsi="Times New Roman" w:eastAsia="Times New Roman" w:cs="Times New Roman"/>
          <w:color w:val="000000"/>
          <w:sz w:val="22"/>
          <w:szCs w:val="22"/>
        </w:rPr>
      </w:pPr>
      <w:r>
        <w:rPr>
          <w:rFonts w:eastAsia="Times New Roman" w:cs="Times New Roman" w:ascii="Times New Roman" w:hAnsi="Times New Roman"/>
          <w:b w:val="false"/>
          <w:bCs w:val="false"/>
          <w:color w:val="000000"/>
          <w:sz w:val="22"/>
          <w:szCs w:val="22"/>
        </w:rPr>
        <w:t xml:space="preserve">The epidemiological and ecological situation in the field could obviously have changed in the past 33 years. We, however, find it more likely that earlier studies based on roughly tenfold lower sample sizes, field sampling protocols that obscure their results (mice were keeping for multiple days, allowing infection after capture) and an inappropriate statistical approach were plainly wrong. This, as our preferred weighting, is clearly reflected in the manuscript, we hope. It is daunting how much more evidence (ours and Baird et al. 2012) seems required to overturn a result only validated by being published earlier (Sage et al. 1986 and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 xml:space="preserve">Moulia </w:t>
      </w:r>
      <w:r>
        <w:rPr>
          <w:rFonts w:eastAsia="Times New Roman" w:cs="Times New Roman" w:ascii="Times New Roman" w:hAnsi="Times New Roman"/>
          <w:b w:val="false"/>
          <w:bCs w:val="false"/>
          <w:i/>
          <w:caps w:val="false"/>
          <w:smallCaps w:val="false"/>
          <w:strike w:val="false"/>
          <w:dstrike w:val="false"/>
          <w:color w:val="000000"/>
          <w:position w:val="0"/>
          <w:sz w:val="22"/>
          <w:sz w:val="22"/>
          <w:szCs w:val="22"/>
          <w:u w:val="none"/>
          <w:vertAlign w:val="baseline"/>
        </w:rPr>
        <w:t xml:space="preserve">et al. </w:t>
      </w:r>
      <w:r>
        <w:rPr>
          <w:rFonts w:eastAsia="Times New Roman" w:cs="Times New Roman" w:ascii="Times New Roman" w:hAnsi="Times New Roman"/>
          <w:b w:val="false"/>
          <w:bCs w:val="false"/>
          <w:i w:val="false"/>
          <w:caps w:val="false"/>
          <w:smallCaps w:val="false"/>
          <w:strike w:val="false"/>
          <w:dstrike w:val="false"/>
          <w:color w:val="000000"/>
          <w:position w:val="0"/>
          <w:sz w:val="22"/>
          <w:sz w:val="22"/>
          <w:szCs w:val="22"/>
          <w:u w:val="none"/>
          <w:vertAlign w:val="baseline"/>
        </w:rPr>
        <w:t>1991</w:t>
      </w:r>
      <w:r>
        <w:rPr>
          <w:rFonts w:eastAsia="Times New Roman" w:cs="Times New Roman" w:ascii="Times New Roman" w:hAnsi="Times New Roman"/>
          <w:b w:val="false"/>
          <w:bCs w:val="false"/>
          <w:color w:val="000000"/>
          <w:sz w:val="22"/>
          <w:szCs w:val="22"/>
        </w:rPr>
        <w:t xml:space="preserve">). We believe that progress and activity in the field of parasites in hybrid mice (and hybrids in general) is severely hampered by the burden to “disprove” these studies. </w:t>
      </w:r>
      <w:r>
        <w:rPr/>
        <w:commentReference w:id="0"/>
      </w:r>
    </w:p>
    <w:p>
      <w:pPr>
        <w:pStyle w:val="Normal"/>
        <w:widowControl w:val="false"/>
        <w:shd w:val="clear" w:fill="auto"/>
        <w:spacing w:lineRule="auto" w:line="276" w:before="288" w:after="0"/>
        <w:ind w:left="696" w:right="-28" w:hanging="0"/>
        <w:jc w:val="both"/>
        <w:rPr>
          <w:b w:val="false"/>
          <w:b w:val="false"/>
          <w:bCs w:val="false"/>
        </w:rPr>
      </w:pPr>
      <w:r>
        <w:rPr>
          <w:b w:val="false"/>
          <w:bCs w:val="false"/>
        </w:rPr>
      </w:r>
    </w:p>
    <w:p>
      <w:pPr>
        <w:pStyle w:val="Normal"/>
        <w:widowControl w:val="false"/>
        <w:ind w:left="-24" w:right="-28" w:hanging="0"/>
        <w:jc w:val="both"/>
        <w:rPr/>
      </w:pPr>
      <w:r>
        <w:rPr>
          <w:rFonts w:eastAsia="Times New Roman" w:cs="Times New Roman" w:ascii="Times New Roman" w:hAnsi="Times New Roman"/>
          <w:b/>
          <w:sz w:val="48"/>
          <w:szCs w:val="48"/>
        </w:rPr>
        <w:t xml:space="preserve">Response to reviewer 2.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Comments to the Author</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This manuscript tests the hypothesis that hybrid hosts will be more susceptible to infection than parentals. I have a few comments below: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 – is this the thinking for hybrid mice, or hybrids in general? Would be best to have more broadly conceptual introduction to the experimental work.</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Lines 12-14 – Better to show what you did find given the tight word constraints of an abstract.</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Fonts w:eastAsia="Times New Roman" w:cs="Times New Roman" w:ascii="Times New Roman" w:hAnsi="Times New Roman"/>
        </w:rPr>
        <w:t xml:space="preserve">We thank the reviewer for these comments on the abstract. We updated the abstract and the discussion to start with general points on hybridization. </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14 – What is meant by ‘diverse’ parasites?</w:t>
      </w:r>
    </w:p>
    <w:p>
      <w:pPr>
        <w:pStyle w:val="Normal"/>
        <w:widowControl w:val="false"/>
        <w:spacing w:lineRule="auto" w:line="36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sz w:val="22"/>
          <w:szCs w:val="22"/>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conclusion</w:t>
      </w:r>
      <w:r>
        <w:rPr>
          <w:rFonts w:eastAsia="Times New Roman" w:cs="Times New Roman" w:ascii="Times New Roman" w:hAnsi="Times New Roman"/>
          <w:sz w:val="22"/>
          <w:szCs w:val="22"/>
        </w:rPr>
        <w:t xml:space="preserve"> (line 410-414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40 – ‘our own species’ should be removed.</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modified it for “humans” (line 40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121 – ‘the course’ of the HMHZ’. What does this mean?</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changed for clarity “the course” to “the expected centre” (new line 134)</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133 – how do the authors define ‘most prevalent’?</w:t>
      </w:r>
    </w:p>
    <w:p>
      <w:pPr>
        <w:pStyle w:val="Normal"/>
        <w:widowControl w:val="false"/>
        <w:spacing w:lineRule="auto" w:line="360"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counted all worms, but only include the more prevalent as we need high statistical power to answer our question. Test was modified and a supplementary figure was added as follow:</w:t>
      </w:r>
    </w:p>
    <w:p>
      <w:pPr>
        <w:pStyle w:val="Normal"/>
        <w:widowControl w:val="false"/>
        <w:spacing w:lineRule="auto" w:line="360" w:before="0" w:after="200"/>
        <w:ind w:left="720" w:hanging="0"/>
        <w:jc w:val="both"/>
        <w:rPr>
          <w:rFonts w:ascii="Times New Roman" w:hAnsi="Times New Roman" w:eastAsia="Times New Roman" w:cs="Times New Roman"/>
          <w:color w:val="0000FF"/>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360"/>
        <w:ind w:left="720" w:right="-33" w:hanging="0"/>
        <w:jc w:val="both"/>
        <w:rPr/>
      </w:pPr>
      <w:r>
        <w:rPr>
          <w:rFonts w:eastAsia="Times New Roman" w:cs="Times New Roman" w:ascii="Times New Roman" w:hAnsi="Times New Roman"/>
          <w:sz w:val="22"/>
          <w:szCs w:val="22"/>
        </w:rPr>
        <w:t xml:space="preserve">Our study is designed to jointly study two different parasites, and test if any general hybrid effect on resistance and impact on health could be detected. We chose to focus on two parasites from very different phyla, namely Nematoda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discussion</w:t>
      </w:r>
      <w:r>
        <w:rPr>
          <w:rFonts w:eastAsia="Times New Roman" w:cs="Times New Roman" w:ascii="Times New Roman" w:hAnsi="Times New Roman"/>
          <w:sz w:val="22"/>
          <w:szCs w:val="22"/>
        </w:rPr>
        <w:t xml:space="preserve"> (line 410-414 new). </w:t>
      </w:r>
    </w:p>
    <w:p>
      <w:pPr>
        <w:pStyle w:val="Normal"/>
        <w:widowControl w:val="false"/>
        <w:spacing w:lineRule="auto" w:line="36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Paragraph starting at 360 – Why are new questions being mentioned at this point in the manuscript?</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696" w:right="-28" w:hanging="0"/>
        <w:jc w:val="both"/>
        <w:rPr/>
      </w:pPr>
      <w:r>
        <w:rPr>
          <w:rFonts w:eastAsia="Times New Roman" w:cs="Times New Roman" w:ascii="Times New Roman" w:hAnsi="Times New Roman"/>
        </w:rPr>
        <w:t xml:space="preserve">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for clarity. Reviewer 1 stressed this point. </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Line 408 – Can authors elaborate on these future experiments and what they might deduce? This is unclear.</w:t>
      </w:r>
    </w:p>
    <w:p>
      <w:pPr>
        <w:pStyle w:val="Normal"/>
        <w:widowControl w:val="false"/>
        <w:spacing w:lineRule="auto" w:line="360"/>
        <w:ind w:left="696"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We developed as follow: </w:t>
        <w:tab/>
        <w:t xml:space="preserve"> </w:t>
        <w:tab/>
      </w:r>
    </w:p>
    <w:p>
      <w:pPr>
        <w:pStyle w:val="Normal"/>
        <w:widowControl w:val="false"/>
        <w:spacing w:lineRule="auto" w:line="360" w:before="0" w:after="200"/>
        <w:ind w:left="720" w:hanging="0"/>
        <w:jc w:val="both"/>
        <w:rPr/>
      </w:pPr>
      <w:r>
        <w:rPr>
          <w:rFonts w:eastAsia="Times New Roman" w:cs="Times New Roman" w:ascii="Times New Roman" w:hAnsi="Times New Roman"/>
        </w:rPr>
        <w:t>“</w:t>
      </w:r>
      <w:r>
        <w:rPr>
          <w:rFonts w:eastAsia="Times New Roman" w:cs="Times New Roman" w:ascii="Times New Roman" w:hAnsi="Times New Roman"/>
        </w:rPr>
        <w:t xml:space="preserve">We can in future ask whether host (immunity and resistance) parasite (infectivity and virulence) or their interactions are underlying reduced parasite intensity in hybrid house mice. </w:t>
      </w:r>
      <w:r>
        <w:rPr>
          <w:rFonts w:eastAsia="Times New Roman" w:cs="Times New Roman" w:ascii="Times New Roman" w:hAnsi="Times New Roman"/>
          <w:i/>
          <w:iCs/>
        </w:rPr>
        <w:t>Eimeria</w:t>
      </w:r>
      <w:r>
        <w:rPr>
          <w:rFonts w:eastAsia="Times New Roman" w:cs="Times New Roman" w:ascii="Times New Roman" w:hAnsi="Times New Roman"/>
        </w:rPr>
        <w:t xml:space="preserve"> spp. are suitable pathogens to perform experimental and field studies in this endeavour.  An experimental setup investigating resistance (inverse of parasite intensity) and tolerance (impact on host health measured by weight loss) during an infection in mice of pure subspecies and crosses between them could address this question in more detail.”  (line 499-502 new)</w:t>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720" w:right="-28" w:hanging="0"/>
        <w:jc w:val="both"/>
        <w:rPr/>
      </w:pPr>
      <w:r>
        <w:rPr>
          <w:rFonts w:eastAsia="Times New Roman" w:cs="Times New Roman" w:ascii="Times New Roman" w:hAnsi="Times New Roman"/>
        </w:rPr>
        <w:t>We modified the introduction accordingly.</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w:t>
      </w:r>
      <w:r>
        <w:rPr>
          <w:rFonts w:eastAsia="Times New Roman" w:cs="Times New Roman" w:ascii="Times New Roman" w:hAnsi="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pPr>
      <w:r>
        <w:rPr>
          <w:rFonts w:eastAsia="Times New Roman" w:cs="Times New Roman" w:ascii="Times New Roman" w:hAnsi="Times New Roman"/>
        </w:rPr>
        <w:t>The literature in this field is quite controversial. There is disagreement on both the direction of effects of hybridization on parasites in the house mouse system (see Sage et al. 1986 and Moulia ett al. 1991 vs. Baird et al. 2012 and our study) and on the interpretation of these findings with regards to host fitness and hybridization (see for example</w:t>
      </w:r>
      <w:r>
        <w:rPr>
          <w:rFonts w:eastAsia="Times New Roman" w:cs="Times New Roman" w:ascii="Times New Roman" w:hAnsi="Times New Roman"/>
          <w:b/>
        </w:rPr>
        <w:t xml:space="preserve"> </w:t>
      </w:r>
      <w:r>
        <w:rPr>
          <w:rFonts w:eastAsia="Times New Roman" w:cs="Times New Roman" w:ascii="Times New Roman" w:hAnsi="Times New Roman"/>
        </w:rPr>
        <w:t xml:space="preserve">Theodosopoulos et al. 2019; </w:t>
      </w:r>
      <w:bookmarkStart w:id="0" w:name="__DdeLink__2709_2973514305"/>
      <w:r>
        <w:rPr>
          <w:rFonts w:eastAsia="Times New Roman" w:cs="Times New Roman" w:ascii="Times New Roman" w:hAnsi="Times New Roman"/>
        </w:rPr>
        <w:t>Baird &amp; Goüy de Bellocq, 2019</w:t>
      </w:r>
      <w:bookmarkEnd w:id="0"/>
      <w:r>
        <w:rPr>
          <w:rFonts w:eastAsia="Times New Roman" w:cs="Times New Roman" w:ascii="Times New Roman" w:hAnsi="Times New Roman"/>
        </w:rPr>
        <w:t>)</w:t>
      </w:r>
      <w:hyperlink r:id="rId4">
        <w:r>
          <w:rPr>
            <w:rStyle w:val="ListLabel37"/>
            <w:rFonts w:eastAsia="Times New Roman" w:cs="Times New Roman" w:ascii="Times New Roman" w:hAnsi="Times New Roman"/>
          </w:rPr>
          <w:t>.</w:t>
          <w:tab/>
          <w:t xml:space="preserve"> </w:t>
        </w:r>
      </w:hyperlink>
      <w:r>
        <w:rPr/>
        <w:tab/>
      </w:r>
      <w:r>
        <w:rPr>
          <w:rFonts w:eastAsia="Times New Roman" w:cs="Times New Roman" w:ascii="Times New Roman" w:hAnsi="Times New Roman"/>
          <w:color w:val="3C78D8"/>
        </w:rPr>
        <w:t>https://www.sciencedirect.com/science/article/pii/S0169534718302325?via%3Dihub</w:t>
      </w:r>
    </w:p>
    <w:p>
      <w:pPr>
        <w:pStyle w:val="Normal"/>
        <w:widowControl w:val="false"/>
        <w:ind w:left="696" w:right="-28" w:hanging="0"/>
        <w:jc w:val="both"/>
        <w:rPr>
          <w:rFonts w:ascii="Times New Roman" w:hAnsi="Times New Roman" w:eastAsia="Times New Roman" w:cs="Times New Roman"/>
          <w:color w:val="3C78D8"/>
        </w:rPr>
      </w:pPr>
      <w:r>
        <w:rPr>
          <w:rFonts w:eastAsia="Times New Roman" w:cs="Times New Roman" w:ascii="Times New Roman" w:hAnsi="Times New Roman"/>
          <w:color w:val="3C78D8"/>
        </w:rPr>
        <w:t>https://www.cell.com/trends/ecology-evolution/fulltext/S0169-5347(19)30026-6</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Fonts w:eastAsia="Times New Roman" w:cs="Times New Roman" w:ascii="Times New Roman" w:hAnsi="Times New Roman"/>
        </w:rPr>
        <w:t xml:space="preserve">We therefore focus on the study system and limit our hypotheses to hybrid resistance vs. hybrid susceptibility without favoring one result </w:t>
      </w:r>
      <w:r>
        <w:rPr>
          <w:rFonts w:eastAsia="Times New Roman" w:cs="Times New Roman" w:ascii="Times New Roman" w:hAnsi="Times New Roman"/>
          <w:i/>
          <w:iCs/>
        </w:rPr>
        <w:t>a priori</w:t>
      </w:r>
      <w:r>
        <w:rPr>
          <w:rFonts w:eastAsia="Times New Roman" w:cs="Times New Roman" w:ascii="Times New Roman" w:hAnsi="Times New Roman"/>
        </w:rPr>
        <w:t xml:space="preserve">. We hope that our work will help to turn the table the long lasting debate about (even) the direction of hybrid effects on parasites in the house mouse system (see also comments of reviewer 1). We follow Baird &amp; Goüy de Bellocq, 2019 in their view that broader hypotheses on especially fitness effects of parasites on their hosts (or even the maintenance of hybrid zones) should be avoided, especially without evidence for a link between parasites and their impact on host health (if this is what the reviewer means by “condition”). </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9-09-04T13:18:07Z" w:initials="EH">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I think that anchored on the last two comments we could be quite “cruel”. I’d go with a simple “We prefer the interpretation that </w:t>
      </w:r>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single"/>
          <w:vertAlign w:val="baseline"/>
          <w:em w:val="none"/>
          <w:lang w:val="en-US" w:bidi="hi-IN" w:eastAsia="zh-CN"/>
        </w:rPr>
        <w:t>you</w:t>
      </w:r>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 were wrong 33 years ago”.</w:t>
      </w:r>
    </w:p>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US" w:bidi="hi-IN" w:eastAsia="zh-CN"/>
        </w:rPr>
        <w:t xml:space="preserve">@Stuart: feel free to exercise more cruelty… Alice would be grateful I’m sure.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tabs>
          <w:tab w:val="num" w:pos="696"/>
        </w:tabs>
        <w:ind w:left="696" w:hanging="360"/>
      </w:pPr>
      <w:rPr>
        <w:rFonts w:ascii="Symbol" w:hAnsi="Symbol" w:cs="Symbol" w:hint="default"/>
        <w:rFonts w:cs="OpenSymbol"/>
      </w:rPr>
    </w:lvl>
    <w:lvl w:ilvl="1">
      <w:start w:val="1"/>
      <w:numFmt w:val="bullet"/>
      <w:lvlText w:val="◦"/>
      <w:lvlJc w:val="left"/>
      <w:pPr>
        <w:tabs>
          <w:tab w:val="num" w:pos="1056"/>
        </w:tabs>
        <w:ind w:left="1056" w:hanging="360"/>
      </w:pPr>
      <w:rPr>
        <w:rFonts w:ascii="OpenSymbol" w:hAnsi="OpenSymbol" w:cs="OpenSymbol" w:hint="default"/>
        <w:rFonts w:cs="OpenSymbol"/>
      </w:rPr>
    </w:lvl>
    <w:lvl w:ilvl="2">
      <w:start w:val="1"/>
      <w:numFmt w:val="bullet"/>
      <w:lvlText w:val="▪"/>
      <w:lvlJc w:val="left"/>
      <w:pPr>
        <w:tabs>
          <w:tab w:val="num" w:pos="1416"/>
        </w:tabs>
        <w:ind w:left="1416" w:hanging="360"/>
      </w:pPr>
      <w:rPr>
        <w:rFonts w:ascii="OpenSymbol" w:hAnsi="OpenSymbol" w:cs="OpenSymbol" w:hint="default"/>
        <w:rFonts w:cs="OpenSymbol"/>
      </w:rPr>
    </w:lvl>
    <w:lvl w:ilvl="3">
      <w:start w:val="1"/>
      <w:numFmt w:val="bullet"/>
      <w:lvlText w:val=""/>
      <w:lvlJc w:val="left"/>
      <w:pPr>
        <w:tabs>
          <w:tab w:val="num" w:pos="1776"/>
        </w:tabs>
        <w:ind w:left="1776" w:hanging="360"/>
      </w:pPr>
      <w:rPr>
        <w:rFonts w:ascii="Symbol" w:hAnsi="Symbol" w:cs="Symbol" w:hint="default"/>
        <w:rFonts w:cs="OpenSymbol"/>
      </w:rPr>
    </w:lvl>
    <w:lvl w:ilvl="4">
      <w:start w:val="1"/>
      <w:numFmt w:val="bullet"/>
      <w:lvlText w:val="◦"/>
      <w:lvlJc w:val="left"/>
      <w:pPr>
        <w:tabs>
          <w:tab w:val="num" w:pos="2136"/>
        </w:tabs>
        <w:ind w:left="2136" w:hanging="360"/>
      </w:pPr>
      <w:rPr>
        <w:rFonts w:ascii="OpenSymbol" w:hAnsi="OpenSymbol" w:cs="OpenSymbol" w:hint="default"/>
        <w:rFonts w:cs="OpenSymbol"/>
      </w:rPr>
    </w:lvl>
    <w:lvl w:ilvl="5">
      <w:start w:val="1"/>
      <w:numFmt w:val="bullet"/>
      <w:lvlText w:val="▪"/>
      <w:lvlJc w:val="left"/>
      <w:pPr>
        <w:tabs>
          <w:tab w:val="num" w:pos="2496"/>
        </w:tabs>
        <w:ind w:left="2496" w:hanging="360"/>
      </w:pPr>
      <w:rPr>
        <w:rFonts w:ascii="OpenSymbol" w:hAnsi="OpenSymbol" w:cs="OpenSymbol" w:hint="default"/>
        <w:rFonts w:cs="OpenSymbol"/>
      </w:rPr>
    </w:lvl>
    <w:lvl w:ilvl="6">
      <w:start w:val="1"/>
      <w:numFmt w:val="bullet"/>
      <w:lvlText w:val=""/>
      <w:lvlJc w:val="left"/>
      <w:pPr>
        <w:tabs>
          <w:tab w:val="num" w:pos="2856"/>
        </w:tabs>
        <w:ind w:left="2856" w:hanging="360"/>
      </w:pPr>
      <w:rPr>
        <w:rFonts w:ascii="Symbol" w:hAnsi="Symbol" w:cs="Symbol" w:hint="default"/>
        <w:rFonts w:cs="OpenSymbol"/>
      </w:rPr>
    </w:lvl>
    <w:lvl w:ilvl="7">
      <w:start w:val="1"/>
      <w:numFmt w:val="bullet"/>
      <w:lvlText w:val="◦"/>
      <w:lvlJc w:val="left"/>
      <w:pPr>
        <w:tabs>
          <w:tab w:val="num" w:pos="3216"/>
        </w:tabs>
        <w:ind w:left="3216" w:hanging="360"/>
      </w:pPr>
      <w:rPr>
        <w:rFonts w:ascii="OpenSymbol" w:hAnsi="OpenSymbol" w:cs="OpenSymbol" w:hint="default"/>
        <w:rFonts w:cs="OpenSymbol"/>
      </w:rPr>
    </w:lvl>
    <w:lvl w:ilvl="8">
      <w:start w:val="1"/>
      <w:numFmt w:val="bullet"/>
      <w:lvlText w:val="▪"/>
      <w:lvlJc w:val="left"/>
      <w:pPr>
        <w:tabs>
          <w:tab w:val="num" w:pos="3576"/>
        </w:tabs>
        <w:ind w:left="3576"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US" w:eastAsia="zh-CN" w:bidi="hi-IN"/>
    </w:rPr>
  </w:style>
  <w:style w:type="paragraph" w:styleId="Heading1">
    <w:name w:val="Heading 1"/>
    <w:basedOn w:val="Normal"/>
    <w:qFormat/>
    <w:pPr>
      <w:keepNext w:val="true"/>
      <w:keepLines/>
      <w:widowControl w:val="false"/>
      <w:bidi w:val="0"/>
      <w:spacing w:lineRule="auto" w:line="240" w:before="480" w:after="120"/>
      <w:jc w:val="left"/>
    </w:pPr>
    <w:rPr>
      <w:rFonts w:ascii="Arial" w:hAnsi="Arial" w:eastAsia="Arial" w:cs="Arial"/>
      <w:b/>
      <w:color w:val="00000A"/>
      <w:kern w:val="0"/>
      <w:sz w:val="48"/>
      <w:szCs w:val="48"/>
      <w:lang w:val="en-US" w:eastAsia="zh-CN" w:bidi="hi-IN"/>
    </w:rPr>
  </w:style>
  <w:style w:type="paragraph" w:styleId="Heading2">
    <w:name w:val="Heading 2"/>
    <w:basedOn w:val="Normal"/>
    <w:qFormat/>
    <w:pPr>
      <w:keepNext w:val="true"/>
      <w:keepLines/>
      <w:widowControl w:val="false"/>
      <w:bidi w:val="0"/>
      <w:spacing w:lineRule="auto" w:line="240" w:before="360" w:after="80"/>
      <w:jc w:val="left"/>
    </w:pPr>
    <w:rPr>
      <w:rFonts w:ascii="Arial" w:hAnsi="Arial" w:eastAsia="Arial" w:cs="Arial"/>
      <w:b/>
      <w:color w:val="00000A"/>
      <w:kern w:val="0"/>
      <w:sz w:val="36"/>
      <w:szCs w:val="36"/>
      <w:lang w:val="en-US" w:eastAsia="zh-CN" w:bidi="hi-IN"/>
    </w:rPr>
  </w:style>
  <w:style w:type="paragraph" w:styleId="Heading3">
    <w:name w:val="Heading 3"/>
    <w:basedOn w:val="Normal"/>
    <w:qFormat/>
    <w:pPr>
      <w:keepNext w:val="true"/>
      <w:keepLines/>
      <w:widowControl w:val="false"/>
      <w:bidi w:val="0"/>
      <w:spacing w:lineRule="auto" w:line="240" w:before="280" w:after="80"/>
      <w:jc w:val="left"/>
    </w:pPr>
    <w:rPr>
      <w:rFonts w:ascii="Arial" w:hAnsi="Arial" w:eastAsia="Arial" w:cs="Arial"/>
      <w:b/>
      <w:color w:val="00000A"/>
      <w:kern w:val="0"/>
      <w:sz w:val="28"/>
      <w:szCs w:val="28"/>
      <w:lang w:val="en-US" w:eastAsia="zh-CN" w:bidi="hi-IN"/>
    </w:rPr>
  </w:style>
  <w:style w:type="paragraph" w:styleId="Heading4">
    <w:name w:val="Heading 4"/>
    <w:basedOn w:val="Normal"/>
    <w:qFormat/>
    <w:pPr>
      <w:keepNext w:val="true"/>
      <w:keepLines/>
      <w:widowControl w:val="false"/>
      <w:bidi w:val="0"/>
      <w:spacing w:lineRule="auto" w:line="240" w:before="240" w:after="40"/>
      <w:jc w:val="left"/>
    </w:pPr>
    <w:rPr>
      <w:rFonts w:ascii="Arial" w:hAnsi="Arial" w:eastAsia="Arial" w:cs="Arial"/>
      <w:b/>
      <w:color w:val="00000A"/>
      <w:kern w:val="0"/>
      <w:sz w:val="24"/>
      <w:szCs w:val="24"/>
      <w:lang w:val="en-US" w:eastAsia="zh-CN" w:bidi="hi-IN"/>
    </w:rPr>
  </w:style>
  <w:style w:type="paragraph" w:styleId="Heading5">
    <w:name w:val="Heading 5"/>
    <w:basedOn w:val="Normal"/>
    <w:qFormat/>
    <w:pPr>
      <w:keepNext w:val="true"/>
      <w:keepLines/>
      <w:widowControl w:val="false"/>
      <w:bidi w:val="0"/>
      <w:spacing w:lineRule="auto" w:line="240" w:before="220" w:after="40"/>
      <w:jc w:val="left"/>
    </w:pPr>
    <w:rPr>
      <w:rFonts w:ascii="Arial" w:hAnsi="Arial" w:eastAsia="Arial" w:cs="Arial"/>
      <w:b/>
      <w:color w:val="00000A"/>
      <w:kern w:val="0"/>
      <w:sz w:val="22"/>
      <w:szCs w:val="22"/>
      <w:lang w:val="en-US" w:eastAsia="zh-CN" w:bidi="hi-IN"/>
    </w:rPr>
  </w:style>
  <w:style w:type="paragraph" w:styleId="Heading6">
    <w:name w:val="Heading 6"/>
    <w:basedOn w:val="Normal"/>
    <w:qFormat/>
    <w:pPr>
      <w:keepNext w:val="true"/>
      <w:keepLines/>
      <w:widowControl w:val="false"/>
      <w:bidi w:val="0"/>
      <w:spacing w:lineRule="auto" w:line="240" w:before="200" w:after="40"/>
      <w:jc w:val="left"/>
    </w:pPr>
    <w:rPr>
      <w:rFonts w:ascii="Arial" w:hAnsi="Arial" w:eastAsia="Arial" w:cs="Arial"/>
      <w:b/>
      <w:color w:val="00000A"/>
      <w:kern w:val="0"/>
      <w:sz w:val="20"/>
      <w:szCs w:val="20"/>
      <w:lang w:val="en-US" w:eastAsia="zh-CN" w:bidi="hi-IN"/>
    </w:rPr>
  </w:style>
  <w:style w:type="character" w:styleId="ListLabel1">
    <w:name w:val="ListLabel 1"/>
    <w:qFormat/>
    <w:rPr>
      <w:rFonts w:ascii="Times New Roman" w:hAnsi="Times New Roman"/>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rPr>
  </w:style>
  <w:style w:type="character" w:styleId="InternetLink">
    <w:name w:val="Internet Link"/>
    <w:rPr>
      <w:color w:val="000080"/>
      <w:u w:val="single"/>
      <w:lang w:val="zxx" w:eastAsia="zxx" w:bidi="zxx"/>
    </w:rPr>
  </w:style>
  <w:style w:type="character" w:styleId="ListLabel38">
    <w:name w:val="ListLabel 38"/>
    <w:qFormat/>
    <w:rPr>
      <w:rFonts w:ascii="Times New Roman" w:hAnsi="Times New Roman" w:eastAsia="Times New Roman" w:cs="Times New Roman"/>
      <w:u w:val="single"/>
    </w:rPr>
  </w:style>
  <w:style w:type="character" w:styleId="ListLabel39">
    <w:name w:val="ListLabel 39"/>
    <w:qFormat/>
    <w:rPr>
      <w:rFonts w:ascii="Times New Roman" w:hAnsi="Times New Roman" w:cs="Wingdings"/>
      <w:sz w:val="22"/>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rFonts w:ascii="Times New Roman" w:hAnsi="Times New Roman" w:cs="Wingdings"/>
      <w:sz w:val="22"/>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rFonts w:ascii="Times New Roman" w:hAnsi="Times New Roman" w:cs="Wingdings"/>
      <w:sz w:val="22"/>
      <w:u w:val="none"/>
    </w:rPr>
  </w:style>
  <w:style w:type="character" w:styleId="ListLabel58">
    <w:name w:val="ListLabel 58"/>
    <w:qFormat/>
    <w:rPr>
      <w:rFonts w:cs="Wingdings 2"/>
      <w:u w:val="none"/>
    </w:rPr>
  </w:style>
  <w:style w:type="character" w:styleId="ListLabel59">
    <w:name w:val="ListLabel 59"/>
    <w:qFormat/>
    <w:rPr>
      <w:rFonts w:cs="OpenSymbol"/>
      <w:u w:val="none"/>
    </w:rPr>
  </w:style>
  <w:style w:type="character" w:styleId="ListLabel60">
    <w:name w:val="ListLabel 60"/>
    <w:qFormat/>
    <w:rPr>
      <w:rFonts w:cs="Wingdings"/>
      <w:u w:val="none"/>
    </w:rPr>
  </w:style>
  <w:style w:type="character" w:styleId="ListLabel61">
    <w:name w:val="ListLabel 61"/>
    <w:qFormat/>
    <w:rPr>
      <w:rFonts w:cs="Wingdings 2"/>
      <w:u w:val="none"/>
    </w:rPr>
  </w:style>
  <w:style w:type="character" w:styleId="ListLabel62">
    <w:name w:val="ListLabel 62"/>
    <w:qFormat/>
    <w:rPr>
      <w:rFonts w:cs="OpenSymbol"/>
      <w:u w:val="none"/>
    </w:rPr>
  </w:style>
  <w:style w:type="character" w:styleId="ListLabel63">
    <w:name w:val="ListLabel 63"/>
    <w:qFormat/>
    <w:rPr>
      <w:rFonts w:cs="Wingdings"/>
      <w:u w:val="none"/>
    </w:rPr>
  </w:style>
  <w:style w:type="character" w:styleId="ListLabel64">
    <w:name w:val="ListLabel 64"/>
    <w:qFormat/>
    <w:rPr>
      <w:rFonts w:cs="Wingdings 2"/>
      <w:u w:val="none"/>
    </w:rPr>
  </w:style>
  <w:style w:type="character" w:styleId="ListLabel65">
    <w:name w:val="ListLabel 65"/>
    <w:qFormat/>
    <w:rPr>
      <w:rFonts w:cs="OpenSymbol"/>
      <w:u w:val="none"/>
    </w:rPr>
  </w:style>
  <w:style w:type="character" w:styleId="ListLabel66">
    <w:name w:val="ListLabel 66"/>
    <w:qFormat/>
    <w:rPr>
      <w:rFonts w:ascii="Times New Roman" w:hAnsi="Times New Roman" w:cs="Wingdings"/>
      <w:sz w:val="22"/>
      <w:u w:val="none"/>
    </w:rPr>
  </w:style>
  <w:style w:type="character" w:styleId="ListLabel67">
    <w:name w:val="ListLabel 67"/>
    <w:qFormat/>
    <w:rPr>
      <w:rFonts w:cs="Wingdings 2"/>
      <w:u w:val="none"/>
    </w:rPr>
  </w:style>
  <w:style w:type="character" w:styleId="ListLabel68">
    <w:name w:val="ListLabel 68"/>
    <w:qFormat/>
    <w:rPr>
      <w:rFonts w:cs="OpenSymbol"/>
      <w:u w:val="none"/>
    </w:rPr>
  </w:style>
  <w:style w:type="character" w:styleId="ListLabel69">
    <w:name w:val="ListLabel 69"/>
    <w:qFormat/>
    <w:rPr>
      <w:rFonts w:cs="Wingdings"/>
      <w:u w:val="none"/>
    </w:rPr>
  </w:style>
  <w:style w:type="character" w:styleId="ListLabel70">
    <w:name w:val="ListLabel 70"/>
    <w:qFormat/>
    <w:rPr>
      <w:rFonts w:cs="Wingdings 2"/>
      <w:u w:val="none"/>
    </w:rPr>
  </w:style>
  <w:style w:type="character" w:styleId="ListLabel71">
    <w:name w:val="ListLabel 71"/>
    <w:qFormat/>
    <w:rPr>
      <w:rFonts w:cs="OpenSymbol"/>
      <w:u w:val="none"/>
    </w:rPr>
  </w:style>
  <w:style w:type="character" w:styleId="ListLabel72">
    <w:name w:val="ListLabel 72"/>
    <w:qFormat/>
    <w:rPr>
      <w:rFonts w:cs="Wingdings"/>
      <w:u w:val="none"/>
    </w:rPr>
  </w:style>
  <w:style w:type="character" w:styleId="ListLabel73">
    <w:name w:val="ListLabel 73"/>
    <w:qFormat/>
    <w:rPr>
      <w:rFonts w:cs="Wingdings 2"/>
      <w:u w:val="none"/>
    </w:rPr>
  </w:style>
  <w:style w:type="character" w:styleId="ListLabel74">
    <w:name w:val="ListLabel 74"/>
    <w:qFormat/>
    <w:rPr>
      <w:rFonts w:cs="OpenSymbol"/>
      <w:u w:val="none"/>
    </w:rPr>
  </w:style>
  <w:style w:type="character" w:styleId="ListLabel75">
    <w:name w:val="ListLabel 75"/>
    <w:qFormat/>
    <w:rPr>
      <w:rFonts w:ascii="Times New Roman" w:hAnsi="Times New Roman" w:eastAsia="Times New Roman" w:cs="Times New Roman"/>
    </w:rPr>
  </w:style>
  <w:style w:type="character" w:styleId="ListLabel76">
    <w:name w:val="ListLabel 76"/>
    <w:qFormat/>
    <w:rPr>
      <w:rFonts w:ascii="Times New Roman" w:hAnsi="Times New Roman" w:eastAsia="Times New Roman" w:cs="Times New Roman"/>
      <w:u w:val="single"/>
    </w:rPr>
  </w:style>
  <w:style w:type="character" w:styleId="ListLabel77">
    <w:name w:val="ListLabel 77"/>
    <w:qFormat/>
    <w:rPr>
      <w:rFonts w:cs="Wingdings"/>
      <w:sz w:val="22"/>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ascii="Times New Roman" w:hAnsi="Times New Roman" w:cs="Wingdings"/>
      <w:sz w:val="22"/>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rFonts w:cs="Wingdings"/>
      <w:sz w:val="22"/>
      <w:u w:val="none"/>
    </w:rPr>
  </w:style>
  <w:style w:type="character" w:styleId="ListLabel96">
    <w:name w:val="ListLabel 96"/>
    <w:qFormat/>
    <w:rPr>
      <w:rFonts w:cs="Wingdings 2"/>
      <w:u w:val="none"/>
    </w:rPr>
  </w:style>
  <w:style w:type="character" w:styleId="ListLabel97">
    <w:name w:val="ListLabel 97"/>
    <w:qFormat/>
    <w:rPr>
      <w:rFonts w:cs="OpenSymbol"/>
      <w:u w:val="none"/>
    </w:rPr>
  </w:style>
  <w:style w:type="character" w:styleId="ListLabel98">
    <w:name w:val="ListLabel 98"/>
    <w:qFormat/>
    <w:rPr>
      <w:rFonts w:cs="Wingdings"/>
      <w:u w:val="none"/>
    </w:rPr>
  </w:style>
  <w:style w:type="character" w:styleId="ListLabel99">
    <w:name w:val="ListLabel 99"/>
    <w:qFormat/>
    <w:rPr>
      <w:rFonts w:cs="Wingdings 2"/>
      <w:u w:val="none"/>
    </w:rPr>
  </w:style>
  <w:style w:type="character" w:styleId="ListLabel100">
    <w:name w:val="ListLabel 100"/>
    <w:qFormat/>
    <w:rPr>
      <w:rFonts w:cs="OpenSymbol"/>
      <w:u w:val="none"/>
    </w:rPr>
  </w:style>
  <w:style w:type="character" w:styleId="ListLabel101">
    <w:name w:val="ListLabel 101"/>
    <w:qFormat/>
    <w:rPr>
      <w:rFonts w:cs="Wingdings"/>
      <w:u w:val="none"/>
    </w:rPr>
  </w:style>
  <w:style w:type="character" w:styleId="ListLabel102">
    <w:name w:val="ListLabel 102"/>
    <w:qFormat/>
    <w:rPr>
      <w:rFonts w:cs="Wingdings 2"/>
      <w:u w:val="none"/>
    </w:rPr>
  </w:style>
  <w:style w:type="character" w:styleId="ListLabel103">
    <w:name w:val="ListLabel 103"/>
    <w:qFormat/>
    <w:rPr>
      <w:rFonts w:cs="OpenSymbol"/>
      <w:u w:val="none"/>
    </w:rPr>
  </w:style>
  <w:style w:type="character" w:styleId="ListLabel104">
    <w:name w:val="ListLabel 104"/>
    <w:qFormat/>
    <w:rPr>
      <w:rFonts w:ascii="Times New Roman" w:hAnsi="Times New Roman" w:cs="Wingdings"/>
      <w:sz w:val="22"/>
      <w:u w:val="none"/>
    </w:rPr>
  </w:style>
  <w:style w:type="character" w:styleId="ListLabel105">
    <w:name w:val="ListLabel 105"/>
    <w:qFormat/>
    <w:rPr>
      <w:rFonts w:cs="Wingdings 2"/>
      <w:u w:val="none"/>
    </w:rPr>
  </w:style>
  <w:style w:type="character" w:styleId="ListLabel106">
    <w:name w:val="ListLabel 106"/>
    <w:qFormat/>
    <w:rPr>
      <w:rFonts w:cs="OpenSymbol"/>
      <w:u w:val="none"/>
    </w:rPr>
  </w:style>
  <w:style w:type="character" w:styleId="ListLabel107">
    <w:name w:val="ListLabel 107"/>
    <w:qFormat/>
    <w:rPr>
      <w:rFonts w:cs="Wingdings"/>
      <w:u w:val="none"/>
    </w:rPr>
  </w:style>
  <w:style w:type="character" w:styleId="ListLabel108">
    <w:name w:val="ListLabel 108"/>
    <w:qFormat/>
    <w:rPr>
      <w:rFonts w:cs="Wingdings 2"/>
      <w:u w:val="none"/>
    </w:rPr>
  </w:style>
  <w:style w:type="character" w:styleId="ListLabel109">
    <w:name w:val="ListLabel 109"/>
    <w:qFormat/>
    <w:rPr>
      <w:rFonts w:cs="OpenSymbol"/>
      <w:u w:val="none"/>
    </w:rPr>
  </w:style>
  <w:style w:type="character" w:styleId="ListLabel110">
    <w:name w:val="ListLabel 110"/>
    <w:qFormat/>
    <w:rPr>
      <w:rFonts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ascii="Times New Roman" w:hAnsi="Times New Roman" w:eastAsia="Times New Roman" w:cs="Times New Roman"/>
    </w:rPr>
  </w:style>
  <w:style w:type="character" w:styleId="ListLabel114">
    <w:name w:val="ListLabel 114"/>
    <w:qFormat/>
    <w:rPr>
      <w:rFonts w:ascii="Times new roman" w:hAnsi="Times new roman" w:eastAsia="Times New Roman" w:cs="Times New Roman"/>
    </w:rPr>
  </w:style>
  <w:style w:type="character" w:styleId="ListLabel115">
    <w:name w:val="ListLabel 115"/>
    <w:qFormat/>
    <w:rPr>
      <w:rFonts w:ascii="Times New Roman" w:hAnsi="Times New Roman" w:eastAsia="Times New Roman" w:cs="Times New Roman"/>
      <w:u w:val="single"/>
    </w:rPr>
  </w:style>
  <w:style w:type="character" w:styleId="ListLabel116">
    <w:name w:val="ListLabel 116"/>
    <w:qFormat/>
    <w:rPr>
      <w:rFonts w:cs="Wingdings"/>
      <w:sz w:val="22"/>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ascii="Times New Roman" w:hAnsi="Times New Roman" w:cs="Wingdings"/>
      <w:sz w:val="22"/>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sz w:val="22"/>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ascii="Times New Roman" w:hAnsi="Times New Roman" w:cs="Wingdings"/>
      <w:sz w:val="22"/>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ascii="Times New Roman" w:hAnsi="Times New Roman" w:eastAsia="Times New Roman" w:cs="Times New Roman"/>
    </w:rPr>
  </w:style>
  <w:style w:type="character" w:styleId="ListLabel153">
    <w:name w:val="ListLabel 153"/>
    <w:qFormat/>
    <w:rPr>
      <w:rFonts w:ascii="Times new roman" w:hAnsi="Times new roman" w:eastAsia="Times New Roman" w:cs="Times New Roman"/>
    </w:rPr>
  </w:style>
  <w:style w:type="character" w:styleId="ListLabel154">
    <w:name w:val="ListLabel 154"/>
    <w:qFormat/>
    <w:rPr>
      <w:rFonts w:ascii="Times New Roman" w:hAnsi="Times New Roman" w:eastAsia="Times New Roman" w:cs="Times New Roman"/>
      <w:u w:val="single"/>
    </w:rPr>
  </w:style>
  <w:style w:type="character" w:styleId="Bullets">
    <w:name w:val="Bullets"/>
    <w:qFormat/>
    <w:rPr>
      <w:rFonts w:ascii="OpenSymbol" w:hAnsi="OpenSymbol" w:eastAsia="OpenSymbol" w:cs="OpenSymbol"/>
    </w:rPr>
  </w:style>
  <w:style w:type="character" w:styleId="ListLabel155">
    <w:name w:val="ListLabel 155"/>
    <w:qFormat/>
    <w:rPr>
      <w:rFonts w:cs="Wingdings"/>
      <w:sz w:val="22"/>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ascii="Times New Roman" w:hAnsi="Times New Roman" w:cs="Wingdings"/>
      <w:sz w:val="22"/>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Wingdings"/>
      <w:sz w:val="22"/>
      <w:u w:val="none"/>
    </w:rPr>
  </w:style>
  <w:style w:type="character" w:styleId="ListLabel174">
    <w:name w:val="ListLabel 174"/>
    <w:qFormat/>
    <w:rPr>
      <w:rFonts w:cs="Wingdings 2"/>
      <w:u w:val="none"/>
    </w:rPr>
  </w:style>
  <w:style w:type="character" w:styleId="ListLabel175">
    <w:name w:val="ListLabel 175"/>
    <w:qFormat/>
    <w:rPr>
      <w:rFonts w:cs="OpenSymbol"/>
      <w:u w:val="none"/>
    </w:rPr>
  </w:style>
  <w:style w:type="character" w:styleId="ListLabel176">
    <w:name w:val="ListLabel 176"/>
    <w:qFormat/>
    <w:rPr>
      <w:rFonts w:cs="Wingdings"/>
      <w:u w:val="none"/>
    </w:rPr>
  </w:style>
  <w:style w:type="character" w:styleId="ListLabel177">
    <w:name w:val="ListLabel 177"/>
    <w:qFormat/>
    <w:rPr>
      <w:rFonts w:cs="Wingdings 2"/>
      <w:u w:val="none"/>
    </w:rPr>
  </w:style>
  <w:style w:type="character" w:styleId="ListLabel178">
    <w:name w:val="ListLabel 178"/>
    <w:qFormat/>
    <w:rPr>
      <w:rFonts w:cs="OpenSymbol"/>
      <w:u w:val="none"/>
    </w:rPr>
  </w:style>
  <w:style w:type="character" w:styleId="ListLabel179">
    <w:name w:val="ListLabel 179"/>
    <w:qFormat/>
    <w:rPr>
      <w:rFonts w:cs="Wingdings"/>
      <w:u w:val="none"/>
    </w:rPr>
  </w:style>
  <w:style w:type="character" w:styleId="ListLabel180">
    <w:name w:val="ListLabel 180"/>
    <w:qFormat/>
    <w:rPr>
      <w:rFonts w:cs="Wingdings 2"/>
      <w:u w:val="none"/>
    </w:rPr>
  </w:style>
  <w:style w:type="character" w:styleId="ListLabel181">
    <w:name w:val="ListLabel 181"/>
    <w:qFormat/>
    <w:rPr>
      <w:rFonts w:cs="OpenSymbol"/>
      <w:u w:val="none"/>
    </w:rPr>
  </w:style>
  <w:style w:type="character" w:styleId="ListLabel182">
    <w:name w:val="ListLabel 182"/>
    <w:qFormat/>
    <w:rPr>
      <w:rFonts w:ascii="Times New Roman" w:hAnsi="Times New Roman" w:cs="Wingdings"/>
      <w:sz w:val="22"/>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eastAsia="Times New Roman" w:cs="Times New Roman"/>
    </w:rPr>
  </w:style>
  <w:style w:type="character" w:styleId="ListLabel201">
    <w:name w:val="ListLabel 201"/>
    <w:qFormat/>
    <w:rPr>
      <w:rFonts w:ascii="Times new roman" w:hAnsi="Times new roman" w:eastAsia="Times New Roman" w:cs="Times New Roman"/>
    </w:rPr>
  </w:style>
  <w:style w:type="character" w:styleId="ListLabel202">
    <w:name w:val="ListLabel 202"/>
    <w:qFormat/>
    <w:rPr>
      <w:rFonts w:ascii="Times New Roman" w:hAnsi="Times New Roman" w:eastAsia="Times New Roman" w:cs="Times New Roman"/>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jc w:val="left"/>
    </w:pPr>
    <w:rPr>
      <w:rFonts w:ascii="Arial" w:hAnsi="Arial" w:eastAsia="Arial" w:cs="Arial"/>
      <w:color w:val="00000A"/>
      <w:kern w:val="0"/>
      <w:sz w:val="22"/>
      <w:szCs w:val="22"/>
      <w:lang w:val="en-US" w:eastAsia="zh-CN" w:bidi="hi-IN"/>
    </w:rPr>
  </w:style>
  <w:style w:type="paragraph" w:styleId="Title">
    <w:name w:val="Title"/>
    <w:basedOn w:val="LOnormal"/>
    <w:qFormat/>
    <w:pPr>
      <w:keepNext w:val="true"/>
      <w:keepLines/>
      <w:spacing w:lineRule="auto" w:line="240" w:before="480" w:after="120"/>
    </w:pPr>
    <w:rPr>
      <w:b/>
      <w:sz w:val="72"/>
      <w:szCs w:val="72"/>
    </w:rPr>
  </w:style>
  <w:style w:type="paragraph" w:styleId="Subtitle">
    <w:name w:val="Subtitle"/>
    <w:basedOn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github.com/alicebalard/Article_IntensityEimeriaHMHZ/tree/master/code" TargetMode="External"/><Relationship Id="rId4" Type="http://schemas.openxmlformats.org/officeDocument/2006/relationships/hyperlink" Target="https://www.cell.com/trends/ecology-evolution/fulltext/S0169-5347(19)30026-6"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224</TotalTime>
  <Application>LibreOffice/6.1.5.2$Linux_X86_64 LibreOffice_project/10$Build-2</Application>
  <Pages>24</Pages>
  <Words>11188</Words>
  <Characters>58714</Characters>
  <CharactersWithSpaces>69847</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2019-09-05T15:31:23Z</dcterms:modified>
  <cp:revision>17</cp:revision>
  <dc:subject/>
  <dc:title/>
</cp:coreProperties>
</file>