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4" w:right="-28" w:hanging="0"/>
        <w:jc w:val="both"/>
        <w:rPr/>
      </w:pPr>
      <w:r>
        <w:rPr>
          <w:rFonts w:eastAsia="Times New Roman" w:cs="Times New Roman" w:ascii="Times New Roman" w:hAnsi="Times New Roman"/>
        </w:rPr>
        <w:t xml:space="preserve">We thank the reviewers for their thorough comments. Please find attached an annotated version of the main text with all modifications from the first document highlighted in yellow, as well as supplementary material updated according to the reviewer’s requests. </w:t>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sz w:val="48"/>
          <w:szCs w:val="48"/>
        </w:rPr>
      </w:pPr>
      <w:r>
        <w:rPr>
          <w:rFonts w:eastAsia="Times New Roman" w:cs="Times New Roman" w:ascii="Times New Roman" w:hAnsi="Times New Roman"/>
          <w:b/>
          <w:sz w:val="48"/>
          <w:szCs w:val="48"/>
        </w:rPr>
        <w:t xml:space="preserve">Response to reviewer 1.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24" w:right="-28" w:hanging="0"/>
        <w:jc w:val="both"/>
        <w:rPr>
          <w:rFonts w:ascii="Times New Roman" w:hAnsi="Times New Roman" w:eastAsia="Times New Roman" w:cs="Times New Roman"/>
          <w:color w:val="980000"/>
        </w:rPr>
      </w:pPr>
      <w:r>
        <w:rPr>
          <w:rFonts w:eastAsia="Times New Roman" w:cs="Times New Roman" w:ascii="Times New Roman" w:hAnsi="Times New Roman"/>
          <w:color w:val="073763"/>
        </w:rPr>
        <w:t xml:space="preserve">Main of my comments follow the text, only the last ones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and parasitological concepts are given apart. I refer to previous or subsequent comments that complete each other when necessary, to avoid repetitions.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 </w:t>
      </w:r>
      <w:r>
        <w:rPr>
          <w:rFonts w:eastAsia="Times New Roman" w:cs="Times New Roman" w:ascii="Times New Roman" w:hAnsi="Times New Roman"/>
          <w:color w:val="073763"/>
        </w:rPr>
        <w:t xml:space="preserve">Lines 57-59: </w:t>
      </w:r>
      <w:r>
        <w:rPr>
          <w:rFonts w:eastAsia="Times New Roman" w:cs="Times New Roman" w:ascii="Times New Roman" w:hAnsi="Times New Roman"/>
          <w:b/>
          <w:color w:val="073763"/>
        </w:rPr>
        <w:t>Review the statement</w:t>
      </w:r>
      <w:r>
        <w:rPr>
          <w:rFonts w:eastAsia="Times New Roman" w:cs="Times New Roman" w:ascii="Times New Roman" w:hAnsi="Times New Roman"/>
          <w:color w:val="073763"/>
        </w:rPr>
        <w:t xml:space="preserve">: The experimental works, Moulia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1995 and Derothe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 2004 </w:t>
      </w:r>
      <w:r>
        <w:rPr>
          <w:rFonts w:eastAsia="Times New Roman" w:cs="Times New Roman" w:ascii="Times New Roman" w:hAnsi="Times New Roman"/>
          <w:b/>
          <w:color w:val="073763"/>
        </w:rPr>
        <w:t xml:space="preserve">do not show </w:t>
      </w:r>
      <w:r>
        <w:rPr>
          <w:rFonts w:eastAsia="Times New Roman" w:cs="Times New Roman" w:ascii="Times New Roman" w:hAnsi="Times New Roman"/>
          <w:color w:val="073763"/>
        </w:rPr>
        <w:t xml:space="preserve">that natural hybrids are less susceptible than parental mice, as they investigate hybrid resistance / susceptibility via experimental crosses. In Moulia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(1995), only F1 are concerned, which clearly cannot be compared to highly recombined wild hybrids. Indeed, Derothe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2004, showed, via experimental crosses until the F2 generation, that recombination can not be directly involved in hybrid susceptibility (i.e. the genome disruption is not directly involved in the higher parasites loads in the wild). But they do not refute the hybrid susceptibility with these experimental data as they cannot denied either the observed differences in wild populations (Sage et al, and Moulia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1991), either those observed with experimental infections of wild-derived strains (Moulia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1993). Derothe </w:t>
      </w:r>
      <w:r>
        <w:rPr>
          <w:rFonts w:eastAsia="Times New Roman" w:cs="Times New Roman" w:ascii="Times New Roman" w:hAnsi="Times New Roman"/>
          <w:i/>
          <w:color w:val="073763"/>
        </w:rPr>
        <w:t>et al.</w:t>
      </w:r>
      <w:r>
        <w:rPr>
          <w:rFonts w:eastAsia="Times New Roman" w:cs="Times New Roman" w:ascii="Times New Roman" w:hAnsi="Times New Roman"/>
          <w:color w:val="073763"/>
        </w:rPr>
        <w:t xml:space="preserve">, 2004 proposed a new hypothesis to be coherent with these previous field results and experimental infections, suggesting that a pleiotropic effect was selected in the hybrid zone (see further). </w:t>
      </w:r>
    </w:p>
    <w:p>
      <w:pPr>
        <w:pStyle w:val="Normal"/>
        <w:spacing w:before="288" w:after="0"/>
        <w:ind w:left="720" w:right="-28" w:hanging="0"/>
        <w:jc w:val="both"/>
        <w:rPr/>
      </w:pPr>
      <w:r>
        <w:rPr>
          <w:rFonts w:eastAsia="Times New Roman" w:cs="Times New Roman" w:ascii="Times New Roman" w:hAnsi="Times New Roman"/>
        </w:rPr>
        <w:t xml:space="preserve">We agree that the difference between F1 and recombinant hybrids should be made as clear as possible and therefore changed the wording “hybrid” by “inter-subspecies F1” (line 61-62 new). We address general challenges dealing with these previous results in our last comment to this reviewer.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 </w:t>
      </w:r>
      <w:r>
        <w:rPr>
          <w:rFonts w:eastAsia="Times New Roman" w:cs="Times New Roman" w:ascii="Times New Roman" w:hAnsi="Times New Roman"/>
          <w:color w:val="073763"/>
        </w:rPr>
        <w:t xml:space="preserve">Lines 59-60: “the highest statistical power”. </w:t>
      </w:r>
      <w:r>
        <w:rPr>
          <w:rFonts w:eastAsia="Times New Roman" w:cs="Times New Roman" w:ascii="Times New Roman" w:hAnsi="Times New Roman"/>
          <w:b/>
          <w:color w:val="073763"/>
        </w:rPr>
        <w:t>Quite strong statement without arguments</w:t>
      </w:r>
      <w:r>
        <w:rPr>
          <w:rFonts w:eastAsia="Times New Roman" w:cs="Times New Roman" w:ascii="Times New Roman" w:hAnsi="Times New Roman"/>
          <w:color w:val="073763"/>
        </w:rPr>
        <w:t xml:space="preserve">. The statistical choice of Baird et al. 2012, as well as this of this very study, is not the only available one (see upcoming comments). </w:t>
      </w:r>
    </w:p>
    <w:p>
      <w:pPr>
        <w:pStyle w:val="Normal"/>
        <w:spacing w:before="288" w:after="0"/>
        <w:ind w:left="696" w:right="-28" w:hanging="0"/>
        <w:jc w:val="both"/>
        <w:rPr/>
      </w:pPr>
      <w:r>
        <w:rPr>
          <w:rFonts w:eastAsia="Times New Roman" w:cs="Times New Roman" w:ascii="Times New Roman" w:hAnsi="Times New Roman"/>
        </w:rPr>
        <w:t>We agree that superlatives should be avoided in scientific writing. We mention sample size and sampling design (see following paragraph) as arguments now. We do not develop further, as the argument is thoroughly developed in the study itself (</w:t>
      </w:r>
      <w:r>
        <w:rPr>
          <w:rFonts w:eastAsia="Times New Roman" w:cs="Times New Roman" w:ascii="Times New Roman" w:hAnsi="Times New Roman"/>
          <w:highlight w:val="white"/>
        </w:rPr>
        <w:t xml:space="preserve">Baird et al. 2012). We replaced by  </w:t>
      </w:r>
      <w:r>
        <w:rPr>
          <w:rFonts w:eastAsia="Times New Roman" w:cs="" w:ascii="Times New Roman" w:hAnsi="Times New Roman" w:cstheme="minorBidi"/>
          <w:highlight w:val="white"/>
        </w:rPr>
        <w:t xml:space="preserve">more recent </w:t>
      </w:r>
      <w:r>
        <w:rPr>
          <w:rFonts w:eastAsia="Times New Roman" w:cs="Times New Roman" w:ascii="Times New Roman" w:hAnsi="Times New Roman"/>
          <w:highlight w:val="white"/>
        </w:rPr>
        <w:t>field study</w:t>
      </w:r>
      <w:r>
        <w:rPr>
          <w:rFonts w:eastAsia="Times New Roman" w:cs="" w:ascii="Times New Roman" w:hAnsi="Times New Roman" w:cstheme="minorBidi"/>
          <w:highlight w:val="white"/>
        </w:rPr>
        <w:t>,</w:t>
      </w:r>
      <w:r>
        <w:rPr>
          <w:rFonts w:eastAsia="Times New Roman" w:cs="Times New Roman" w:ascii="Times New Roman" w:hAnsi="Times New Roman"/>
          <w:highlight w:val="white"/>
        </w:rPr>
        <w:t xml:space="preserve"> with </w:t>
      </w:r>
      <w:r>
        <w:rPr>
          <w:rFonts w:eastAsia="Times New Roman" w:cs="" w:ascii="Times New Roman" w:hAnsi="Times New Roman" w:cstheme="minorBidi"/>
          <w:highlight w:val="white"/>
        </w:rPr>
        <w:t>high</w:t>
      </w:r>
      <w:r>
        <w:rPr>
          <w:rFonts w:eastAsia="Times New Roman" w:cs="Times New Roman" w:ascii="Times New Roman" w:hAnsi="Times New Roman"/>
          <w:highlight w:val="white"/>
        </w:rPr>
        <w:t xml:space="preserve"> statistical power</w:t>
      </w:r>
      <w:r>
        <w:rPr>
          <w:rFonts w:eastAsia="Times New Roman" w:cs="" w:ascii="Times New Roman" w:hAnsi="Times New Roman" w:cstheme="minorBidi"/>
          <w:highlight w:val="white"/>
        </w:rPr>
        <w:t xml:space="preserve"> (more mice sampled and more suitable statistical approach) and arguably improved sampling design,[…</w:t>
      </w:r>
      <w:r>
        <w:rPr>
          <w:rFonts w:eastAsia="Times New Roman" w:cs="Times New Roman" w:ascii="Times New Roman" w:hAnsi="Times New Roman"/>
          <w:highlight w:val="white"/>
        </w:rPr>
        <w:t>]</w:t>
      </w:r>
      <w:r>
        <w:rPr>
          <w:rFonts w:eastAsia="Times New Roman" w:cs="Times New Roman" w:ascii="Times New Roman" w:hAnsi="Times New Roman"/>
        </w:rPr>
        <w:t>(line 60-63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 </w:t>
      </w:r>
      <w:r>
        <w:rPr>
          <w:rFonts w:eastAsia="Times New Roman" w:cs="Times New Roman" w:ascii="Times New Roman" w:hAnsi="Times New Roman"/>
          <w:color w:val="073763"/>
        </w:rPr>
        <w:t xml:space="preserve">Line 91 : “prevalence and abundance, the latter defined as parasite load in all hosts”. </w:t>
      </w:r>
      <w:r>
        <w:rPr>
          <w:rFonts w:eastAsia="Times New Roman" w:cs="Times New Roman" w:ascii="Times New Roman" w:hAnsi="Times New Roman"/>
          <w:b/>
          <w:color w:val="073763"/>
        </w:rPr>
        <w:t>Bad definition of abundance</w:t>
      </w:r>
      <w:r>
        <w:rPr>
          <w:rFonts w:eastAsia="Times New Roman" w:cs="Times New Roman" w:ascii="Times New Roman" w:hAnsi="Times New Roman"/>
          <w:color w:val="073763"/>
        </w:rPr>
        <w:t xml:space="preserve">. It is the mean of parasite loads (individual intensities) from the whole sample. It then includes the “zero” parasite loads, given an indication (even if weak) of the distribution: a lot of zero will reduced this potential parasite load of an given lambda individual, few zero will increased the mean value. </w:t>
      </w:r>
    </w:p>
    <w:p>
      <w:pPr>
        <w:pStyle w:val="Normal"/>
        <w:spacing w:lineRule="auto" w:line="240" w:before="288" w:after="0"/>
        <w:ind w:left="696" w:right="-28" w:hanging="0"/>
        <w:jc w:val="both"/>
        <w:rPr/>
      </w:pPr>
      <w:r>
        <w:rPr>
          <w:rFonts w:eastAsia="Times New Roman" w:cs="Times New Roman" w:ascii="Times New Roman" w:hAnsi="Times New Roman"/>
        </w:rPr>
        <w:t>This comment highlights a lack of clarity in our original text, in which we refer to “all possible hosts, i.e. the whole sample” as “host”. We therefore replace “hosts” by “animals” (line 99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 </w:t>
      </w:r>
      <w:r>
        <w:rPr>
          <w:rFonts w:eastAsia="Times New Roman" w:cs="Times New Roman" w:ascii="Times New Roman" w:hAnsi="Times New Roman"/>
          <w:color w:val="073763"/>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pPr>
        <w:pStyle w:val="Normal"/>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This is a very useful conceptual point to clarify and thank the reviewer for bringing it to our attention. We use this controversial terminology (pathogenicity) for “impact of host health”, and therefore decided to replace all occurrences of “pathogenicity” by “impact of host health” in the text. </w:t>
      </w:r>
    </w:p>
    <w:p>
      <w:pPr>
        <w:pStyle w:val="Normal"/>
        <w:spacing w:lineRule="auto" w:line="240"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 </w:t>
      </w:r>
      <w:r>
        <w:rPr>
          <w:rFonts w:eastAsia="Times New Roman" w:cs="Times New Roman" w:ascii="Times New Roman" w:hAnsi="Times New Roman"/>
          <w:color w:val="073763"/>
        </w:rPr>
        <w:t xml:space="preserve">Lines 73-74: </w:t>
      </w:r>
      <w:r>
        <w:rPr>
          <w:rFonts w:eastAsia="Times New Roman" w:cs="Times New Roman" w:ascii="Times New Roman" w:hAnsi="Times New Roman"/>
          <w:b/>
          <w:color w:val="073763"/>
        </w:rPr>
        <w:t>narrow point of view and weakness of the references</w:t>
      </w:r>
      <w:r>
        <w:rPr>
          <w:rFonts w:eastAsia="Times New Roman" w:cs="Times New Roman" w:ascii="Times New Roman" w:hAnsi="Times New Roman"/>
          <w:color w:val="073763"/>
        </w:rPr>
        <w:t xml:space="preserve">: very frequent in all mouse populations. See for instance Behnke, 1975; Behnke, 1976; Kriska, 1993; Ressouche et al., 1998. </w:t>
      </w:r>
    </w:p>
    <w:p>
      <w:pPr>
        <w:pStyle w:val="Normal"/>
        <w:spacing w:before="288" w:after="0"/>
        <w:ind w:left="696" w:right="-23" w:hanging="0"/>
        <w:rPr/>
      </w:pPr>
      <w:r>
        <w:rPr>
          <w:rFonts w:eastAsia="Times New Roman" w:cs="Times New Roman" w:ascii="Times New Roman" w:hAnsi="Times New Roman"/>
        </w:rPr>
        <w:t>We added the mentioned references.</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 </w:t>
      </w:r>
      <w:r>
        <w:rPr>
          <w:rFonts w:eastAsia="Times New Roman" w:cs="Times New Roman" w:ascii="Times New Roman" w:hAnsi="Times New Roman"/>
          <w:color w:val="073763"/>
        </w:rPr>
        <w:t xml:space="preserve">Lines 75-76. Pay attention, this is a </w:t>
      </w:r>
      <w:r>
        <w:rPr>
          <w:rFonts w:eastAsia="Times New Roman" w:cs="Times New Roman" w:ascii="Times New Roman" w:hAnsi="Times New Roman"/>
          <w:b/>
          <w:color w:val="073763"/>
        </w:rPr>
        <w:t>prejudiced idea</w:t>
      </w:r>
      <w:r>
        <w:rPr>
          <w:rFonts w:eastAsia="Times New Roman" w:cs="Times New Roman" w:ascii="Times New Roman" w:hAnsi="Times New Roman"/>
          <w:color w:val="073763"/>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Taffs). Note also the demonstration that strong parasite pressure could have selected form laboratory strains resistance (Derothe et al. 1997). See upcoming comments on notion of pathogenicity versus impact on host fitness </w:t>
      </w:r>
    </w:p>
    <w:p>
      <w:pPr>
        <w:pStyle w:val="Normal"/>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In the specific sentence, we modified as follow:  </w:t>
        <w:tab/>
        <w:tab/>
        <w:t xml:space="preserve"> </w:t>
        <w:tab/>
        <w:t xml:space="preserve"> </w:t>
        <w:tab/>
      </w:r>
    </w:p>
    <w:p>
      <w:pPr>
        <w:pStyle w:val="Normal"/>
        <w:ind w:left="720" w:right="-33" w:hanging="0"/>
        <w:jc w:val="both"/>
        <w:rPr/>
      </w:pPr>
      <w:r>
        <w:rPr>
          <w:rFonts w:eastAsia="Times New Roman" w:cs="Times New Roman" w:ascii="Times New Roman" w:hAnsi="Times New Roman"/>
        </w:rPr>
        <w:t>“</w:t>
      </w:r>
      <w:r>
        <w:rPr>
          <w:rFonts w:eastAsia="Times New Roman" w:cs="Times New Roman" w:ascii="Times New Roman" w:hAnsi="Times New Roman"/>
        </w:rPr>
        <w:t>They are often considered to provoke mild symptoms on their hosts, even if in rare conditions (e.g. particularly high burden) they have been shown to affect the health of laboratory mice (Taffs, 1976).” (lines 86-88 new).</w:t>
      </w:r>
    </w:p>
    <w:p>
      <w:pPr>
        <w:pStyle w:val="Normal"/>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720" w:right="-33" w:hanging="0"/>
        <w:jc w:val="both"/>
        <w:rPr>
          <w:rFonts w:ascii="Times New Roman" w:hAnsi="Times New Roman" w:eastAsia="Times New Roman" w:cs="Times New Roman"/>
          <w:color w:val="980000"/>
          <w:u w:val="single"/>
        </w:rPr>
      </w:pPr>
      <w:r>
        <w:rPr>
          <w:rFonts w:eastAsia="Times New Roman" w:cs="Times New Roman" w:ascii="Times New Roman" w:hAnsi="Times New Roman"/>
          <w:color w:val="980000"/>
          <w:u w:val="single"/>
        </w:rPr>
        <w:t>As a more general comment, to which we will refer on later comments:</w:t>
      </w:r>
    </w:p>
    <w:p>
      <w:pPr>
        <w:pStyle w:val="Normal"/>
        <w:spacing w:lineRule="auto" w:line="240"/>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720" w:right="-33" w:hanging="0"/>
        <w:jc w:val="both"/>
        <w:rPr/>
      </w:pPr>
      <w:r>
        <w:rPr>
          <w:rFonts w:eastAsia="Times New Roman" w:cs="Times New Roman" w:ascii="Times New Roman" w:hAnsi="Times New Roman"/>
          <w:color w:val="980000"/>
        </w:rPr>
        <w:t xml:space="preserve">Our study is designed to jointly study two different parasites. We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extra vs. intra-cellular, targeting a Th2 vs a Th1 immune pathways, possible different impact on host health. We now introduced this idea in more detail in the </w:t>
      </w:r>
      <w:r>
        <w:rPr>
          <w:rFonts w:eastAsia="Times New Roman" w:cs="Times New Roman" w:ascii="Times New Roman" w:hAnsi="Times New Roman"/>
          <w:b/>
          <w:color w:val="980000"/>
        </w:rPr>
        <w:t>introduction</w:t>
      </w:r>
      <w:r>
        <w:rPr>
          <w:rFonts w:eastAsia="Times New Roman" w:cs="Times New Roman" w:ascii="Times New Roman" w:hAnsi="Times New Roman"/>
          <w:color w:val="980000"/>
          <w:u w:val="single"/>
        </w:rPr>
        <w:t xml:space="preserve"> </w:t>
      </w:r>
      <w:r>
        <w:rPr>
          <w:rFonts w:eastAsia="Times New Roman" w:cs="Times New Roman" w:ascii="Times New Roman" w:hAnsi="Times New Roman"/>
          <w:color w:val="980000"/>
        </w:rPr>
        <w:t xml:space="preserve">(line 72-82 new), and in the </w:t>
      </w:r>
      <w:r>
        <w:rPr>
          <w:rFonts w:eastAsia="Times New Roman" w:cs="Times New Roman" w:ascii="Times New Roman" w:hAnsi="Times New Roman"/>
          <w:b/>
          <w:color w:val="980000"/>
        </w:rPr>
        <w:t>discussion</w:t>
      </w:r>
      <w:r>
        <w:rPr>
          <w:rFonts w:eastAsia="Times New Roman" w:cs="Times New Roman" w:ascii="Times New Roman" w:hAnsi="Times New Roman"/>
          <w:color w:val="980000"/>
        </w:rPr>
        <w:t xml:space="preserve"> (line 410-414 new). </w:t>
      </w:r>
    </w:p>
    <w:p>
      <w:pPr>
        <w:pStyle w:val="Normal"/>
        <w:spacing w:before="292"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C7. </w:t>
      </w:r>
      <w:r>
        <w:rPr>
          <w:rFonts w:eastAsia="Times New Roman" w:cs="Times New Roman" w:ascii="Times New Roman" w:hAnsi="Times New Roman"/>
          <w:color w:val="073763"/>
        </w:rPr>
        <w:t xml:space="preserve">Lines 79-81: </w:t>
      </w:r>
      <w:r>
        <w:rPr>
          <w:rFonts w:eastAsia="Times New Roman" w:cs="Times New Roman" w:ascii="Times New Roman" w:hAnsi="Times New Roman"/>
          <w:b/>
          <w:color w:val="073763"/>
        </w:rPr>
        <w:t>Review the statement</w:t>
      </w:r>
      <w:r>
        <w:rPr>
          <w:rFonts w:eastAsia="Times New Roman" w:cs="Times New Roman" w:ascii="Times New Roman" w:hAnsi="Times New Roman"/>
          <w:color w:val="073763"/>
        </w:rPr>
        <w:t xml:space="preserve">. That is not really what Al-khlifeh et al., 2019, shows. Especially on weight loss, one of the wild-derived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strains (</w:t>
      </w:r>
      <w:r>
        <w:rPr>
          <w:rFonts w:eastAsia="Times New Roman" w:cs="Times New Roman" w:ascii="Times New Roman" w:hAnsi="Times New Roman"/>
          <w:i/>
          <w:color w:val="073763"/>
        </w:rPr>
        <w:t xml:space="preserve">E. ferissi </w:t>
      </w:r>
      <w:r>
        <w:rPr>
          <w:rFonts w:eastAsia="Times New Roman" w:cs="Times New Roman" w:ascii="Times New Roman" w:hAnsi="Times New Roman"/>
          <w:color w:val="073763"/>
        </w:rPr>
        <w:t xml:space="preserve">from the mice studied in this very study)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show the same level of negative effect than the laboratory maintained strain of the same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species. The other wild-derived strain (</w:t>
      </w:r>
      <w:r>
        <w:rPr>
          <w:rFonts w:eastAsia="Times New Roman" w:cs="Times New Roman" w:ascii="Times New Roman" w:hAnsi="Times New Roman"/>
          <w:i/>
          <w:color w:val="073763"/>
        </w:rPr>
        <w:t xml:space="preserve">E. falciformis </w:t>
      </w:r>
      <w:r>
        <w:rPr>
          <w:rFonts w:eastAsia="Times New Roman" w:cs="Times New Roman" w:ascii="Times New Roman" w:hAnsi="Times New Roman"/>
          <w:color w:val="073763"/>
        </w:rPr>
        <w:t xml:space="preserve">) does not decrease the weight of the NMRI mice compared to the controls. The Al-khlifeh et al. reference then shows that different species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could have different effect on the mouse strain NMRI (i.e. one mouse genotype). That is all the authors can say!</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696" w:right="-28" w:hanging="0"/>
        <w:jc w:val="both"/>
        <w:rPr/>
      </w:pPr>
      <w:r>
        <w:rPr>
          <w:rFonts w:eastAsia="Times New Roman" w:cs="Times New Roman" w:ascii="Times New Roman" w:hAnsi="Times New Roman"/>
        </w:rPr>
        <w:t xml:space="preserve">We disagree. This statement is correct. The main focus of Al-khlifeh et al. 2019 are to differences in gene expression induced by different </w:t>
      </w:r>
      <w:r>
        <w:rPr>
          <w:rFonts w:eastAsia="Times New Roman" w:cs="Times New Roman" w:ascii="Times New Roman" w:hAnsi="Times New Roman"/>
          <w:i/>
          <w:iCs/>
        </w:rPr>
        <w:t>Eimeria</w:t>
      </w:r>
      <w:r>
        <w:rPr>
          <w:rFonts w:eastAsia="Times New Roman" w:cs="Times New Roman" w:ascii="Times New Roman" w:hAnsi="Times New Roman"/>
        </w:rPr>
        <w:t xml:space="preserve"> isolates. Indeed </w:t>
      </w:r>
      <w:r>
        <w:rPr>
          <w:rFonts w:eastAsia="Times New Roman" w:cs="Times New Roman" w:ascii="Times New Roman" w:hAnsi="Times New Roman"/>
          <w:i/>
          <w:iCs/>
        </w:rPr>
        <w:t>E. ferrisi</w:t>
      </w:r>
      <w:r>
        <w:rPr>
          <w:rFonts w:eastAsia="Times New Roman" w:cs="Times New Roman" w:ascii="Times New Roman" w:hAnsi="Times New Roman"/>
        </w:rPr>
        <w:t xml:space="preserve"> (as opposed to and E</w:t>
      </w:r>
      <w:r>
        <w:rPr>
          <w:rFonts w:eastAsia="Times New Roman" w:cs="Times New Roman" w:ascii="Times New Roman" w:hAnsi="Times New Roman"/>
          <w:i/>
          <w:iCs/>
        </w:rPr>
        <w:t>. falciformis</w:t>
      </w:r>
      <w:r>
        <w:rPr>
          <w:rFonts w:eastAsia="Times New Roman" w:cs="Times New Roman" w:ascii="Times New Roman" w:hAnsi="Times New Roman"/>
        </w:rPr>
        <w:t xml:space="preserve"> lab isolate) did not induce a systematic response measurable in the spleen. Nevertheless, mice lost weight in infection with all </w:t>
      </w:r>
      <w:r>
        <w:rPr>
          <w:rFonts w:eastAsia="Times New Roman" w:cs="Times New Roman" w:ascii="Times New Roman" w:hAnsi="Times New Roman"/>
          <w:i/>
        </w:rPr>
        <w:t>Eimeria</w:t>
      </w:r>
      <w:r>
        <w:rPr>
          <w:rFonts w:eastAsia="Times New Roman" w:cs="Times New Roman" w:ascii="Times New Roman" w:hAnsi="Times New Roman"/>
        </w:rPr>
        <w:t xml:space="preserve"> isolates from the different species. “The period of patency (oocyst shedding) was characterized by body weight loss in infected mice in all infections (</w:t>
      </w:r>
      <w:r>
        <w:fldChar w:fldCharType="begin"/>
      </w:r>
      <w:r>
        <w:rPr>
          <w:rStyle w:val="ListLabel37"/>
          <w:rFonts w:eastAsia="Arial"/>
        </w:rPr>
        <w:instrText> HYPERLINK "https://www.biorxiv.org/content/10.1101/611277v2.full" \l "F1"</w:instrText>
      </w:r>
      <w:r>
        <w:rPr>
          <w:rStyle w:val="ListLabel37"/>
          <w:rFonts w:eastAsia="Arial"/>
        </w:rPr>
        <w:fldChar w:fldCharType="separate"/>
      </w:r>
      <w:r>
        <w:rPr>
          <w:rStyle w:val="ListLabel37"/>
          <w:rFonts w:eastAsia="Arial"/>
        </w:rPr>
        <w:t>Figure 1b</w:t>
      </w:r>
      <w:r>
        <w:rPr>
          <w:rStyle w:val="ListLabel37"/>
          <w:rFonts w:eastAsia="Arial"/>
        </w:rPr>
        <w:fldChar w:fldCharType="end"/>
      </w:r>
      <w:r>
        <w:rPr>
          <w:rFonts w:eastAsia="Times New Roman" w:cs="Times New Roman" w:ascii="Times New Roman" w:hAnsi="Times New Roman"/>
        </w:rPr>
        <w:t>).” (</w:t>
      </w:r>
      <w:hyperlink r:id="rId2">
        <w:r>
          <w:rPr>
            <w:rStyle w:val="ListLabel37"/>
            <w:rFonts w:eastAsia="Arial"/>
          </w:rPr>
          <w:t>https://www.biorxiv.org/content/10.1101/611277v2.full</w:t>
        </w:r>
      </w:hyperlink>
      <w:r>
        <w:rPr>
          <w:rFonts w:eastAsia="Times New Roman" w:cs="Times New Roman" w:ascii="Times New Roman" w:hAnsi="Times New Roman"/>
        </w:rPr>
        <w:t xml:space="preserve">) </w:t>
      </w:r>
    </w:p>
    <w:p>
      <w:pPr>
        <w:pStyle w:val="Normal"/>
        <w:spacing w:before="288" w:after="0"/>
        <w:ind w:left="-24" w:right="-28" w:hanging="0"/>
        <w:jc w:val="both"/>
        <w:rPr/>
      </w:pPr>
      <w:r>
        <w:rPr>
          <w:rFonts w:eastAsia="Times New Roman" w:cs="Times New Roman" w:ascii="Times New Roman" w:hAnsi="Times New Roman"/>
          <w:b/>
          <w:color w:val="980000"/>
        </w:rPr>
        <w:t xml:space="preserve">C8. </w:t>
      </w:r>
      <w:r>
        <w:rPr>
          <w:rFonts w:eastAsia="Times New Roman" w:cs="Times New Roman" w:ascii="Times New Roman" w:hAnsi="Times New Roman"/>
          <w:color w:val="073763"/>
        </w:rPr>
        <w:t xml:space="preserve">Lines 81-84 : parasites in another host species than </w:t>
      </w:r>
      <w:r>
        <w:rPr>
          <w:rFonts w:eastAsia="Times New Roman" w:cs="Times New Roman" w:ascii="Times New Roman" w:hAnsi="Times New Roman"/>
          <w:i/>
          <w:color w:val="073763"/>
        </w:rPr>
        <w:t>M. musculus</w:t>
      </w:r>
      <w:r>
        <w:rPr>
          <w:rFonts w:eastAsia="Times New Roman" w:cs="Times New Roman" w:ascii="Times New Roman" w:hAnsi="Times New Roman"/>
          <w:color w:val="073763"/>
        </w:rPr>
        <w:t xml:space="preserve">! </w:t>
      </w:r>
      <w:r>
        <w:rPr>
          <w:rFonts w:eastAsia="Times New Roman" w:cs="Times New Roman" w:ascii="Times New Roman" w:hAnsi="Times New Roman"/>
          <w:b/>
          <w:color w:val="073763"/>
        </w:rPr>
        <w:t>The extrapolation is far too fast</w:t>
      </w:r>
      <w:r>
        <w:rPr>
          <w:rFonts w:eastAsia="Times New Roman" w:cs="Times New Roman" w:ascii="Times New Roman" w:hAnsi="Times New Roman"/>
          <w:color w:val="073763"/>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r>
        <w:rPr>
          <w:rFonts w:eastAsia="Times New Roman" w:cs="Times New Roman" w:ascii="Times New Roman" w:hAnsi="Times New Roman"/>
          <w:i/>
          <w:color w:val="073763"/>
        </w:rPr>
        <w:t xml:space="preserve">Treponema </w:t>
      </w:r>
      <w:r>
        <w:rPr>
          <w:rFonts w:eastAsia="Times New Roman" w:cs="Times New Roman" w:ascii="Times New Roman" w:hAnsi="Times New Roman"/>
          <w:color w:val="073763"/>
        </w:rPr>
        <w:t xml:space="preserve">or HIV /SIV.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We agree, and remove the extrapolation.</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C9. </w:t>
      </w:r>
      <w:r>
        <w:rPr>
          <w:rFonts w:eastAsia="Times New Roman" w:cs="Times New Roman" w:ascii="Times New Roman" w:hAnsi="Times New Roman"/>
          <w:color w:val="073763"/>
        </w:rPr>
        <w:t xml:space="preserve">Lines 84-86: we </w:t>
      </w:r>
      <w:r>
        <w:rPr>
          <w:rFonts w:eastAsia="Times New Roman" w:cs="Times New Roman" w:ascii="Times New Roman" w:hAnsi="Times New Roman"/>
          <w:b/>
          <w:color w:val="073763"/>
        </w:rPr>
        <w:t xml:space="preserve">lack data </w:t>
      </w:r>
      <w:r>
        <w:rPr>
          <w:rFonts w:eastAsia="Times New Roman" w:cs="Times New Roman" w:ascii="Times New Roman" w:hAnsi="Times New Roman"/>
          <w:color w:val="073763"/>
        </w:rPr>
        <w:t xml:space="preserve">on the distributions of these 3 species across the HZ, especially since we know that the authors have those data (Jarquín-Díaz et al., 2019). See further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w:t>
      </w:r>
    </w:p>
    <w:p>
      <w:pPr>
        <w:pStyle w:val="Normal"/>
        <w:spacing w:before="288" w:after="0"/>
        <w:ind w:left="696" w:right="-28" w:hanging="0"/>
        <w:jc w:val="both"/>
        <w:rPr/>
      </w:pPr>
      <w:r>
        <w:rPr>
          <w:rFonts w:eastAsia="Times New Roman" w:cs="Times New Roman" w:ascii="Times New Roman" w:hAnsi="Times New Roman"/>
          <w:color w:val="980000"/>
        </w:rPr>
        <w:t xml:space="preserve">That is a very good point. By the time of the analysis, we did not have the full dataset sequenced. We are happy to provide supplementary data on the most prevalent </w:t>
      </w:r>
      <w:r>
        <w:rPr>
          <w:rFonts w:eastAsia="Times New Roman" w:cs="Times New Roman" w:ascii="Times New Roman" w:hAnsi="Times New Roman"/>
          <w:i/>
          <w:color w:val="980000"/>
        </w:rPr>
        <w:t>Eimeria</w:t>
      </w:r>
      <w:r>
        <w:rPr>
          <w:rFonts w:eastAsia="Times New Roman" w:cs="Times New Roman" w:ascii="Times New Roman" w:hAnsi="Times New Roman"/>
          <w:color w:val="980000"/>
        </w:rPr>
        <w:t xml:space="preserve"> species, namely </w:t>
      </w:r>
      <w:r>
        <w:rPr>
          <w:rFonts w:eastAsia="Times New Roman" w:cs="Times New Roman" w:ascii="Times New Roman" w:hAnsi="Times New Roman"/>
          <w:i/>
          <w:color w:val="980000"/>
        </w:rPr>
        <w:t>E. ferrisi</w:t>
      </w:r>
      <w:r>
        <w:rPr>
          <w:rFonts w:eastAsia="Times New Roman" w:cs="Times New Roman" w:ascii="Times New Roman" w:hAnsi="Times New Roman"/>
          <w:color w:val="980000"/>
        </w:rPr>
        <w:t xml:space="preserve">, and confirm the results on hybrid resistance at the genus level. We added </w:t>
      </w:r>
      <w:del w:id="0" w:author="Jaroslav Piálek" w:date="2019-10-02T17:25:00Z">
        <w:r>
          <w:rPr>
            <w:rFonts w:eastAsia="Times New Roman" w:cs="Times New Roman" w:ascii="Times New Roman" w:hAnsi="Times New Roman"/>
            <w:color w:val="980000"/>
          </w:rPr>
          <w:delText>these information</w:delText>
        </w:r>
      </w:del>
      <w:ins w:id="1" w:author="Jaroslav Piálek" w:date="2019-10-02T17:25:00Z">
        <w:r>
          <w:rPr>
            <w:rFonts w:eastAsia="Times New Roman" w:cs="Times New Roman" w:ascii="Times New Roman" w:hAnsi="Times New Roman"/>
            <w:color w:val="980000"/>
          </w:rPr>
          <w:t>this information</w:t>
        </w:r>
      </w:ins>
      <w:r>
        <w:rPr>
          <w:rFonts w:eastAsia="Times New Roman" w:cs="Times New Roman" w:ascii="Times New Roman" w:hAnsi="Times New Roman"/>
          <w:color w:val="980000"/>
        </w:rPr>
        <w:t xml:space="preserve"> in the text (lines 353-357 new) and as</w:t>
      </w:r>
      <w:r>
        <w:rPr>
          <w:rFonts w:eastAsia="Times New Roman" w:cs="Times New Roman" w:ascii="Times New Roman" w:hAnsi="Times New Roman"/>
          <w:b/>
          <w:color w:val="980000"/>
        </w:rPr>
        <w:t xml:space="preserve"> Supplementary Figure S5. </w:t>
      </w:r>
      <w:r>
        <w:rPr>
          <w:rFonts w:eastAsia="Times New Roman" w:cs="Times New Roman" w:ascii="Times New Roman" w:hAnsi="Times New Roman"/>
          <w:color w:val="980000"/>
        </w:rPr>
        <w:t xml:space="preserve">We moreover added identification at the species level, for those that we could identify, in a column of </w:t>
      </w:r>
      <w:r>
        <w:rPr>
          <w:rFonts w:eastAsia="Times New Roman" w:cs="Times New Roman" w:ascii="Times New Roman" w:hAnsi="Times New Roman"/>
          <w:b/>
          <w:color w:val="980000"/>
        </w:rPr>
        <w:t>Supplementary Table S3</w:t>
      </w:r>
      <w:r>
        <w:rPr>
          <w:rFonts w:eastAsia="Times New Roman" w:cs="Times New Roman" w:ascii="Times New Roman" w:hAnsi="Times New Roman"/>
          <w:color w:val="980000"/>
        </w:rPr>
        <w:t xml:space="preserve"> (previously Supplementary Table S1). We hope it is obvious that hybrid differences cannot be tested for parasites with low prevalence due to a lack of statistical power.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C10. </w:t>
      </w:r>
      <w:r>
        <w:rPr>
          <w:rFonts w:eastAsia="Times New Roman" w:cs="Times New Roman" w:ascii="Times New Roman" w:hAnsi="Times New Roman"/>
          <w:color w:val="073763"/>
        </w:rPr>
        <w:t xml:space="preserve">Line 87: “a novel transect”. </w:t>
      </w:r>
      <w:r>
        <w:rPr>
          <w:rFonts w:eastAsia="Times New Roman" w:cs="Times New Roman" w:ascii="Times New Roman" w:hAnsi="Times New Roman"/>
          <w:b/>
          <w:color w:val="073763"/>
        </w:rPr>
        <w:t>Specify</w:t>
      </w:r>
      <w:r>
        <w:rPr>
          <w:rFonts w:eastAsia="Times New Roman" w:cs="Times New Roman" w:ascii="Times New Roman" w:hAnsi="Times New Roman"/>
          <w:color w:val="073763"/>
        </w:rPr>
        <w:t xml:space="preserve">: “novel” compared to what? I suppose not from this of Jarquín-Díaz et al., 2019, as it is the same transect and as this one includes the Jarquin-Diaz sampling! </w:t>
      </w:r>
    </w:p>
    <w:p>
      <w:pPr>
        <w:pStyle w:val="Normal"/>
        <w:spacing w:before="288" w:after="0"/>
        <w:ind w:left="696" w:right="-28" w:hanging="0"/>
        <w:rPr/>
      </w:pPr>
      <w:r>
        <w:rPr>
          <w:rFonts w:eastAsia="Times New Roman" w:cs="Times New Roman" w:ascii="Times New Roman" w:hAnsi="Times New Roman"/>
        </w:rPr>
        <w:t>For clarity, we added “in which the hypothesis of hybrid resistance/susceptibility to parasite was never tested.”  (lines 97-98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C11. </w:t>
      </w:r>
      <w:r>
        <w:rPr>
          <w:rFonts w:eastAsia="Times New Roman" w:cs="Times New Roman" w:ascii="Times New Roman" w:hAnsi="Times New Roman"/>
          <w:color w:val="073763"/>
        </w:rPr>
        <w:t xml:space="preserve">Lines 88-91: </w:t>
      </w:r>
      <w:r>
        <w:rPr>
          <w:rFonts w:eastAsia="Times New Roman" w:cs="Times New Roman" w:ascii="Times New Roman" w:hAnsi="Times New Roman"/>
          <w:b/>
          <w:color w:val="073763"/>
        </w:rPr>
        <w:t>Trouble with excluding “zero” loads of the analysis</w:t>
      </w:r>
      <w:r>
        <w:rPr>
          <w:rFonts w:eastAsia="Times New Roman" w:cs="Times New Roman" w:ascii="Times New Roman" w:hAnsi="Times New Roman"/>
          <w:color w:val="073763"/>
        </w:rPr>
        <w:t xml:space="preserve">. The authors argue that they then exclude “ecological and epidemiological factors for differences in loads”. Harboring zero parasites could not be only relied to non-encounter of infesting stages (ecological*). Harboring no parasite indicates that: </w:t>
      </w:r>
    </w:p>
    <w:p>
      <w:pPr>
        <w:pStyle w:val="Normal"/>
        <w:spacing w:before="297" w:after="0"/>
        <w:ind w:left="335" w:right="4584"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not yet encounter the parasites, </w:t>
      </w:r>
    </w:p>
    <w:p>
      <w:pPr>
        <w:pStyle w:val="Normal"/>
        <w:spacing w:before="100" w:after="0"/>
        <w:ind w:left="335" w:right="-2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still encounter them but they failed to establish (low level of infesting stages, bad gut environment (physiological, microbiotic), previous parasites already occupying the same niche, cross- immune response to other recent infection...) </w:t>
      </w:r>
    </w:p>
    <w:p>
      <w:pPr>
        <w:pStyle w:val="Normal"/>
        <w:spacing w:before="100" w:after="0"/>
        <w:ind w:left="335" w:right="240"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been infested before those around you and have already eliminate the parasites </w:t>
      </w:r>
    </w:p>
    <w:p>
      <w:pPr>
        <w:pStyle w:val="Normal"/>
        <w:spacing w:before="96" w:after="0"/>
        <w:ind w:left="335" w:right="-33"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w:t>
      </w:r>
      <w:r>
        <w:rPr>
          <w:rFonts w:eastAsia="Times New Roman" w:cs="Times New Roman" w:ascii="Times New Roman" w:hAnsi="Times New Roman"/>
          <w:color w:val="073763"/>
        </w:rPr>
        <w:t xml:space="preserve">you have been infested in the same time than those around you but you have been successful to eliminate the parasites, while the others no (or not yet) </w:t>
      </w:r>
    </w:p>
    <w:p>
      <w:pPr>
        <w:pStyle w:val="Normal"/>
        <w:spacing w:before="96" w:after="0"/>
        <w:ind w:left="335"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before="96" w:after="0"/>
        <w:ind w:left="335" w:right="-33" w:hanging="0"/>
        <w:jc w:val="both"/>
        <w:rPr>
          <w:rFonts w:ascii="Times New Roman" w:hAnsi="Times New Roman" w:eastAsia="Times New Roman" w:cs="Times New Roman"/>
          <w:color w:val="980000"/>
        </w:rPr>
      </w:pPr>
      <w:r>
        <w:rPr>
          <w:rFonts w:eastAsia="Times New Roman" w:cs="Times New Roman" w:ascii="Times New Roman" w:hAnsi="Times New Roman"/>
          <w:color w:val="980000"/>
        </w:rPr>
        <w:t>This comment, as well as several mentioned later on, helped us to improve our article in the following way. We:</w:t>
      </w:r>
    </w:p>
    <w:p>
      <w:pPr>
        <w:pStyle w:val="Normal"/>
        <w:numPr>
          <w:ilvl w:val="0"/>
          <w:numId w:val="1"/>
        </w:numPr>
        <w:spacing w:before="96" w:after="0"/>
        <w:ind w:left="720" w:right="-33" w:hanging="360"/>
        <w:jc w:val="both"/>
        <w:rPr/>
      </w:pPr>
      <w:r>
        <w:rPr>
          <w:rFonts w:eastAsia="Times New Roman" w:cs="Times New Roman" w:ascii="Times New Roman" w:hAnsi="Times New Roman"/>
          <w:color w:val="980000"/>
        </w:rPr>
        <w:t>added a detailed paragraph describing our approach (lines 196-210 new) integrating information on the SIR model and how we approach it in our model</w:t>
      </w:r>
    </w:p>
    <w:p>
      <w:pPr>
        <w:pStyle w:val="Normal"/>
        <w:numPr>
          <w:ilvl w:val="0"/>
          <w:numId w:val="1"/>
        </w:numPr>
        <w:ind w:left="720" w:right="-33" w:hanging="360"/>
        <w:jc w:val="both"/>
        <w:rPr/>
      </w:pPr>
      <w:r>
        <w:rPr>
          <w:rFonts w:eastAsia="Times New Roman" w:cs="Times New Roman" w:ascii="Times New Roman" w:hAnsi="Times New Roman"/>
          <w:color w:val="980000"/>
        </w:rPr>
        <w:t>tested for potential differences in mortality of hybrids (lines 222-237; lines 335-343)</w:t>
      </w:r>
    </w:p>
    <w:p>
      <w:pPr>
        <w:pStyle w:val="Normal"/>
        <w:numPr>
          <w:ilvl w:val="0"/>
          <w:numId w:val="1"/>
        </w:numPr>
        <w:ind w:left="720" w:right="-33" w:hanging="360"/>
        <w:jc w:val="both"/>
        <w:rPr/>
      </w:pPr>
      <w:r>
        <w:rPr>
          <w:rFonts w:eastAsia="Times New Roman" w:cs="Times New Roman" w:ascii="Times New Roman" w:hAnsi="Times New Roman"/>
          <w:color w:val="980000"/>
        </w:rPr>
        <w:t>added a new figure reporting the result (Supplementary Figure S6)</w:t>
      </w:r>
    </w:p>
    <w:p>
      <w:pPr>
        <w:pStyle w:val="Normal"/>
        <w:spacing w:before="96" w:after="0"/>
        <w:ind w:left="335" w:right="-33" w:hanging="0"/>
        <w:jc w:val="both"/>
        <w:rPr>
          <w:rFonts w:ascii="Times New Roman" w:hAnsi="Times New Roman" w:eastAsia="Times New Roman" w:cs="Times New Roman"/>
          <w:color w:val="1C1D1E"/>
        </w:rPr>
      </w:pPr>
      <w:r>
        <w:rPr>
          <w:rFonts w:eastAsia="Times New Roman" w:cs="Times New Roman" w:ascii="Times New Roman" w:hAnsi="Times New Roman"/>
          <w:color w:val="1C1D1E"/>
        </w:rPr>
        <w:t xml:space="preserve"> </w:t>
      </w:r>
      <w:r>
        <w:rPr>
          <w:rFonts w:eastAsia="Times New Roman" w:cs="Times New Roman" w:ascii="Times New Roman" w:hAnsi="Times New Roman"/>
          <w:color w:val="1C1D1E"/>
        </w:rPr>
        <w:tab/>
      </w:r>
    </w:p>
    <w:p>
      <w:pPr>
        <w:pStyle w:val="Normal"/>
        <w:spacing w:before="96" w:after="0"/>
        <w:ind w:right="-3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C12. </w:t>
      </w:r>
      <w:r>
        <w:rPr>
          <w:rFonts w:eastAsia="Times New Roman" w:cs="Times New Roman" w:ascii="Times New Roman" w:hAnsi="Times New Roman"/>
          <w:color w:val="073763"/>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mices, </w:t>
      </w:r>
      <w:ins w:id="2" w:author="Jaroslav Piálek" w:date="2019-10-02T17:25:00Z">
        <w:r>
          <w:rPr>
            <w:rFonts w:eastAsia="Times New Roman" w:cs="Times New Roman" w:ascii="Times New Roman" w:hAnsi="Times New Roman"/>
            <w:color w:val="073763"/>
          </w:rPr>
          <w:t>h</w:t>
        </w:r>
      </w:ins>
      <w:r>
        <w:rPr>
          <w:rFonts w:eastAsia="Times New Roman" w:cs="Times New Roman" w:ascii="Times New Roman" w:hAnsi="Times New Roman"/>
          <w:color w:val="073763"/>
        </w:rPr>
        <w:t xml:space="preserve">as been important in evaluating difference in resistance or susceptibility. See specific comments on “parasitological indexes approach”. </w:t>
      </w:r>
    </w:p>
    <w:p>
      <w:pPr>
        <w:pStyle w:val="Normal"/>
        <w:spacing w:lineRule="auto" w:line="240" w:before="96" w:after="0"/>
        <w:ind w:left="335" w:right="-33" w:hanging="0"/>
        <w:jc w:val="both"/>
        <w:rPr/>
      </w:pPr>
      <w:r>
        <w:rPr>
          <w:rFonts w:eastAsia="Times New Roman" w:cs="Times New Roman" w:ascii="Times New Roman" w:hAnsi="Times New Roman"/>
        </w:rPr>
        <w:t>“</w:t>
      </w:r>
      <w:r>
        <w:rPr>
          <w:rFonts w:eastAsia="Times New Roman" w:cs="Times New Roman" w:ascii="Times New Roman" w:hAnsi="Times New Roman"/>
          <w:u w:val="single"/>
        </w:rPr>
        <w:t>the authors should compare the respective portions of “zero” loads in parental and hybrid mice</w:t>
      </w:r>
      <w:del w:id="3" w:author="Jaroslav Piálek" w:date="2019-10-01T18:49:00Z">
        <w:r>
          <w:rPr>
            <w:rFonts w:eastAsia="Times New Roman" w:cs="Times New Roman" w:ascii="Times New Roman" w:hAnsi="Times New Roman"/>
            <w:u w:val="single"/>
          </w:rPr>
          <w:delText>s</w:delText>
        </w:r>
      </w:del>
      <w:r>
        <w:rPr>
          <w:rFonts w:eastAsia="Times New Roman" w:cs="Times New Roman" w:ascii="Times New Roman" w:hAnsi="Times New Roman"/>
        </w:rPr>
        <w:t>” is the exact analysis we are conducting on a continuous scale of hybridization, using a logistic regression. We reworded the section of material and methods to make this more clear. (lines 220-232 new).</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C13. </w:t>
      </w:r>
      <w:r>
        <w:rPr>
          <w:rFonts w:eastAsia="Times New Roman" w:cs="Times New Roman" w:ascii="Times New Roman" w:hAnsi="Times New Roman"/>
          <w:color w:val="073763"/>
        </w:rPr>
        <w:t xml:space="preserve">*What is the sense of “epidemiological” for the authors? Indeed Epidemiology includes ecological parameters as it describes the dynamic of the parasitism at the individual level (that is, the course of the disease) and at the population level ( in time and space). I believe the term is not appropriate as it included intrinsic factors linked to the hosts and the parasites, and not only external ones (ecological and environmental) </w:t>
      </w:r>
    </w:p>
    <w:p>
      <w:pPr>
        <w:pStyle w:val="Normal"/>
        <w:spacing w:before="288" w:after="0"/>
        <w:ind w:left="696" w:right="-28" w:hanging="0"/>
        <w:jc w:val="both"/>
        <w:rPr/>
      </w:pPr>
      <w:r>
        <w:rPr>
          <w:rFonts w:eastAsia="Times New Roman" w:cs="Times New Roman" w:ascii="Times New Roman" w:hAnsi="Times New Roman"/>
        </w:rPr>
        <w:t xml:space="preserve">We agree and removed the term “epidemiological”.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C14. </w:t>
      </w:r>
      <w:r>
        <w:rPr>
          <w:rFonts w:eastAsia="Times New Roman" w:cs="Times New Roman" w:ascii="Times New Roman" w:hAnsi="Times New Roman"/>
          <w:color w:val="073763"/>
        </w:rPr>
        <w:t xml:space="preserve">Lines 101-102 “The trapping was designed to capture both parental and hybrid/recombinant populations.” </w:t>
      </w:r>
      <w:r>
        <w:rPr>
          <w:rFonts w:eastAsia="Times New Roman" w:cs="Times New Roman" w:ascii="Times New Roman" w:hAnsi="Times New Roman"/>
          <w:b/>
          <w:color w:val="073763"/>
        </w:rPr>
        <w:t>Not clear</w:t>
      </w:r>
      <w:r>
        <w:rPr>
          <w:rFonts w:eastAsia="Times New Roman" w:cs="Times New Roman" w:ascii="Times New Roman" w:hAnsi="Times New Roman"/>
          <w:color w:val="073763"/>
        </w:rPr>
        <w:t xml:space="preserve">, which bias between hybrid or parental mouse trapping is (are) expected? </w:t>
      </w:r>
    </w:p>
    <w:p>
      <w:pPr>
        <w:pStyle w:val="Normal"/>
        <w:spacing w:before="288" w:after="0"/>
        <w:ind w:left="696" w:right="-23" w:hanging="0"/>
        <w:rPr>
          <w:rFonts w:ascii="Times New Roman" w:hAnsi="Times New Roman" w:eastAsia="Times New Roman" w:cs="Times New Roman"/>
        </w:rPr>
      </w:pPr>
      <w:r>
        <w:rPr>
          <w:rFonts w:eastAsia="Times New Roman" w:cs="Times New Roman" w:ascii="Times New Roman" w:hAnsi="Times New Roman"/>
        </w:rPr>
        <w:t>We agree with a possible confusion of the terms, “trapping” could mean “location of trapping” (the way we use it) or “method of trapping” (not expected to differ across hybridization scale). We detail by replacing “The trapping was designed” by “The locations for trapping were selected in a geographical range allowing ” (line 111-112 new)</w:t>
      </w:r>
    </w:p>
    <w:p>
      <w:pPr>
        <w:pStyle w:val="Normal"/>
        <w:ind w:left="-24" w:right="-28" w:hanging="0"/>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C15. </w:t>
      </w:r>
      <w:r>
        <w:rPr>
          <w:rFonts w:eastAsia="Times New Roman" w:cs="Times New Roman" w:ascii="Times New Roman" w:hAnsi="Times New Roman"/>
          <w:color w:val="073763"/>
        </w:rPr>
        <w:t xml:space="preserve">Lines 102-108: Sexing? Pregnancy statement? Age estimation (even categories)? The age could be interfering factor in Body Condition (see upcoming comments)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lineRule="auto" w:line="240" w:before="288" w:after="0"/>
        <w:ind w:left="696" w:right="-23" w:hanging="0"/>
        <w:jc w:val="both"/>
        <w:rPr>
          <w:rFonts w:ascii="Times New Roman" w:hAnsi="Times New Roman" w:eastAsia="Times New Roman" w:cs="Times New Roman"/>
          <w:b/>
          <w:b/>
        </w:rPr>
      </w:pPr>
      <w:r>
        <w:rPr>
          <w:rFonts w:eastAsia="Times New Roman" w:cs="Times New Roman" w:ascii="Times New Roman" w:hAnsi="Times New Roman"/>
        </w:rPr>
        <w:t xml:space="preserve">We </w:t>
      </w:r>
      <w:del w:id="4" w:author="Jaroslav Piálek" w:date="2019-10-01T18:51:00Z">
        <w:r>
          <w:rPr>
            <w:rFonts w:eastAsia="Times New Roman" w:cs="Times New Roman" w:ascii="Times New Roman" w:hAnsi="Times New Roman"/>
          </w:rPr>
          <w:delText xml:space="preserve">adding </w:delText>
        </w:r>
      </w:del>
      <w:ins w:id="5" w:author="Jaroslav Piálek" w:date="2019-10-01T18:51:00Z">
        <w:r>
          <w:rPr>
            <w:rFonts w:eastAsia="Times New Roman" w:cs="Times New Roman" w:ascii="Times New Roman" w:hAnsi="Times New Roman"/>
          </w:rPr>
          <w:t xml:space="preserve">added </w:t>
        </w:r>
      </w:ins>
      <w:r>
        <w:rPr>
          <w:rFonts w:eastAsia="Times New Roman" w:cs="Times New Roman" w:ascii="Times New Roman" w:hAnsi="Times New Roman"/>
        </w:rPr>
        <w:t xml:space="preserve">information in the text (lines 321-323) as well as in the new </w:t>
      </w:r>
      <w:r>
        <w:rPr>
          <w:rFonts w:eastAsia="Times New Roman" w:cs="Times New Roman" w:ascii="Times New Roman" w:hAnsi="Times New Roman"/>
          <w:b/>
        </w:rPr>
        <w:t>Supplementary Table S4.</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C16. </w:t>
      </w:r>
      <w:r>
        <w:rPr>
          <w:rFonts w:eastAsia="Times New Roman" w:cs="Times New Roman" w:ascii="Times New Roman" w:hAnsi="Times New Roman"/>
          <w:color w:val="073763"/>
        </w:rPr>
        <w:t xml:space="preserve">Lines 111-112: “a value of the hybrid index (HI) calculated as a proportion of Mmm alleles in a set of 4-14 diagnostic markers (at least 10 loci in 92% of the mice)”. </w:t>
      </w:r>
      <w:r>
        <w:rPr>
          <w:rFonts w:eastAsia="Times New Roman" w:cs="Times New Roman" w:ascii="Times New Roman" w:hAnsi="Times New Roman"/>
          <w:b/>
          <w:color w:val="073763"/>
        </w:rPr>
        <w:t>The difference in reliability of HI determined with 4 or 14 diagnostic loci is too high</w:t>
      </w:r>
      <w:r>
        <w:rPr>
          <w:rFonts w:eastAsia="Times New Roman" w:cs="Times New Roman" w:ascii="Times New Roman" w:hAnsi="Times New Roman"/>
          <w:color w:val="073763"/>
        </w:rPr>
        <w:t xml:space="preserve">. Estimating genome hybridization with only 4 loci is not rigorous. Indeed, most of the studies studying the HZ have work with at least 6 allozymic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pPr>
        <w:pStyle w:val="Normal"/>
        <w:spacing w:before="288" w:after="0"/>
        <w:ind w:left="686" w:right="3667"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How are the remaining 8% distributed from 4 to 9? </w:t>
      </w:r>
    </w:p>
    <w:p>
      <w:pPr>
        <w:pStyle w:val="Normal"/>
        <w:spacing w:before="288" w:after="0"/>
        <w:ind w:left="686"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-What are the part of markers shared by each mouse of the sampling to estimate HI ?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pPr>
        <w:pStyle w:val="Normal"/>
        <w:spacing w:before="288" w:after="0"/>
        <w:ind w:left="686"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-Why do not eliminate these 8% or at least all the individuals among these 8% with less than 7 exploitable diagnostic loci.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Moreover, how do the authors explain such a large percentage of missing data (8% below 10 from 14 tested loci (indeed 13 for all the mice, as YNPAR is not present in females ))? See further comments on results and table S1. </w:t>
      </w:r>
    </w:p>
    <w:p>
      <w:pPr>
        <w:pStyle w:val="Normal"/>
        <w:spacing w:lineRule="auto" w:line="240" w:before="288" w:after="0"/>
        <w:ind w:left="696" w:right="-28" w:hanging="0"/>
        <w:jc w:val="both"/>
        <w:rPr/>
      </w:pPr>
      <w:r>
        <w:rPr>
          <w:rFonts w:eastAsia="Times New Roman" w:cs="Times New Roman" w:ascii="Times New Roman" w:hAnsi="Times New Roman"/>
        </w:rPr>
        <w:t>For the sake of transparency we provided originally as supplementary material our full raw data file, including mice non used for the analysis (N=10) for insufficient data on them, or because they were embryos. We had previously supplied, for each analysis, the number of mice considered. We now clarify this further as we:</w:t>
      </w:r>
    </w:p>
    <w:p>
      <w:pPr>
        <w:pStyle w:val="Normal"/>
        <w:numPr>
          <w:ilvl w:val="0"/>
          <w:numId w:val="2"/>
        </w:numPr>
        <w:spacing w:lineRule="auto" w:line="240" w:before="288" w:after="0"/>
        <w:ind w:left="720" w:right="-28" w:hanging="360"/>
        <w:jc w:val="both"/>
        <w:rPr>
          <w:rFonts w:ascii="Times New Roman" w:hAnsi="Times New Roman" w:eastAsia="Times New Roman" w:cs="Times New Roman"/>
        </w:rPr>
      </w:pPr>
      <w:r>
        <w:rPr>
          <w:rFonts w:eastAsia="Times New Roman" w:cs="Times New Roman" w:ascii="Times New Roman" w:hAnsi="Times New Roman"/>
        </w:rPr>
        <w:t xml:space="preserve">added the histogram of distribution of markers, as well as the distribution along the hybrid index, for each analysis (lines 131-133 new; </w:t>
      </w:r>
      <w:r>
        <w:rPr>
          <w:rFonts w:eastAsia="Times New Roman" w:cs="Times New Roman" w:ascii="Times New Roman" w:hAnsi="Times New Roman"/>
          <w:b/>
        </w:rPr>
        <w:t>Supplementary Figure S1)</w:t>
      </w:r>
    </w:p>
    <w:p>
      <w:pPr>
        <w:pStyle w:val="Normal"/>
        <w:numPr>
          <w:ilvl w:val="0"/>
          <w:numId w:val="2"/>
        </w:numPr>
        <w:spacing w:lineRule="auto" w:line="240"/>
        <w:ind w:left="720" w:right="-28" w:hanging="360"/>
        <w:jc w:val="both"/>
        <w:rPr>
          <w:rFonts w:ascii="Times New Roman" w:hAnsi="Times New Roman" w:eastAsia="Times New Roman" w:cs="Times New Roman"/>
        </w:rPr>
      </w:pPr>
      <w:r>
        <w:rPr>
          <w:rFonts w:eastAsia="Times New Roman" w:cs="Times New Roman" w:ascii="Times New Roman" w:hAnsi="Times New Roman"/>
        </w:rPr>
        <w:t xml:space="preserve">removed 10 confusing mice from row data table (previous Supplementary Table S1, now </w:t>
      </w:r>
      <w:r>
        <w:rPr>
          <w:rFonts w:eastAsia="Times New Roman" w:cs="Times New Roman" w:ascii="Times New Roman" w:hAnsi="Times New Roman"/>
          <w:b/>
        </w:rPr>
        <w:t>Supplementary Table S3)</w:t>
      </w:r>
    </w:p>
    <w:p>
      <w:pPr>
        <w:pStyle w:val="Normal"/>
        <w:numPr>
          <w:ilvl w:val="0"/>
          <w:numId w:val="2"/>
        </w:numPr>
        <w:spacing w:lineRule="auto" w:line="240"/>
        <w:ind w:left="720" w:right="-28" w:hanging="360"/>
        <w:jc w:val="both"/>
        <w:rPr>
          <w:rFonts w:ascii="Times New Roman" w:hAnsi="Times New Roman" w:eastAsia="Times New Roman" w:cs="Times New Roman"/>
        </w:rPr>
      </w:pPr>
      <w:r>
        <w:rPr>
          <w:rFonts w:eastAsia="Times New Roman" w:cs="Times New Roman" w:ascii="Times New Roman" w:hAnsi="Times New Roman"/>
        </w:rPr>
        <w:t>added in this table columns corresponding to each analysis, with “yes” or “no”, to see in a glance which mouse was used for which analysis (our qPCR technique was not optimised before 2016, hence this was used only for 2016 and 2017 (years and number of mice already mentioned in the text).</w:t>
      </w:r>
    </w:p>
    <w:p>
      <w:pPr>
        <w:pStyle w:val="Normal"/>
        <w:spacing w:lineRule="auto" w:line="240" w:before="288" w:after="0"/>
        <w:ind w:right="-28" w:hanging="0"/>
        <w:jc w:val="both"/>
        <w:rPr/>
      </w:pPr>
      <w:r>
        <w:rPr>
          <w:rFonts w:eastAsia="Times New Roman" w:cs="Times New Roman" w:ascii="Times New Roman" w:hAnsi="Times New Roman"/>
        </w:rPr>
        <w:t xml:space="preserve">These modifications did not change any results previously shown, as we never used the full raw data but only the indicated subset. The analysis is openly available in full detail at </w:t>
      </w:r>
      <w:hyperlink r:id="rId3">
        <w:r>
          <w:rPr>
            <w:rStyle w:val="InternetLink"/>
            <w:rFonts w:eastAsia="Times New Roman" w:cs="Times New Roman" w:ascii="Times New Roman" w:hAnsi="Times New Roman"/>
          </w:rPr>
          <w:t>https://github.com/alicebalard/Article_IntensityEimeriaHMHZ/tree/master/code</w:t>
        </w:r>
      </w:hyperlink>
      <w:r>
        <w:rPr>
          <w:rFonts w:eastAsia="Times New Roman" w:cs="Times New Roman" w:ascii="Times New Roman" w:hAnsi="Times New Roman"/>
        </w:rPr>
        <w:t xml:space="preserve">  (indicated in lines 301-302 new). We, however, made the supplementary file self-explanatory without consultation this code. Importantly, the analyses had never been incoherent and the number of mice was indicated in the original version of the manuscript for all analyses. </w:t>
      </w:r>
    </w:p>
    <w:p>
      <w:pPr>
        <w:pStyle w:val="Normal"/>
        <w:spacing w:lineRule="auto" w:line="240" w:before="288" w:after="0"/>
        <w:ind w:right="-28" w:hanging="0"/>
        <w:jc w:val="both"/>
        <w:rPr>
          <w:rFonts w:ascii="Calibri" w:hAnsi="Calibri" w:eastAsia="" w:cs="Calibri" w:asciiTheme="majorHAnsi" w:cstheme="majorHAnsi" w:eastAsiaTheme="minorEastAsia" w:hAnsiTheme="majorHAnsi"/>
          <w:lang w:eastAsia="en-US"/>
        </w:rPr>
      </w:pPr>
      <w:ins w:id="7" w:author="Jaroslav Piálek" w:date="2019-10-02T17:44:00Z">
        <w:r>
          <w:rPr>
            <w:rFonts w:eastAsia="" w:cs="Calibri" w:ascii="Calibri" w:hAnsi="Calibri" w:asciiTheme="majorHAnsi" w:cstheme="majorHAnsi" w:eastAsiaTheme="minorEastAsia" w:hAnsiTheme="majorHAnsi"/>
            <w:lang w:eastAsia="en-US"/>
          </w:rPr>
          <w:t xml:space="preserve">Actually </w:t>
        </w:r>
      </w:ins>
      <w:ins w:id="8" w:author="Jaroslav Piálek" w:date="2019-10-02T17:45:00Z">
        <w:r>
          <w:rPr>
            <w:rFonts w:eastAsia="" w:cs="Calibri" w:ascii="Calibri" w:hAnsi="Calibri" w:asciiTheme="majorHAnsi" w:cstheme="majorHAnsi" w:eastAsiaTheme="minorEastAsia" w:hAnsiTheme="majorHAnsi"/>
            <w:lang w:eastAsia="en-US"/>
          </w:rPr>
          <w:t>uncertainty level aroun</w:t>
        </w:r>
      </w:ins>
      <w:ins w:id="9" w:author="Jaroslav Piálek" w:date="2019-10-02T17:46:00Z">
        <w:r>
          <w:rPr>
            <w:rFonts w:eastAsia="" w:cs="Calibri" w:ascii="Calibri" w:hAnsi="Calibri" w:asciiTheme="majorHAnsi" w:cstheme="majorHAnsi" w:eastAsiaTheme="minorEastAsia" w:hAnsiTheme="majorHAnsi"/>
            <w:lang w:eastAsia="en-US"/>
          </w:rPr>
          <w:t>d</w:t>
        </w:r>
      </w:ins>
      <w:ins w:id="10" w:author="Jaroslav Piálek" w:date="2019-10-02T17:45:00Z">
        <w:r>
          <w:rPr>
            <w:rFonts w:eastAsia="" w:cs="Calibri" w:ascii="Calibri" w:hAnsi="Calibri" w:asciiTheme="majorHAnsi" w:cstheme="majorHAnsi" w:eastAsiaTheme="minorEastAsia" w:hAnsiTheme="majorHAnsi"/>
            <w:lang w:eastAsia="en-US"/>
          </w:rPr>
          <w:t xml:space="preserve"> </w:t>
        </w:r>
      </w:ins>
      <w:ins w:id="11" w:author="Jaroslav Piálek" w:date="2019-10-02T17:50:00Z">
        <w:r>
          <w:rPr>
            <w:rFonts w:eastAsia="" w:cs="Calibri" w:ascii="Calibri" w:hAnsi="Calibri" w:asciiTheme="majorHAnsi" w:cstheme="majorHAnsi" w:eastAsiaTheme="minorEastAsia" w:hAnsiTheme="majorHAnsi"/>
            <w:lang w:eastAsia="en-US"/>
          </w:rPr>
          <w:t>HI</w:t>
        </w:r>
      </w:ins>
      <w:ins w:id="12" w:author="Jaroslav Piálek" w:date="2019-10-02T17:45:00Z">
        <w:r>
          <w:rPr>
            <w:rFonts w:eastAsia="" w:cs="Calibri" w:ascii="Calibri" w:hAnsi="Calibri" w:asciiTheme="majorHAnsi" w:cstheme="majorHAnsi" w:eastAsiaTheme="minorEastAsia" w:hAnsiTheme="majorHAnsi"/>
            <w:lang w:eastAsia="en-US"/>
          </w:rPr>
          <w:t xml:space="preserve"> </w:t>
        </w:r>
      </w:ins>
      <w:ins w:id="13" w:author="Jaroslav Piálek" w:date="2019-10-02T17:46:00Z">
        <w:r>
          <w:rPr>
            <w:rFonts w:eastAsia="" w:cs="Calibri" w:ascii="Calibri" w:hAnsi="Calibri" w:asciiTheme="majorHAnsi" w:cstheme="majorHAnsi" w:eastAsiaTheme="minorEastAsia" w:hAnsiTheme="majorHAnsi"/>
            <w:lang w:eastAsia="en-US"/>
          </w:rPr>
          <w:t xml:space="preserve">decreases for 4 loci </w:t>
        </w:r>
      </w:ins>
      <w:ins w:id="14" w:author="Jaroslav Piálek" w:date="2019-10-02T17:45:00Z">
        <w:r>
          <w:rPr>
            <w:rFonts w:eastAsia="" w:cs="Calibri" w:ascii="Calibri" w:hAnsi="Calibri" w:asciiTheme="majorHAnsi" w:cstheme="majorHAnsi" w:eastAsiaTheme="minorEastAsia" w:hAnsiTheme="majorHAnsi"/>
            <w:lang w:eastAsia="en-US"/>
          </w:rPr>
          <w:t xml:space="preserve">from </w:t>
        </w:r>
      </w:ins>
      <w:ins w:id="15" w:author="Jaroslav Piálek" w:date="2019-10-02T17:47:00Z">
        <w:r>
          <w:rPr>
            <w:rFonts w:eastAsia="" w:cs="Calibri" w:ascii="Calibri" w:hAnsi="Calibri" w:asciiTheme="majorHAnsi" w:cstheme="majorHAnsi" w:eastAsiaTheme="minorEastAsia" w:hAnsiTheme="majorHAnsi"/>
            <w:lang w:val="en-GB" w:eastAsia="en-US"/>
          </w:rPr>
          <w:t xml:space="preserve">[-0.125,0.125] to </w:t>
        </w:r>
      </w:ins>
      <w:ins w:id="16" w:author="Jaroslav Piálek" w:date="2019-10-02T17:49:00Z">
        <w:r>
          <w:rPr>
            <w:rFonts w:eastAsia="" w:cs="Calibri" w:ascii="Calibri" w:hAnsi="Calibri" w:asciiTheme="majorHAnsi" w:cstheme="majorHAnsi" w:eastAsiaTheme="minorEastAsia" w:hAnsiTheme="majorHAnsi"/>
            <w:lang w:val="en-GB" w:eastAsia="en-US"/>
          </w:rPr>
          <w:t xml:space="preserve">[-0.05,0.05] </w:t>
        </w:r>
      </w:ins>
      <w:ins w:id="17" w:author="Jaroslav Piálek" w:date="2019-10-02T17:50:00Z">
        <w:r>
          <w:rPr>
            <w:rFonts w:eastAsia="" w:cs="Calibri" w:ascii="Calibri" w:hAnsi="Calibri" w:asciiTheme="majorHAnsi" w:cstheme="majorHAnsi" w:eastAsiaTheme="minorEastAsia" w:hAnsiTheme="majorHAnsi"/>
            <w:lang w:val="en-GB" w:eastAsia="en-US"/>
          </w:rPr>
          <w:t>for HI calculated from 10 loci.</w:t>
        </w:r>
      </w:ins>
      <w:ins w:id="18" w:author="Jaroslav Piálek" w:date="2019-10-02T17:45:00Z">
        <w:r>
          <w:rPr>
            <w:rFonts w:eastAsia="" w:cs="Calibri" w:ascii="Calibri" w:hAnsi="Calibri" w:asciiTheme="majorHAnsi" w:cstheme="majorHAnsi" w:eastAsiaTheme="minorEastAsia" w:hAnsiTheme="majorHAnsi"/>
            <w:lang w:eastAsia="en-US"/>
          </w:rPr>
          <w:t xml:space="preserve"> </w:t>
        </w:r>
      </w:ins>
      <w:ins w:id="19" w:author="Jaroslav Piálek" w:date="2019-10-02T17:52:00Z">
        <w:r>
          <w:rPr>
            <w:rFonts w:eastAsia="" w:cs="Calibri" w:ascii="Calibri" w:hAnsi="Calibri" w:asciiTheme="majorHAnsi" w:cstheme="majorHAnsi" w:eastAsiaTheme="minorEastAsia" w:hAnsiTheme="majorHAnsi"/>
            <w:lang w:eastAsia="en-US"/>
          </w:rPr>
          <w:t xml:space="preserve">Even if we do not reject the 10 mice with insufficient </w:t>
        </w:r>
      </w:ins>
      <w:ins w:id="20" w:author="Jaroslav Piálek" w:date="2019-10-02T17:53:00Z">
        <w:r>
          <w:rPr>
            <w:rFonts w:eastAsia="" w:cs="Calibri" w:ascii="Calibri" w:hAnsi="Calibri" w:asciiTheme="majorHAnsi" w:cstheme="majorHAnsi" w:eastAsiaTheme="minorEastAsia" w:hAnsiTheme="majorHAnsi"/>
            <w:lang w:eastAsia="en-US"/>
          </w:rPr>
          <w:t xml:space="preserve">data these limits are much closer to a </w:t>
        </w:r>
      </w:ins>
      <w:ins w:id="21" w:author="Jaroslav Piálek" w:date="2019-10-02T17:54:00Z">
        <w:r>
          <w:rPr>
            <w:rFonts w:eastAsia="" w:cs="Calibri" w:ascii="Calibri" w:hAnsi="Calibri" w:asciiTheme="majorHAnsi" w:cstheme="majorHAnsi" w:eastAsiaTheme="minorEastAsia" w:hAnsiTheme="majorHAnsi"/>
            <w:lang w:eastAsia="en-US"/>
          </w:rPr>
          <w:t>reality</w:t>
        </w:r>
      </w:ins>
      <w:ins w:id="22" w:author="Jaroslav Piálek" w:date="2019-10-02T17:53:00Z">
        <w:r>
          <w:rPr>
            <w:rFonts w:eastAsia="" w:cs="Calibri" w:ascii="Calibri" w:hAnsi="Calibri" w:asciiTheme="majorHAnsi" w:cstheme="majorHAnsi" w:eastAsiaTheme="minorEastAsia" w:hAnsiTheme="majorHAnsi"/>
            <w:lang w:eastAsia="en-US"/>
          </w:rPr>
          <w:t xml:space="preserve"> </w:t>
        </w:r>
      </w:ins>
      <w:ins w:id="23" w:author="Jaroslav Piálek" w:date="2019-10-02T18:01:00Z">
        <w:r>
          <w:rPr>
            <w:rFonts w:eastAsia="" w:cs="Calibri" w:ascii="Calibri" w:hAnsi="Calibri" w:asciiTheme="majorHAnsi" w:cstheme="majorHAnsi" w:eastAsiaTheme="minorEastAsia" w:hAnsiTheme="majorHAnsi"/>
            <w:lang w:eastAsia="en-US"/>
          </w:rPr>
          <w:t xml:space="preserve">used for fitting parasite loads against HI </w:t>
        </w:r>
      </w:ins>
      <w:ins w:id="24" w:author="Jaroslav Piálek" w:date="2019-10-02T17:54:00Z">
        <w:r>
          <w:rPr>
            <w:rFonts w:eastAsia="" w:cs="Calibri" w:ascii="Calibri" w:hAnsi="Calibri" w:asciiTheme="majorHAnsi" w:cstheme="majorHAnsi" w:eastAsiaTheme="minorEastAsia" w:hAnsiTheme="majorHAnsi"/>
            <w:lang w:eastAsia="en-US"/>
          </w:rPr>
          <w:t>than the</w:t>
        </w:r>
      </w:ins>
      <w:ins w:id="25" w:author="Jaroslav Piálek" w:date="2019-10-02T18:02:00Z">
        <w:r>
          <w:rPr>
            <w:rFonts w:eastAsia="" w:cs="Calibri" w:ascii="Calibri" w:hAnsi="Calibri" w:asciiTheme="majorHAnsi" w:cstheme="majorHAnsi" w:eastAsiaTheme="minorEastAsia" w:hAnsiTheme="majorHAnsi"/>
            <w:lang w:eastAsia="en-US"/>
          </w:rPr>
          <w:t xml:space="preserve"> </w:t>
        </w:r>
      </w:ins>
      <w:ins w:id="26" w:author="Jaroslav Piálek" w:date="2019-10-02T17:54:00Z">
        <w:r>
          <w:rPr>
            <w:rFonts w:eastAsia="" w:cs="Calibri" w:ascii="Calibri" w:hAnsi="Calibri" w:asciiTheme="majorHAnsi" w:cstheme="majorHAnsi" w:eastAsiaTheme="minorEastAsia" w:hAnsiTheme="majorHAnsi"/>
            <w:lang w:eastAsia="en-US"/>
          </w:rPr>
          <w:t>analysis bas</w:t>
        </w:r>
      </w:ins>
      <w:ins w:id="27" w:author="Jaroslav Piálek" w:date="2019-10-02T18:02:00Z">
        <w:r>
          <w:rPr>
            <w:rFonts w:eastAsia="" w:cs="Calibri" w:ascii="Calibri" w:hAnsi="Calibri" w:asciiTheme="majorHAnsi" w:cstheme="majorHAnsi" w:eastAsiaTheme="minorEastAsia" w:hAnsiTheme="majorHAnsi"/>
            <w:lang w:eastAsia="en-US"/>
          </w:rPr>
          <w:t>ed</w:t>
        </w:r>
      </w:ins>
      <w:ins w:id="28" w:author="Jaroslav Piálek" w:date="2019-10-02T17:54:00Z">
        <w:r>
          <w:rPr>
            <w:rFonts w:eastAsia="" w:cs="Calibri" w:ascii="Calibri" w:hAnsi="Calibri" w:asciiTheme="majorHAnsi" w:cstheme="majorHAnsi" w:eastAsiaTheme="minorEastAsia" w:hAnsiTheme="majorHAnsi"/>
            <w:lang w:eastAsia="en-US"/>
          </w:rPr>
          <w:t xml:space="preserve"> on categorical data </w:t>
        </w:r>
      </w:ins>
      <w:ins w:id="29" w:author="Jaroslav Piálek" w:date="2019-10-02T17:55:00Z">
        <w:r>
          <w:rPr>
            <w:rFonts w:eastAsia="" w:cs="Calibri" w:ascii="Calibri" w:hAnsi="Calibri" w:asciiTheme="majorHAnsi" w:cstheme="majorHAnsi" w:eastAsiaTheme="minorEastAsia" w:hAnsiTheme="majorHAnsi"/>
            <w:lang w:eastAsia="en-US"/>
          </w:rPr>
          <w:t>equalizing</w:t>
        </w:r>
      </w:ins>
      <w:ins w:id="30" w:author="Jaroslav Piálek" w:date="2019-10-02T17:54:00Z">
        <w:r>
          <w:rPr>
            <w:rFonts w:eastAsia="" w:cs="Calibri" w:ascii="Calibri" w:hAnsi="Calibri" w:asciiTheme="majorHAnsi" w:cstheme="majorHAnsi" w:eastAsiaTheme="minorEastAsia" w:hAnsiTheme="majorHAnsi"/>
            <w:lang w:eastAsia="en-US"/>
          </w:rPr>
          <w:t xml:space="preserve"> mice with HI </w:t>
        </w:r>
      </w:ins>
      <w:ins w:id="31" w:author="Jaroslav Piálek" w:date="2019-10-02T17:55:00Z">
        <w:r>
          <w:rPr>
            <w:rFonts w:eastAsia="" w:cs="Calibri" w:ascii="Calibri" w:hAnsi="Calibri" w:asciiTheme="majorHAnsi" w:cstheme="majorHAnsi" w:eastAsiaTheme="minorEastAsia" w:hAnsiTheme="majorHAnsi"/>
            <w:lang w:eastAsia="en-US"/>
          </w:rPr>
          <w:t>=</w:t>
        </w:r>
      </w:ins>
      <w:ins w:id="32" w:author="Jaroslav Piálek" w:date="2019-10-02T17:54:00Z">
        <w:r>
          <w:rPr>
            <w:rFonts w:eastAsia="" w:cs="Calibri" w:ascii="Calibri" w:hAnsi="Calibri" w:asciiTheme="majorHAnsi" w:cstheme="majorHAnsi" w:eastAsiaTheme="minorEastAsia" w:hAnsiTheme="majorHAnsi"/>
            <w:lang w:eastAsia="en-US"/>
          </w:rPr>
          <w:t xml:space="preserve"> 0.2 with those </w:t>
        </w:r>
      </w:ins>
      <w:ins w:id="33" w:author="Jaroslav Piálek" w:date="2019-10-02T18:02:00Z">
        <w:r>
          <w:rPr>
            <w:rFonts w:eastAsia="" w:cs="Calibri" w:ascii="Calibri" w:hAnsi="Calibri" w:asciiTheme="majorHAnsi" w:cstheme="majorHAnsi" w:eastAsiaTheme="minorEastAsia" w:hAnsiTheme="majorHAnsi"/>
            <w:lang w:eastAsia="en-US"/>
          </w:rPr>
          <w:t xml:space="preserve">having </w:t>
        </w:r>
      </w:ins>
      <w:ins w:id="34" w:author="Jaroslav Piálek" w:date="2019-10-02T17:54:00Z">
        <w:r>
          <w:rPr>
            <w:rFonts w:eastAsia="" w:cs="Calibri" w:ascii="Calibri" w:hAnsi="Calibri" w:asciiTheme="majorHAnsi" w:cstheme="majorHAnsi" w:eastAsiaTheme="minorEastAsia" w:hAnsiTheme="majorHAnsi"/>
            <w:lang w:eastAsia="en-US"/>
          </w:rPr>
          <w:t xml:space="preserve">HI </w:t>
        </w:r>
      </w:ins>
      <w:ins w:id="35" w:author="Jaroslav Piálek" w:date="2019-10-02T17:55:00Z">
        <w:r>
          <w:rPr>
            <w:rFonts w:eastAsia="" w:cs="Calibri" w:ascii="Calibri" w:hAnsi="Calibri" w:asciiTheme="majorHAnsi" w:cstheme="majorHAnsi" w:eastAsiaTheme="minorEastAsia" w:hAnsiTheme="majorHAnsi"/>
            <w:lang w:eastAsia="en-US"/>
          </w:rPr>
          <w:t>=</w:t>
        </w:r>
      </w:ins>
      <w:ins w:id="36" w:author="Jaroslav Piálek" w:date="2019-10-02T17:54:00Z">
        <w:r>
          <w:rPr>
            <w:rFonts w:eastAsia="" w:cs="Calibri" w:ascii="Calibri" w:hAnsi="Calibri" w:asciiTheme="majorHAnsi" w:cstheme="majorHAnsi" w:eastAsiaTheme="minorEastAsia" w:hAnsiTheme="majorHAnsi"/>
            <w:lang w:eastAsia="en-US"/>
          </w:rPr>
          <w:t xml:space="preserve"> 0.</w:t>
        </w:r>
      </w:ins>
      <w:ins w:id="37" w:author="Jaroslav Piálek" w:date="2019-10-02T18:00:00Z">
        <w:r>
          <w:rPr>
            <w:rFonts w:eastAsia="" w:cs="Calibri" w:ascii="Calibri" w:hAnsi="Calibri" w:asciiTheme="majorHAnsi" w:cstheme="majorHAnsi" w:eastAsiaTheme="minorEastAsia" w:hAnsiTheme="majorHAnsi"/>
            <w:lang w:eastAsia="en-US"/>
          </w:rPr>
          <w:t xml:space="preserve">6 (Moulia et al. </w:t>
        </w:r>
      </w:ins>
      <w:ins w:id="38" w:author="Jaroslav Piálek" w:date="2019-10-02T18:01:00Z">
        <w:r>
          <w:rPr>
            <w:rFonts w:eastAsia="" w:cs="Calibri" w:ascii="Calibri" w:hAnsi="Calibri" w:asciiTheme="majorHAnsi" w:cstheme="majorHAnsi" w:eastAsiaTheme="minorEastAsia" w:hAnsiTheme="majorHAnsi"/>
            <w:lang w:eastAsia="en-US"/>
          </w:rPr>
          <w:t>1991)</w:t>
        </w:r>
      </w:ins>
      <w:ins w:id="39" w:author="Jaroslav Piálek" w:date="2019-10-02T17:54:00Z">
        <w:r>
          <w:rPr>
            <w:rFonts w:eastAsia="" w:cs="Calibri" w:ascii="Calibri" w:hAnsi="Calibri" w:asciiTheme="majorHAnsi" w:cstheme="majorHAnsi" w:eastAsiaTheme="minorEastAsia" w:hAnsiTheme="majorHAnsi"/>
            <w:lang w:eastAsia="en-US"/>
          </w:rPr>
          <w:t xml:space="preserve">. </w:t>
        </w:r>
      </w:ins>
    </w:p>
    <w:p>
      <w:pPr>
        <w:pStyle w:val="Normal"/>
        <w:spacing w:lineRule="auto" w:line="240" w:before="288" w:after="0"/>
        <w:ind w:right="-28" w:hanging="0"/>
        <w:jc w:val="both"/>
        <w:rPr/>
      </w:pPr>
      <w:ins w:id="40" w:author="Jaroslav Piálek" w:date="2019-10-02T18:03:00Z">
        <w:r>
          <w:rPr>
            <w:rFonts w:eastAsia="" w:cs="Calibri" w:ascii="Calibri" w:hAnsi="Calibri" w:asciiTheme="majorHAnsi" w:cstheme="majorHAnsi" w:eastAsiaTheme="minorEastAsia" w:hAnsiTheme="majorHAnsi"/>
            <w:lang w:eastAsia="en-US"/>
          </w:rPr>
          <w:t xml:space="preserve">It is a </w:t>
        </w:r>
      </w:ins>
      <w:ins w:id="41" w:author="Jaroslav Piálek" w:date="2019-10-02T18:05:00Z">
        <w:r>
          <w:rPr>
            <w:rFonts w:eastAsia="" w:cs="Calibri" w:ascii="Calibri" w:hAnsi="Calibri" w:asciiTheme="majorHAnsi" w:cstheme="majorHAnsi" w:eastAsiaTheme="minorEastAsia" w:hAnsiTheme="majorHAnsi"/>
            <w:lang w:eastAsia="en-US"/>
          </w:rPr>
          <w:t xml:space="preserve">matter </w:t>
        </w:r>
      </w:ins>
      <w:ins w:id="42" w:author="Jaroslav Piálek" w:date="2019-10-02T18:03:00Z">
        <w:r>
          <w:rPr>
            <w:rFonts w:eastAsia="" w:cs="Calibri" w:ascii="Calibri" w:hAnsi="Calibri" w:asciiTheme="majorHAnsi" w:cstheme="majorHAnsi" w:eastAsiaTheme="minorEastAsia" w:hAnsiTheme="majorHAnsi"/>
            <w:lang w:eastAsia="en-US"/>
          </w:rPr>
          <w:t xml:space="preserve">of </w:t>
        </w:r>
      </w:ins>
      <w:ins w:id="43" w:author="Jaroslav Piálek" w:date="2019-10-02T18:05:00Z">
        <w:r>
          <w:rPr>
            <w:rFonts w:eastAsia="" w:cs="Calibri" w:ascii="Calibri" w:hAnsi="Calibri" w:asciiTheme="majorHAnsi" w:cstheme="majorHAnsi" w:eastAsiaTheme="minorEastAsia" w:hAnsiTheme="majorHAnsi"/>
            <w:lang w:eastAsia="en-US"/>
          </w:rPr>
          <w:t xml:space="preserve">choice how many loci shall be chosen to estimate </w:t>
        </w:r>
      </w:ins>
      <w:ins w:id="44" w:author="Jaroslav Piálek" w:date="2019-10-02T18:06:00Z">
        <w:r>
          <w:rPr>
            <w:rFonts w:eastAsia="" w:cs="Calibri" w:ascii="Calibri" w:hAnsi="Calibri" w:asciiTheme="majorHAnsi" w:cstheme="majorHAnsi" w:eastAsiaTheme="minorEastAsia" w:hAnsiTheme="majorHAnsi"/>
            <w:lang w:eastAsia="en-US"/>
          </w:rPr>
          <w:t xml:space="preserve">inter </w:t>
        </w:r>
      </w:ins>
      <w:ins w:id="45" w:author="Jaroslav Piálek" w:date="2019-10-02T18:05:00Z">
        <w:r>
          <w:rPr>
            <w:rFonts w:eastAsia="" w:cs="Calibri" w:ascii="Calibri" w:hAnsi="Calibri" w:asciiTheme="majorHAnsi" w:cstheme="majorHAnsi" w:eastAsiaTheme="minorEastAsia" w:hAnsiTheme="majorHAnsi"/>
            <w:lang w:eastAsia="en-US"/>
          </w:rPr>
          <w:t xml:space="preserve">genomic hybridization. </w:t>
        </w:r>
      </w:ins>
      <w:ins w:id="46" w:author="Jaroslav Piálek" w:date="2019-10-02T18:06:00Z">
        <w:r>
          <w:rPr>
            <w:rFonts w:eastAsia="" w:cs="Calibri" w:ascii="Calibri" w:hAnsi="Calibri" w:asciiTheme="majorHAnsi" w:cstheme="majorHAnsi" w:eastAsiaTheme="minorEastAsia" w:hAnsiTheme="majorHAnsi"/>
            <w:lang w:eastAsia="en-US"/>
          </w:rPr>
          <w:t>We made a comparison between a HI used in the submitted MS and a dense S</w:t>
        </w:r>
      </w:ins>
      <w:ins w:id="47" w:author="Jaroslav Piálek" w:date="2019-10-02T18:07:00Z">
        <w:r>
          <w:rPr>
            <w:rFonts w:eastAsia="" w:cs="Calibri" w:ascii="Calibri" w:hAnsi="Calibri" w:asciiTheme="majorHAnsi" w:cstheme="majorHAnsi" w:eastAsiaTheme="minorEastAsia" w:hAnsiTheme="majorHAnsi"/>
            <w:lang w:eastAsia="en-US"/>
          </w:rPr>
          <w:t>N</w:t>
        </w:r>
      </w:ins>
      <w:ins w:id="48" w:author="Jaroslav Piálek" w:date="2019-10-02T18:06:00Z">
        <w:r>
          <w:rPr>
            <w:rFonts w:eastAsia="" w:cs="Calibri" w:ascii="Calibri" w:hAnsi="Calibri" w:asciiTheme="majorHAnsi" w:cstheme="majorHAnsi" w:eastAsiaTheme="minorEastAsia" w:hAnsiTheme="majorHAnsi"/>
            <w:lang w:eastAsia="en-US"/>
          </w:rPr>
          <w:t xml:space="preserve">Ps </w:t>
        </w:r>
      </w:ins>
      <w:ins w:id="49" w:author="Jaroslav Piálek" w:date="2019-10-02T18:07:00Z">
        <w:r>
          <w:rPr>
            <w:rFonts w:eastAsia="" w:cs="Calibri" w:ascii="Calibri" w:hAnsi="Calibri" w:asciiTheme="majorHAnsi" w:cstheme="majorHAnsi" w:eastAsiaTheme="minorEastAsia" w:hAnsiTheme="majorHAnsi"/>
            <w:lang w:eastAsia="en-US"/>
          </w:rPr>
          <w:t xml:space="preserve">array Mouse </w:t>
        </w:r>
      </w:ins>
      <w:ins w:id="50" w:author="Jaroslav Piálek" w:date="2019-10-02T18:08:00Z">
        <w:r>
          <w:rPr>
            <w:rFonts w:eastAsia="" w:cs="Calibri" w:ascii="Calibri" w:hAnsi="Calibri" w:asciiTheme="majorHAnsi" w:cstheme="majorHAnsi" w:eastAsiaTheme="minorEastAsia" w:hAnsiTheme="majorHAnsi"/>
            <w:lang w:eastAsia="en-US"/>
          </w:rPr>
          <w:t>Diversity Array</w:t>
        </w:r>
      </w:ins>
      <w:ins w:id="51" w:author="Jaroslav Piálek" w:date="2019-10-02T18:06:00Z">
        <w:r>
          <w:rPr>
            <w:rFonts w:eastAsia="" w:cs="Calibri" w:ascii="Calibri" w:hAnsi="Calibri" w:asciiTheme="majorHAnsi" w:cstheme="majorHAnsi" w:eastAsiaTheme="minorEastAsia" w:hAnsiTheme="majorHAnsi"/>
            <w:lang w:eastAsia="en-US"/>
          </w:rPr>
          <w:t xml:space="preserve">. </w:t>
        </w:r>
      </w:ins>
      <w:ins w:id="52" w:author="Jaroslav Piálek" w:date="2019-10-02T17:39:00Z">
        <w:r>
          <w:rPr>
            <w:rFonts w:eastAsia="" w:cs="Calibri" w:ascii="Calibri" w:hAnsi="Calibri" w:asciiTheme="majorHAnsi" w:cstheme="majorHAnsi" w:eastAsiaTheme="minorEastAsia" w:hAnsiTheme="majorHAnsi"/>
            <w:lang w:eastAsia="en-US"/>
          </w:rPr>
          <w:t xml:space="preserve">In a paper submitted recently we </w:t>
        </w:r>
      </w:ins>
      <w:ins w:id="53" w:author="Jaroslav Piálek" w:date="2019-10-02T17:40:00Z">
        <w:r>
          <w:rPr>
            <w:rFonts w:eastAsia="" w:cs="Calibri" w:ascii="Calibri" w:hAnsi="Calibri" w:asciiTheme="majorHAnsi" w:cstheme="majorHAnsi" w:eastAsiaTheme="minorEastAsia" w:hAnsiTheme="majorHAnsi"/>
            <w:lang w:eastAsia="en-US"/>
          </w:rPr>
          <w:t xml:space="preserve">characterized each individual by hybrid index (HI) </w:t>
        </w:r>
      </w:ins>
      <w:ins w:id="54" w:author="Jaroslav Piálek" w:date="2019-10-02T17:39:00Z">
        <w:r>
          <w:rPr>
            <w:rFonts w:eastAsia="" w:cs="Calibri" w:ascii="Calibri" w:hAnsi="Calibri" w:asciiTheme="majorHAnsi" w:cstheme="majorHAnsi" w:eastAsiaTheme="minorEastAsia" w:hAnsiTheme="majorHAnsi"/>
            <w:lang w:eastAsia="en-US"/>
          </w:rPr>
          <w:t xml:space="preserve">computed as frequency of </w:t>
        </w:r>
      </w:ins>
      <w:ins w:id="55" w:author="Jaroslav Piálek" w:date="2019-10-02T17:39:00Z">
        <w:r>
          <w:rPr>
            <w:rFonts w:eastAsia="" w:cs="Calibri" w:ascii="Calibri" w:hAnsi="Calibri" w:asciiTheme="majorHAnsi" w:cstheme="majorHAnsi" w:eastAsiaTheme="minorEastAsia" w:hAnsiTheme="majorHAnsi"/>
            <w:i/>
            <w:iCs/>
            <w:lang w:eastAsia="en-US"/>
          </w:rPr>
          <w:t>musculus</w:t>
        </w:r>
      </w:ins>
      <w:ins w:id="56" w:author="Jaroslav Piálek" w:date="2019-10-02T17:39:00Z">
        <w:r>
          <w:rPr>
            <w:rFonts w:eastAsia="" w:cs="Calibri" w:ascii="Calibri" w:hAnsi="Calibri" w:asciiTheme="majorHAnsi" w:cstheme="majorHAnsi" w:eastAsiaTheme="minorEastAsia" w:hAnsiTheme="majorHAnsi"/>
            <w:lang w:eastAsia="en-US"/>
          </w:rPr>
          <w:t xml:space="preserve"> diagnostic alleles across six autosomal (</w:t>
        </w:r>
      </w:ins>
      <w:ins w:id="57" w:author="Jaroslav Piálek" w:date="2019-10-02T17:39:00Z">
        <w:r>
          <w:rPr>
            <w:rFonts w:eastAsia="" w:cs="Calibri" w:ascii="Calibri" w:hAnsi="Calibri" w:asciiTheme="majorHAnsi" w:cstheme="majorHAnsi" w:eastAsiaTheme="minorEastAsia" w:hAnsiTheme="majorHAnsi"/>
            <w:i/>
            <w:iCs/>
            <w:lang w:eastAsia="en-US"/>
          </w:rPr>
          <w:t>Es1</w:t>
        </w:r>
      </w:ins>
      <w:ins w:id="58" w:author="Jaroslav Piálek" w:date="2019-10-02T17:39:00Z">
        <w:r>
          <w:rPr>
            <w:rFonts w:eastAsia="" w:cs="Calibri" w:ascii="Calibri" w:hAnsi="Calibri" w:asciiTheme="majorHAnsi" w:cstheme="majorHAnsi" w:eastAsiaTheme="minorEastAsia" w:hAnsiTheme="majorHAnsi"/>
            <w:lang w:eastAsia="en-US"/>
          </w:rPr>
          <w:t xml:space="preserve">, </w:t>
        </w:r>
      </w:ins>
      <w:ins w:id="59" w:author="Jaroslav Piálek" w:date="2019-10-02T17:39:00Z">
        <w:r>
          <w:rPr>
            <w:rFonts w:eastAsia="" w:cs="Calibri" w:ascii="Calibri" w:hAnsi="Calibri" w:asciiTheme="majorHAnsi" w:cstheme="majorHAnsi" w:eastAsiaTheme="minorEastAsia" w:hAnsiTheme="majorHAnsi"/>
            <w:i/>
            <w:iCs/>
            <w:lang w:eastAsia="en-US"/>
          </w:rPr>
          <w:t>H6pd</w:t>
        </w:r>
      </w:ins>
      <w:ins w:id="60" w:author="Jaroslav Piálek" w:date="2019-10-02T17:39:00Z">
        <w:r>
          <w:rPr>
            <w:rFonts w:eastAsia="" w:cs="Calibri" w:ascii="Calibri" w:hAnsi="Calibri" w:asciiTheme="majorHAnsi" w:cstheme="majorHAnsi" w:eastAsiaTheme="minorEastAsia" w:hAnsiTheme="majorHAnsi"/>
            <w:lang w:eastAsia="en-US"/>
          </w:rPr>
          <w:t xml:space="preserve">, </w:t>
        </w:r>
      </w:ins>
      <w:ins w:id="61" w:author="Jaroslav Piálek" w:date="2019-10-02T17:39:00Z">
        <w:r>
          <w:rPr>
            <w:rFonts w:eastAsia="" w:cs="Calibri" w:ascii="Calibri" w:hAnsi="Calibri" w:asciiTheme="majorHAnsi" w:cstheme="majorHAnsi" w:eastAsiaTheme="minorEastAsia" w:hAnsiTheme="majorHAnsi"/>
            <w:i/>
            <w:iCs/>
            <w:lang w:eastAsia="en-US"/>
          </w:rPr>
          <w:t>Idh1</w:t>
        </w:r>
      </w:ins>
      <w:ins w:id="62" w:author="Jaroslav Piálek" w:date="2019-10-02T17:39:00Z">
        <w:r>
          <w:rPr>
            <w:rFonts w:eastAsia="" w:cs="Calibri" w:ascii="Calibri" w:hAnsi="Calibri" w:asciiTheme="majorHAnsi" w:cstheme="majorHAnsi" w:eastAsiaTheme="minorEastAsia" w:hAnsiTheme="majorHAnsi"/>
            <w:lang w:eastAsia="en-US"/>
          </w:rPr>
          <w:t xml:space="preserve">, </w:t>
        </w:r>
      </w:ins>
      <w:ins w:id="63" w:author="Jaroslav Piálek" w:date="2019-10-02T17:39:00Z">
        <w:r>
          <w:rPr>
            <w:rFonts w:eastAsia="" w:cs="Calibri" w:ascii="Calibri" w:hAnsi="Calibri" w:asciiTheme="majorHAnsi" w:cstheme="majorHAnsi" w:eastAsiaTheme="minorEastAsia" w:hAnsiTheme="majorHAnsi"/>
            <w:i/>
            <w:iCs/>
            <w:lang w:eastAsia="en-US"/>
          </w:rPr>
          <w:t>Mpi</w:t>
        </w:r>
      </w:ins>
      <w:ins w:id="64" w:author="Jaroslav Piálek" w:date="2019-10-02T17:39:00Z">
        <w:r>
          <w:rPr>
            <w:rFonts w:eastAsia="" w:cs="Calibri" w:ascii="Calibri" w:hAnsi="Calibri" w:asciiTheme="majorHAnsi" w:cstheme="majorHAnsi" w:eastAsiaTheme="minorEastAsia" w:hAnsiTheme="majorHAnsi"/>
            <w:lang w:eastAsia="en-US"/>
          </w:rPr>
          <w:t xml:space="preserve">, </w:t>
        </w:r>
      </w:ins>
      <w:ins w:id="65" w:author="Jaroslav Piálek" w:date="2019-10-02T17:39:00Z">
        <w:r>
          <w:rPr>
            <w:rFonts w:eastAsia="" w:cs="Calibri" w:ascii="Calibri" w:hAnsi="Calibri" w:asciiTheme="majorHAnsi" w:cstheme="majorHAnsi" w:eastAsiaTheme="minorEastAsia" w:hAnsiTheme="majorHAnsi"/>
            <w:i/>
            <w:iCs/>
            <w:lang w:eastAsia="en-US"/>
          </w:rPr>
          <w:t>Np</w:t>
        </w:r>
      </w:ins>
      <w:ins w:id="66" w:author="Jaroslav Piálek" w:date="2019-10-02T17:39:00Z">
        <w:r>
          <w:rPr>
            <w:rFonts w:eastAsia="" w:cs="Calibri" w:ascii="Calibri" w:hAnsi="Calibri" w:asciiTheme="majorHAnsi" w:cstheme="majorHAnsi" w:eastAsiaTheme="minorEastAsia" w:hAnsiTheme="majorHAnsi"/>
            <w:lang w:eastAsia="en-US"/>
          </w:rPr>
          <w:t xml:space="preserve">, </w:t>
        </w:r>
      </w:ins>
      <w:ins w:id="67" w:author="Jaroslav Piálek" w:date="2019-10-02T17:39:00Z">
        <w:r>
          <w:rPr>
            <w:rFonts w:eastAsia="" w:cs="Calibri" w:ascii="Calibri" w:hAnsi="Calibri" w:asciiTheme="majorHAnsi" w:cstheme="majorHAnsi" w:eastAsiaTheme="minorEastAsia" w:hAnsiTheme="majorHAnsi"/>
            <w:i/>
            <w:iCs/>
            <w:lang w:eastAsia="en-US"/>
          </w:rPr>
          <w:t>Sod1</w:t>
        </w:r>
      </w:ins>
      <w:ins w:id="68" w:author="Jaroslav Piálek" w:date="2019-10-02T17:39:00Z">
        <w:r>
          <w:rPr>
            <w:rFonts w:eastAsia="" w:cs="Calibri" w:ascii="Calibri" w:hAnsi="Calibri" w:asciiTheme="majorHAnsi" w:cstheme="majorHAnsi" w:eastAsiaTheme="minorEastAsia" w:hAnsiTheme="majorHAnsi"/>
            <w:lang w:eastAsia="en-US"/>
          </w:rPr>
          <w:t>) and six X-linked (</w:t>
        </w:r>
      </w:ins>
      <w:ins w:id="69" w:author="Jaroslav Piálek" w:date="2019-10-02T17:39:00Z">
        <w:r>
          <w:rPr>
            <w:rFonts w:cs="Calibri" w:ascii="Calibri" w:hAnsi="Calibri"/>
            <w:i/>
            <w:iCs/>
          </w:rPr>
          <w:t>X332</w:t>
        </w:r>
      </w:ins>
      <w:ins w:id="70" w:author="Jaroslav Piálek" w:date="2019-10-02T17:39:00Z">
        <w:r>
          <w:rPr>
            <w:rFonts w:cs="Calibri" w:ascii="Calibri" w:hAnsi="Calibri"/>
          </w:rPr>
          <w:t xml:space="preserve">, </w:t>
        </w:r>
      </w:ins>
      <w:ins w:id="71" w:author="Jaroslav Piálek" w:date="2019-10-02T17:39:00Z">
        <w:r>
          <w:rPr>
            <w:rFonts w:cs="Calibri" w:ascii="Calibri" w:hAnsi="Calibri"/>
            <w:i/>
            <w:iCs/>
          </w:rPr>
          <w:t>X347</w:t>
        </w:r>
      </w:ins>
      <w:ins w:id="72" w:author="Jaroslav Piálek" w:date="2019-10-02T17:39:00Z">
        <w:r>
          <w:rPr>
            <w:rFonts w:cs="Calibri" w:ascii="Calibri" w:hAnsi="Calibri"/>
          </w:rPr>
          <w:t xml:space="preserve">, </w:t>
        </w:r>
      </w:ins>
      <w:ins w:id="73" w:author="Jaroslav Piálek" w:date="2019-10-02T17:39:00Z">
        <w:r>
          <w:rPr>
            <w:rFonts w:cs="Calibri" w:ascii="Calibri" w:hAnsi="Calibri"/>
            <w:i/>
            <w:iCs/>
          </w:rPr>
          <w:t>X65</w:t>
        </w:r>
      </w:ins>
      <w:ins w:id="74" w:author="Jaroslav Piálek" w:date="2019-10-02T17:39:00Z">
        <w:r>
          <w:rPr>
            <w:rFonts w:cs="Calibri" w:ascii="Calibri" w:hAnsi="Calibri"/>
          </w:rPr>
          <w:t xml:space="preserve">, </w:t>
        </w:r>
      </w:ins>
      <w:ins w:id="75" w:author="Jaroslav Piálek" w:date="2019-10-02T17:39:00Z">
        <w:r>
          <w:rPr>
            <w:rFonts w:cs="Calibri" w:ascii="Calibri" w:hAnsi="Calibri"/>
            <w:i/>
            <w:iCs/>
          </w:rPr>
          <w:t>Tsx1</w:t>
        </w:r>
      </w:ins>
      <w:ins w:id="76" w:author="Jaroslav Piálek" w:date="2019-10-02T17:39:00Z">
        <w:r>
          <w:rPr>
            <w:rFonts w:cs="Calibri" w:ascii="Calibri" w:hAnsi="Calibri"/>
          </w:rPr>
          <w:t xml:space="preserve">, </w:t>
        </w:r>
      </w:ins>
      <w:ins w:id="77" w:author="Jaroslav Piálek" w:date="2019-10-02T17:39:00Z">
        <w:r>
          <w:rPr>
            <w:rFonts w:cs="Calibri" w:ascii="Calibri" w:hAnsi="Calibri"/>
            <w:i/>
            <w:iCs/>
          </w:rPr>
          <w:t>Btk1</w:t>
        </w:r>
      </w:ins>
      <w:ins w:id="78" w:author="Jaroslav Piálek" w:date="2019-10-02T17:39:00Z">
        <w:r>
          <w:rPr>
            <w:rFonts w:cs="Calibri" w:ascii="Calibri" w:hAnsi="Calibri"/>
          </w:rPr>
          <w:t xml:space="preserve">, </w:t>
        </w:r>
      </w:ins>
      <w:ins w:id="79" w:author="Jaroslav Piálek" w:date="2019-10-02T17:39:00Z">
        <w:r>
          <w:rPr>
            <w:rFonts w:cs="Calibri" w:ascii="Calibri" w:hAnsi="Calibri"/>
            <w:i/>
            <w:iCs/>
          </w:rPr>
          <w:t>Syap1</w:t>
        </w:r>
      </w:ins>
      <w:ins w:id="80" w:author="Jaroslav Piálek" w:date="2019-10-02T17:39:00Z">
        <w:r>
          <w:rPr>
            <w:rFonts w:eastAsia="" w:cs="Calibri" w:ascii="Calibri" w:hAnsi="Calibri" w:asciiTheme="majorHAnsi" w:cstheme="majorHAnsi" w:eastAsiaTheme="minorEastAsia" w:hAnsiTheme="majorHAnsi"/>
            <w:lang w:eastAsia="en-US"/>
          </w:rPr>
          <w:t>) loci. The resulting values are highly correlated (</w:t>
        </w:r>
      </w:ins>
      <w:ins w:id="81" w:author="Jaroslav Piálek" w:date="2019-10-02T17:39:00Z">
        <w:r>
          <w:rPr>
            <w:rFonts w:eastAsia="" w:cs="Calibri" w:ascii="Calibri" w:hAnsi="Calibri" w:asciiTheme="majorHAnsi" w:cstheme="majorHAnsi" w:eastAsiaTheme="minorEastAsia" w:hAnsiTheme="majorHAnsi"/>
            <w:i/>
            <w:iCs/>
            <w:lang w:eastAsia="en-US"/>
          </w:rPr>
          <w:t>R</w:t>
        </w:r>
      </w:ins>
      <w:ins w:id="82" w:author="Jaroslav Piálek" w:date="2019-10-02T17:39:00Z">
        <w:r>
          <w:rPr>
            <w:rFonts w:eastAsia="" w:cs="Calibri" w:ascii="Calibri" w:hAnsi="Calibri" w:asciiTheme="majorHAnsi" w:cstheme="majorHAnsi" w:eastAsiaTheme="minorEastAsia" w:hAnsiTheme="majorHAnsi"/>
            <w:lang w:eastAsia="en-US"/>
          </w:rPr>
          <w:t xml:space="preserve"> = 0.98) with those based on a high-density SNP array (Yang et al. 2009).</w:t>
        </w:r>
      </w:ins>
      <w:ins w:id="83" w:author="Jaroslav Piálek" w:date="2019-10-02T18:09:00Z">
        <w:r>
          <w:rPr>
            <w:rFonts w:eastAsia="" w:cs="Calibri" w:ascii="Calibri" w:hAnsi="Calibri" w:asciiTheme="majorHAnsi" w:cstheme="majorHAnsi" w:eastAsiaTheme="minorEastAsia" w:hAnsiTheme="majorHAnsi"/>
            <w:lang w:eastAsia="en-US"/>
          </w:rPr>
          <w:t xml:space="preserve"> We believe </w:t>
        </w:r>
      </w:ins>
      <w:ins w:id="84" w:author="Jaroslav Piálek" w:date="2019-10-02T18:11:00Z">
        <w:r>
          <w:rPr>
            <w:rFonts w:eastAsia="" w:cs="Calibri" w:ascii="Calibri" w:hAnsi="Calibri" w:asciiTheme="majorHAnsi" w:cstheme="majorHAnsi" w:eastAsiaTheme="minorEastAsia" w:hAnsiTheme="majorHAnsi"/>
            <w:lang w:eastAsia="en-US"/>
          </w:rPr>
          <w:t xml:space="preserve">the choice of </w:t>
        </w:r>
      </w:ins>
      <w:ins w:id="85" w:author="Jaroslav Piálek" w:date="2019-10-02T18:12:00Z">
        <w:r>
          <w:rPr>
            <w:rFonts w:eastAsia="" w:cs="Calibri" w:ascii="Calibri" w:hAnsi="Calibri" w:asciiTheme="majorHAnsi" w:cstheme="majorHAnsi" w:eastAsiaTheme="minorEastAsia" w:hAnsiTheme="majorHAnsi"/>
            <w:lang w:eastAsia="en-US"/>
          </w:rPr>
          <w:t>number</w:t>
        </w:r>
      </w:ins>
      <w:ins w:id="86" w:author="Jaroslav Piálek" w:date="2019-10-02T18:11:00Z">
        <w:r>
          <w:rPr>
            <w:rFonts w:eastAsia="" w:cs="Calibri" w:ascii="Calibri" w:hAnsi="Calibri" w:asciiTheme="majorHAnsi" w:cstheme="majorHAnsi" w:eastAsiaTheme="minorEastAsia" w:hAnsiTheme="majorHAnsi"/>
            <w:lang w:eastAsia="en-US"/>
          </w:rPr>
          <w:t xml:space="preserve"> </w:t>
        </w:r>
      </w:ins>
      <w:ins w:id="87" w:author="Jaroslav Piálek" w:date="2019-10-02T18:12:00Z">
        <w:r>
          <w:rPr>
            <w:rFonts w:eastAsia="" w:cs="Calibri" w:ascii="Calibri" w:hAnsi="Calibri" w:asciiTheme="majorHAnsi" w:cstheme="majorHAnsi" w:eastAsiaTheme="minorEastAsia" w:hAnsiTheme="majorHAnsi"/>
            <w:lang w:eastAsia="en-US"/>
          </w:rPr>
          <w:t xml:space="preserve">of loci </w:t>
        </w:r>
      </w:ins>
      <w:ins w:id="88" w:author="Jaroslav Piálek" w:date="2019-10-02T18:09:00Z">
        <w:r>
          <w:rPr>
            <w:rFonts w:eastAsia="" w:cs="Calibri" w:ascii="Calibri" w:hAnsi="Calibri" w:asciiTheme="majorHAnsi" w:cstheme="majorHAnsi" w:eastAsiaTheme="minorEastAsia" w:hAnsiTheme="majorHAnsi"/>
            <w:lang w:eastAsia="en-US"/>
          </w:rPr>
          <w:t xml:space="preserve">depends on </w:t>
        </w:r>
      </w:ins>
      <w:ins w:id="89" w:author="Jaroslav Piálek" w:date="2019-10-02T18:12:00Z">
        <w:r>
          <w:rPr>
            <w:rFonts w:eastAsia="" w:cs="Calibri" w:ascii="Calibri" w:hAnsi="Calibri" w:asciiTheme="majorHAnsi" w:cstheme="majorHAnsi" w:eastAsiaTheme="minorEastAsia" w:hAnsiTheme="majorHAnsi"/>
            <w:lang w:eastAsia="en-US"/>
          </w:rPr>
          <w:t xml:space="preserve">goals of the study, given the number of mice and estimation of HI based on </w:t>
        </w:r>
      </w:ins>
      <w:ins w:id="90" w:author="Jaroslav Piálek" w:date="2019-10-02T18:13:00Z">
        <w:r>
          <w:rPr>
            <w:rFonts w:eastAsia="" w:cs="Calibri" w:ascii="Calibri" w:hAnsi="Calibri" w:asciiTheme="majorHAnsi" w:cstheme="majorHAnsi" w:eastAsiaTheme="minorEastAsia" w:hAnsiTheme="majorHAnsi"/>
            <w:lang w:eastAsia="en-US"/>
          </w:rPr>
          <w:t xml:space="preserve">a reduced number of loci is fully relevant in this context. Hence we found this comment as </w:t>
        </w:r>
      </w:ins>
      <w:ins w:id="91" w:author="Jaroslav Piálek" w:date="2019-10-02T18:14:00Z">
        <w:r>
          <w:rPr>
            <w:rFonts w:eastAsia="" w:cs="Calibri" w:ascii="Calibri" w:hAnsi="Calibri" w:asciiTheme="majorHAnsi" w:cstheme="majorHAnsi" w:eastAsiaTheme="minorEastAsia" w:hAnsiTheme="majorHAnsi"/>
            <w:lang w:eastAsia="en-US"/>
          </w:rPr>
          <w:t>a one that can be always used (even ad absurdum requesting only whole</w:t>
        </w:r>
      </w:ins>
      <w:ins w:id="92" w:author="Jaroslav Piálek" w:date="2019-10-02T18:13:00Z">
        <w:r>
          <w:rPr>
            <w:rFonts w:eastAsia="" w:cs="Calibri" w:ascii="Calibri" w:hAnsi="Calibri" w:asciiTheme="majorHAnsi" w:cstheme="majorHAnsi" w:eastAsiaTheme="minorEastAsia" w:hAnsiTheme="majorHAnsi"/>
            <w:lang w:eastAsia="en-US"/>
          </w:rPr>
          <w:t xml:space="preserve"> </w:t>
        </w:r>
      </w:ins>
      <w:ins w:id="93" w:author="Jaroslav Piálek" w:date="2019-10-02T18:14:00Z">
        <w:r>
          <w:rPr>
            <w:rFonts w:eastAsia="" w:cs="Calibri" w:ascii="Calibri" w:hAnsi="Calibri" w:asciiTheme="majorHAnsi" w:cstheme="majorHAnsi" w:eastAsiaTheme="minorEastAsia" w:hAnsiTheme="majorHAnsi"/>
            <w:lang w:eastAsia="en-US"/>
          </w:rPr>
          <w:t xml:space="preserve">genome sequences) to </w:t>
        </w:r>
      </w:ins>
      <w:ins w:id="94" w:author="Jaroslav Piálek" w:date="2019-10-02T18:16:00Z">
        <w:r>
          <w:rPr>
            <w:rFonts w:eastAsia="" w:cs="Calibri" w:ascii="Calibri" w:hAnsi="Calibri" w:asciiTheme="majorHAnsi" w:cstheme="majorHAnsi" w:eastAsiaTheme="minorEastAsia" w:hAnsiTheme="majorHAnsi"/>
            <w:lang w:eastAsia="en-US"/>
          </w:rPr>
          <w:t>criticize</w:t>
        </w:r>
      </w:ins>
      <w:ins w:id="95" w:author="Jaroslav Piálek" w:date="2019-10-02T18:15:00Z">
        <w:r>
          <w:rPr>
            <w:rFonts w:eastAsia="" w:cs="Calibri" w:ascii="Calibri" w:hAnsi="Calibri" w:asciiTheme="majorHAnsi" w:cstheme="majorHAnsi" w:eastAsiaTheme="minorEastAsia" w:hAnsiTheme="majorHAnsi"/>
            <w:lang w:eastAsia="en-US"/>
          </w:rPr>
          <w:t xml:space="preserve"> </w:t>
        </w:r>
      </w:ins>
      <w:ins w:id="96" w:author="Jaroslav Piálek" w:date="2019-10-02T18:16:00Z">
        <w:r>
          <w:rPr>
            <w:rFonts w:eastAsia="" w:cs="Calibri" w:ascii="Calibri" w:hAnsi="Calibri" w:asciiTheme="majorHAnsi" w:cstheme="majorHAnsi" w:eastAsiaTheme="minorEastAsia" w:hAnsiTheme="majorHAnsi"/>
            <w:lang w:eastAsia="en-US"/>
          </w:rPr>
          <w:t>any</w:t>
        </w:r>
      </w:ins>
      <w:ins w:id="97" w:author="Jaroslav Piálek" w:date="2019-10-02T18:14:00Z">
        <w:r>
          <w:rPr>
            <w:rFonts w:eastAsia="" w:cs="Calibri" w:ascii="Calibri" w:hAnsi="Calibri" w:asciiTheme="majorHAnsi" w:cstheme="majorHAnsi" w:eastAsiaTheme="minorEastAsia" w:hAnsiTheme="majorHAnsi"/>
            <w:lang w:eastAsia="en-US"/>
          </w:rPr>
          <w:t xml:space="preserve"> study.</w:t>
        </w:r>
      </w:ins>
    </w:p>
    <w:p>
      <w:pPr>
        <w:pStyle w:val="Normal"/>
        <w:spacing w:lineRule="auto" w:line="240" w:before="288" w:after="0"/>
        <w:ind w:right="-28" w:hanging="0"/>
        <w:jc w:val="both"/>
        <w:rPr>
          <w:rFonts w:ascii="Times New Roman" w:hAnsi="Times New Roman" w:eastAsia="Times New Roman" w:cs="Times New Roman"/>
        </w:rPr>
      </w:pPr>
      <w:r>
        <w:rPr>
          <w:rFonts w:eastAsia="Times New Roman" w:cs="Times New Roman" w:ascii="Times New Roman" w:hAnsi="Times New Roman"/>
        </w:rPr>
      </w:r>
      <w:bookmarkStart w:id="0" w:name="_GoBack"/>
      <w:bookmarkStart w:id="1" w:name="_GoBack"/>
      <w:bookmarkEnd w:id="1"/>
    </w:p>
    <w:p>
      <w:pPr>
        <w:pStyle w:val="Normal"/>
        <w:spacing w:before="288" w:after="0"/>
        <w:ind w:left="-24" w:right="-136"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C17. </w:t>
      </w:r>
      <w:r>
        <w:rPr>
          <w:rFonts w:eastAsia="Times New Roman" w:cs="Times New Roman" w:ascii="Times New Roman" w:hAnsi="Times New Roman"/>
          <w:color w:val="073763"/>
        </w:rPr>
        <w:t xml:space="preserve">Line 118: </w:t>
      </w:r>
      <w:r>
        <w:rPr>
          <w:rFonts w:eastAsia="Times New Roman" w:cs="Times New Roman" w:ascii="Times New Roman" w:hAnsi="Times New Roman"/>
          <w:b/>
          <w:color w:val="073763"/>
        </w:rPr>
        <w:t xml:space="preserve">specify </w:t>
      </w:r>
      <w:r>
        <w:rPr>
          <w:rFonts w:eastAsia="Times New Roman" w:cs="Times New Roman" w:ascii="Times New Roman" w:hAnsi="Times New Roman"/>
          <w:color w:val="073763"/>
        </w:rPr>
        <w:t xml:space="preserve">that H6PD in the text is listed as GPD1 in Table S1. </w:t>
      </w:r>
    </w:p>
    <w:p>
      <w:pPr>
        <w:pStyle w:val="Normal"/>
        <w:spacing w:before="288" w:after="0"/>
        <w:ind w:left="696" w:right="-136" w:hanging="0"/>
        <w:rPr/>
      </w:pPr>
      <w:ins w:id="98" w:author="Unknown Author" w:date="2019-10-03T08:02:13Z">
        <w:commentRangeStart w:id="0"/>
        <w:r>
          <w:rPr>
            <w:rFonts w:eastAsia="Times New Roman" w:cs="Times New Roman" w:ascii="Times new roman" w:hAnsi="Times new roman"/>
            <w:color w:val="000000"/>
            <w:sz w:val="22"/>
            <w:szCs w:val="22"/>
          </w:rPr>
          <w:t>Thanks for pointing this inconsistency, we corrected it. We</w:t>
        </w:r>
      </w:ins>
      <w:ins w:id="99" w:author="Unknown Author" w:date="2019-10-03T08:02:13Z">
        <w:r>
          <w:rPr>
            <w:rFonts w:eastAsia="Times New Roman" w:cs="Times New Roman" w:ascii="Times new roman" w:hAnsi="Times new roman"/>
            <w:b w:val="false"/>
            <w:i w:val="false"/>
            <w:caps w:val="false"/>
            <w:smallCaps w:val="false"/>
            <w:color w:val="000000"/>
            <w:spacing w:val="0"/>
            <w:sz w:val="22"/>
            <w:szCs w:val="22"/>
          </w:rPr>
          <w:t xml:space="preserve"> have used in the text (changed from previous papers) the name of the gene (</w:t>
        </w:r>
      </w:ins>
      <w:ins w:id="100" w:author="Unknown Author" w:date="2019-10-03T08:02:13Z">
        <w:r>
          <w:rPr>
            <w:rFonts w:eastAsia="Times New Roman" w:cs="Times New Roman" w:ascii="Times new roman" w:hAnsi="Times new roman"/>
            <w:b w:val="false"/>
            <w:i/>
            <w:color w:val="000000"/>
            <w:spacing w:val="0"/>
            <w:sz w:val="22"/>
            <w:szCs w:val="22"/>
          </w:rPr>
          <w:t>H6pd</w:t>
        </w:r>
      </w:ins>
      <w:ins w:id="101" w:author="Unknown Author" w:date="2019-10-03T08:02:13Z">
        <w:r>
          <w:rPr>
            <w:rFonts w:eastAsia="Times New Roman" w:cs="Times New Roman" w:ascii="Times new roman" w:hAnsi="Times new roman"/>
            <w:b w:val="false"/>
            <w:i w:val="false"/>
            <w:caps w:val="false"/>
            <w:smallCaps w:val="false"/>
            <w:color w:val="000000"/>
            <w:spacing w:val="0"/>
            <w:sz w:val="22"/>
            <w:szCs w:val="22"/>
          </w:rPr>
          <w:t xml:space="preserve">) according to current version of the MGI database. We changed it now also in the </w:t>
        </w:r>
      </w:ins>
      <w:ins w:id="102" w:author="Unknown Author" w:date="2019-10-03T08:02:13Z">
        <w:r>
          <w:rPr>
            <w:rFonts w:eastAsia="Times New Roman" w:cs="Times New Roman" w:ascii="Times new roman" w:hAnsi="Times new roman"/>
            <w:b/>
            <w:bCs/>
            <w:i w:val="false"/>
            <w:caps w:val="false"/>
            <w:smallCaps w:val="false"/>
            <w:color w:val="000000"/>
            <w:spacing w:val="0"/>
            <w:sz w:val="22"/>
            <w:szCs w:val="22"/>
          </w:rPr>
          <w:t xml:space="preserve">Supplementary Table S3 </w:t>
        </w:r>
      </w:ins>
      <w:ins w:id="103" w:author="Unknown Author" w:date="2019-10-03T08:02:13Z">
        <w:r>
          <w:rPr>
            <w:rFonts w:eastAsia="Times New Roman" w:cs="Times New Roman" w:ascii="Times new roman" w:hAnsi="Times new roman"/>
            <w:b w:val="false"/>
            <w:i w:val="false"/>
            <w:caps w:val="false"/>
            <w:smallCaps w:val="false"/>
            <w:color w:val="000000"/>
            <w:spacing w:val="0"/>
            <w:sz w:val="22"/>
            <w:szCs w:val="22"/>
          </w:rPr>
          <w:t>(ex S1).</w:t>
        </w:r>
      </w:ins>
      <w:ins w:id="104" w:author="Unknown Author" w:date="2019-10-03T08:02:13Z">
        <w:commentRangeEnd w:id="0"/>
        <w:r>
          <w:commentReference w:id="0"/>
        </w:r>
        <w:r>
          <w:rPr>
            <w:rFonts w:eastAsia="Times New Roman" w:cs="Times New Roman" w:ascii="Times New Roman" w:hAnsi="Times New Roman"/>
            <w:b w:val="false"/>
            <w:i w:val="false"/>
            <w:caps w:val="false"/>
            <w:smallCaps w:val="false"/>
            <w:color w:val="000000"/>
            <w:spacing w:val="0"/>
            <w:sz w:val="22"/>
            <w:szCs w:val="22"/>
          </w:rPr>
        </w:r>
      </w:ins>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C18. </w:t>
      </w:r>
      <w:r>
        <w:rPr>
          <w:rFonts w:eastAsia="Times New Roman" w:cs="Times New Roman" w:ascii="Times New Roman" w:hAnsi="Times New Roman"/>
          <w:color w:val="073763"/>
        </w:rPr>
        <w:t xml:space="preserve">Lines 122-123 : “...(graphical resolution increased over defaults) based on a subset of the six autosomal markers that were genotyped in all mice” : </w:t>
      </w:r>
      <w:r>
        <w:rPr>
          <w:rFonts w:eastAsia="Times New Roman" w:cs="Times New Roman" w:ascii="Times New Roman" w:hAnsi="Times New Roman"/>
          <w:b/>
          <w:color w:val="073763"/>
        </w:rPr>
        <w:t xml:space="preserve">contradicts what is written previously </w:t>
      </w:r>
      <w:r>
        <w:rPr>
          <w:rFonts w:eastAsia="Times New Roman" w:cs="Times New Roman" w:ascii="Times New Roman" w:hAnsi="Times New Roman"/>
          <w:color w:val="073763"/>
        </w:rPr>
        <w:t xml:space="preserve">: some mice have been genotyped only on 4 markers so the minimum 6 autosomal ones are not there! See futher comments on results and table S1 </w:t>
      </w:r>
    </w:p>
    <w:p>
      <w:pPr>
        <w:pStyle w:val="Normal"/>
        <w:spacing w:lineRule="auto" w:line="240" w:before="288" w:after="0"/>
        <w:ind w:left="696" w:right="5" w:hanging="0"/>
        <w:rPr>
          <w:rFonts w:ascii="Times New Roman" w:hAnsi="Times New Roman" w:eastAsia="Times New Roman" w:cs="Times New Roman"/>
        </w:rPr>
      </w:pPr>
      <w:r>
        <w:rPr>
          <w:rFonts w:eastAsia="Times New Roman" w:cs="Times New Roman" w:ascii="Times New Roman" w:hAnsi="Times New Roman"/>
        </w:rPr>
        <w:t>Thanks for pointing this error, we corrected it in the text, and mention that we estimate the hybrid zone centre with “all individuals with 6 diploid markers (N=598 mice)” (line 137 new)</w:t>
      </w:r>
    </w:p>
    <w:p>
      <w:pPr>
        <w:pStyle w:val="Normal"/>
        <w:spacing w:before="288" w:after="0"/>
        <w:ind w:left="-24" w:right="374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C19. </w:t>
      </w:r>
      <w:r>
        <w:rPr>
          <w:rFonts w:eastAsia="Times New Roman" w:cs="Times New Roman" w:ascii="Times New Roman" w:hAnsi="Times New Roman"/>
          <w:color w:val="073763"/>
        </w:rPr>
        <w:t xml:space="preserve">Lines 133-134: focus on </w:t>
      </w:r>
      <w:r>
        <w:rPr>
          <w:rFonts w:eastAsia="Times New Roman" w:cs="Times New Roman" w:ascii="Times New Roman" w:hAnsi="Times New Roman"/>
          <w:i/>
          <w:color w:val="073763"/>
        </w:rPr>
        <w:t xml:space="preserve">A. tertraptera </w:t>
      </w:r>
      <w:r>
        <w:rPr>
          <w:rFonts w:eastAsia="Times New Roman" w:cs="Times New Roman" w:ascii="Times New Roman" w:hAnsi="Times New Roman"/>
          <w:color w:val="073763"/>
        </w:rPr>
        <w:t xml:space="preserve">and </w:t>
      </w:r>
      <w:r>
        <w:rPr>
          <w:rFonts w:eastAsia="Times New Roman" w:cs="Times New Roman" w:ascii="Times New Roman" w:hAnsi="Times New Roman"/>
          <w:i/>
          <w:color w:val="073763"/>
        </w:rPr>
        <w:t xml:space="preserve">S. obvelata </w:t>
      </w:r>
      <w:r>
        <w:rPr>
          <w:rFonts w:eastAsia="Times New Roman" w:cs="Times New Roman" w:ascii="Times New Roman" w:hAnsi="Times New Roman"/>
          <w:color w:val="073763"/>
        </w:rPr>
        <w:t xml:space="preserve">only. </w:t>
      </w:r>
    </w:p>
    <w:p>
      <w:pPr>
        <w:pStyle w:val="Normal"/>
        <w:spacing w:before="288" w:after="0"/>
        <w:ind w:left="686" w:right="-28" w:hanging="638"/>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1/Need some </w:t>
      </w:r>
      <w:r>
        <w:rPr>
          <w:rFonts w:eastAsia="Times New Roman" w:cs="Times New Roman" w:ascii="Times New Roman" w:hAnsi="Times New Roman"/>
          <w:b/>
          <w:color w:val="073763"/>
        </w:rPr>
        <w:t xml:space="preserve">justifications </w:t>
      </w:r>
      <w:r>
        <w:rPr>
          <w:rFonts w:eastAsia="Times New Roman" w:cs="Times New Roman" w:ascii="Times New Roman" w:hAnsi="Times New Roman"/>
          <w:color w:val="073763"/>
        </w:rPr>
        <w:t xml:space="preserve">for people who are not familiar with the model and previous parasitological studies (Sage et al., 1986; Moulia et al 1991; .....) . A minimal justification is expected especially as the authors rely quite strongly on a previous study that has chosen another strategy :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pPr>
        <w:pStyle w:val="Normal"/>
        <w:spacing w:before="288" w:after="0"/>
        <w:ind w:left="686" w:right="-28" w:hanging="638"/>
        <w:jc w:val="both"/>
        <w:rPr>
          <w:rFonts w:ascii="Times New Roman" w:hAnsi="Times New Roman" w:eastAsia="Times New Roman" w:cs="Times New Roman"/>
          <w:color w:val="073763"/>
        </w:rPr>
      </w:pPr>
      <w:r>
        <w:rPr>
          <w:rFonts w:eastAsia="Times New Roman" w:cs="Times New Roman" w:ascii="Times New Roman" w:hAnsi="Times New Roman"/>
          <w:color w:val="073763"/>
        </w:rPr>
        <w:tab/>
        <w:t xml:space="preserve">2/ Perhaps in result part as well as in table S1 </w:t>
      </w:r>
      <w:r>
        <w:rPr>
          <w:rFonts w:eastAsia="Times New Roman" w:cs="Times New Roman" w:ascii="Times New Roman" w:hAnsi="Times New Roman"/>
          <w:b/>
          <w:color w:val="073763"/>
        </w:rPr>
        <w:t xml:space="preserve">give some elements on helminth species diversity </w:t>
      </w:r>
      <w:r>
        <w:rPr>
          <w:rFonts w:eastAsia="Times New Roman" w:cs="Times New Roman" w:ascii="Times New Roman" w:hAnsi="Times New Roman"/>
          <w:color w:val="073763"/>
        </w:rPr>
        <w:t xml:space="preserve">to evaluate the proportion of the pinworms. </w:t>
      </w:r>
    </w:p>
    <w:p>
      <w:pPr>
        <w:pStyle w:val="Normal"/>
        <w:spacing w:before="288" w:after="0"/>
        <w:ind w:left="686" w:right="-23" w:hanging="0"/>
        <w:jc w:val="both"/>
        <w:rPr>
          <w:rFonts w:ascii="Times New Roman" w:hAnsi="Times New Roman" w:eastAsia="Times New Roman" w:cs="Times New Roman"/>
        </w:rPr>
      </w:pPr>
      <w:r>
        <w:rPr>
          <w:rFonts w:eastAsia="Times New Roman" w:cs="Times New Roman" w:ascii="Times New Roman" w:hAnsi="Times New Roman"/>
        </w:rPr>
        <w:t>Test was modified and a supplementary figure was added as follow:</w:t>
      </w:r>
    </w:p>
    <w:p>
      <w:pPr>
        <w:pStyle w:val="Normal"/>
        <w:spacing w:lineRule="auto" w:line="240" w:before="0" w:after="200"/>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As in this study we need a high statistical power to test our hypothesis, we considered only the most prevalent helminths, the oxyurids </w:t>
      </w:r>
      <w:r>
        <w:rPr>
          <w:rFonts w:eastAsia="Times New Roman" w:cs="Times New Roman" w:ascii="Times New Roman" w:hAnsi="Times New Roman"/>
          <w:i/>
        </w:rPr>
        <w:t>Syphacia obvelata</w:t>
      </w:r>
      <w:r>
        <w:rPr>
          <w:rFonts w:eastAsia="Times New Roman" w:cs="Times New Roman" w:ascii="Times New Roman" w:hAnsi="Times New Roman"/>
        </w:rPr>
        <w:t xml:space="preserve"> and </w:t>
      </w:r>
      <w:r>
        <w:rPr>
          <w:rFonts w:eastAsia="Times New Roman" w:cs="Times New Roman" w:ascii="Times New Roman" w:hAnsi="Times New Roman"/>
          <w:i/>
        </w:rPr>
        <w:t>Aspiculuris tetraptera</w:t>
      </w:r>
      <w:r>
        <w:rPr>
          <w:rFonts w:eastAsia="Times New Roman" w:cs="Times New Roman" w:ascii="Times New Roman" w:hAnsi="Times New Roman"/>
        </w:rPr>
        <w:t xml:space="preserve">. Histograms presenting the distribution of other helminths counts can be found in </w:t>
      </w:r>
      <w:r>
        <w:rPr>
          <w:rFonts w:eastAsia="Times New Roman" w:cs="Times New Roman" w:ascii="Times New Roman" w:hAnsi="Times New Roman"/>
          <w:b/>
        </w:rPr>
        <w:t>Supplementary Figure S2.”</w:t>
      </w:r>
      <w:r>
        <w:rPr>
          <w:rFonts w:eastAsia="Times New Roman" w:cs="Times New Roman" w:ascii="Times New Roman" w:hAnsi="Times New Roman"/>
        </w:rPr>
        <w:t xml:space="preserve"> (lines 148-151 new)</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C20. </w:t>
      </w:r>
      <w:r>
        <w:rPr>
          <w:rFonts w:eastAsia="Times New Roman" w:cs="Times New Roman" w:ascii="Times New Roman" w:hAnsi="Times New Roman"/>
          <w:color w:val="073763"/>
        </w:rPr>
        <w:t xml:space="preserve">Lines 142-144: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primers: specify the source (it seems to be Jarquin-Diaz et al., 2019 and Ahmed et al. , 2019) as well as their universality for the three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species present in the HZ. </w:t>
      </w:r>
    </w:p>
    <w:p>
      <w:pPr>
        <w:pStyle w:val="Normal"/>
        <w:ind w:left="-24" w:right="1915"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144-146: house mouse primers: same details than for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are needed. </w:t>
      </w:r>
    </w:p>
    <w:p>
      <w:pPr>
        <w:pStyle w:val="Normal"/>
        <w:spacing w:lineRule="auto" w:line="240" w:before="288" w:after="0"/>
        <w:ind w:left="696" w:right="-28" w:hanging="0"/>
        <w:rPr>
          <w:rFonts w:ascii="Times New Roman" w:hAnsi="Times New Roman" w:eastAsia="Times New Roman" w:cs="Times New Roman"/>
          <w:color w:val="073763"/>
        </w:rPr>
      </w:pPr>
      <w:r>
        <w:rPr>
          <w:rFonts w:eastAsia="Times New Roman" w:cs="Times New Roman" w:ascii="Times New Roman" w:hAnsi="Times New Roman"/>
        </w:rPr>
        <w:t>We added the adequate reference and details (lines 159, 162, 164 new)</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C21. </w:t>
      </w:r>
      <w:r>
        <w:rPr>
          <w:rFonts w:eastAsia="Times New Roman" w:cs="Times New Roman" w:ascii="Times New Roman" w:hAnsi="Times New Roman"/>
          <w:color w:val="073763"/>
        </w:rPr>
        <w:t xml:space="preserve">Lines 151-160. </w:t>
      </w:r>
      <w:r>
        <w:rPr>
          <w:rFonts w:eastAsia="Times New Roman" w:cs="Times New Roman" w:ascii="Times New Roman" w:hAnsi="Times New Roman"/>
          <w:b/>
          <w:color w:val="073763"/>
        </w:rPr>
        <w:t>Major lacks of explanation and validation of the protocol</w:t>
      </w:r>
      <w:r>
        <w:rPr>
          <w:rFonts w:eastAsia="Times New Roman" w:cs="Times New Roman" w:ascii="Times New Roman" w:hAnsi="Times New Roman"/>
          <w:color w:val="073763"/>
        </w:rPr>
        <w:t xml:space="preserve">. See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 </w:t>
      </w:r>
    </w:p>
    <w:p>
      <w:pPr>
        <w:pStyle w:val="Normal"/>
        <w:spacing w:before="288" w:after="0"/>
        <w:ind w:left="696" w:right="-28" w:hanging="0"/>
        <w:rPr>
          <w:rFonts w:ascii="Times New Roman" w:hAnsi="Times New Roman" w:eastAsia="Times New Roman" w:cs="Times New Roman"/>
          <w:color w:val="073763"/>
        </w:rPr>
      </w:pPr>
      <w:r>
        <w:rPr>
          <w:rFonts w:eastAsia="Times New Roman" w:cs="Times New Roman" w:ascii="Times New Roman" w:hAnsi="Times New Roman"/>
          <w:color w:val="073763"/>
        </w:rPr>
        <w:tab/>
      </w:r>
      <w:r>
        <w:rPr>
          <w:rFonts w:eastAsia="Times New Roman" w:cs="Times New Roman" w:ascii="Times New Roman" w:hAnsi="Times New Roman"/>
        </w:rPr>
        <w:t xml:space="preserve">This protocol has been validated, we added the precision: </w:t>
      </w:r>
      <w:r>
        <w:rPr>
          <w:rFonts w:eastAsia="Times New Roman" w:cs="Times New Roman" w:ascii="Times New Roman" w:hAnsi="Times New Roman"/>
          <w:color w:val="073763"/>
        </w:rPr>
        <w:t>“</w:t>
      </w:r>
      <w:r>
        <w:rPr>
          <w:rFonts w:eastAsia="Times New Roman" w:cs="Times New Roman" w:ascii="Times New Roman" w:hAnsi="Times New Roman"/>
        </w:rPr>
        <w:t>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173 ff new)</w:t>
      </w:r>
      <w:r>
        <w:rPr>
          <w:rFonts w:eastAsia="Times New Roman" w:cs="Times New Roman" w:ascii="Times New Roman" w:hAnsi="Times New Roman"/>
          <w:color w:val="073763"/>
        </w:rPr>
        <w:tab/>
        <w:t xml:space="preserve">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C22. </w:t>
      </w:r>
      <w:r>
        <w:rPr>
          <w:rFonts w:eastAsia="Times New Roman" w:cs="Times New Roman" w:ascii="Times New Roman" w:hAnsi="Times New Roman"/>
          <w:color w:val="073763"/>
        </w:rPr>
        <w:t xml:space="preserve">Lines 164-165 : “the median of parasite load across all hosts” :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pPr>
        <w:pStyle w:val="Normal"/>
        <w:spacing w:before="288" w:after="0"/>
        <w:ind w:left="696" w:right="-28" w:hanging="0"/>
        <w:jc w:val="both"/>
        <w:rPr/>
      </w:pPr>
      <w:r>
        <w:rPr>
          <w:rFonts w:eastAsia="Times New Roman" w:cs="Times New Roman" w:ascii="Times New Roman" w:hAnsi="Times New Roman"/>
        </w:rPr>
        <w:t xml:space="preserve">We thank the reviewer for pointing the lack of clarity in terminology. We replace “took” by “report”, as we do not use these medians for further analyses (line 186 new). We don’t consider sub-dividing the sampling according to the HI, as we work on a continuous scale of hybridicity which is genetically and statistically more appropriate.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C23. </w:t>
      </w:r>
      <w:r>
        <w:rPr>
          <w:rFonts w:eastAsia="Times New Roman" w:cs="Times New Roman" w:ascii="Times New Roman" w:hAnsi="Times New Roman"/>
          <w:color w:val="073763"/>
        </w:rPr>
        <w:t xml:space="preserve">Line 166: “and only median intensity for Eimeria spp”. </w:t>
      </w:r>
      <w:r>
        <w:rPr>
          <w:rFonts w:eastAsia="Times New Roman" w:cs="Times New Roman" w:ascii="Times New Roman" w:hAnsi="Times New Roman"/>
          <w:b/>
          <w:color w:val="073763"/>
        </w:rPr>
        <w:t xml:space="preserve">Lack of explanation. </w:t>
      </w:r>
      <w:r>
        <w:rPr>
          <w:rFonts w:eastAsia="Times New Roman" w:cs="Times New Roman" w:ascii="Times New Roman" w:hAnsi="Times New Roman"/>
          <w:color w:val="073763"/>
        </w:rPr>
        <w:t xml:space="preserve">What is (are) the argument (s) to omit abundance in the case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and not nematodes? </w:t>
      </w:r>
    </w:p>
    <w:p>
      <w:pPr>
        <w:pStyle w:val="Normal"/>
        <w:spacing w:before="288" w:after="0"/>
        <w:ind w:left="696" w:right="-28" w:hanging="0"/>
        <w:jc w:val="both"/>
        <w:rPr/>
      </w:pPr>
      <w:r>
        <w:rPr>
          <w:rFonts w:eastAsia="Times New Roman" w:cs="Times New Roman" w:ascii="Times New Roman" w:hAnsi="Times New Roman"/>
        </w:rPr>
        <w:t>This is a good point, it is obviously not clear enough based on previous description in material and method. We added some explanation: “For qPCR some uninfected samples present technical noise due to unspecific amplification of non-target DNA. We therefore used a qPCR threshold validated by independent genotyping PCRs (see “Fig. 4” of Jarquín-Díaz et al., 2019) to establish the infection status of each sample (and we don’t report abundance for Eimeria, see Jarquín-Díaz et al., 2019 for details).” (line 194-198 new)</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C24. </w:t>
      </w:r>
      <w:r>
        <w:rPr>
          <w:rFonts w:eastAsia="Times New Roman" w:cs="Times New Roman" w:ascii="Times New Roman" w:hAnsi="Times New Roman"/>
          <w:color w:val="073763"/>
        </w:rPr>
        <w:t xml:space="preserve">Lines 166 -170 : </w:t>
      </w:r>
      <w:r>
        <w:rPr>
          <w:rFonts w:eastAsia="Times New Roman" w:cs="Times New Roman" w:ascii="Times New Roman" w:hAnsi="Times New Roman"/>
          <w:b/>
          <w:color w:val="073763"/>
        </w:rPr>
        <w:t>repetition of the above lines</w:t>
      </w:r>
      <w:r>
        <w:rPr>
          <w:rFonts w:eastAsia="Times New Roman" w:cs="Times New Roman" w:ascii="Times New Roman" w:hAnsi="Times New Roman"/>
          <w:color w:val="073763"/>
        </w:rPr>
        <w:t>: 162-166.</w:t>
      </w:r>
    </w:p>
    <w:p>
      <w:pPr>
        <w:pStyle w:val="Normal"/>
        <w:spacing w:lineRule="auto" w:line="240" w:before="288" w:after="0"/>
        <w:ind w:left="696" w:right="-28" w:hanging="0"/>
        <w:jc w:val="both"/>
        <w:rPr>
          <w:rFonts w:ascii="Times New Roman" w:hAnsi="Times New Roman" w:eastAsia="Times New Roman" w:cs="Times New Roman"/>
          <w:color w:val="073763"/>
        </w:rPr>
      </w:pPr>
      <w:r>
        <w:rPr>
          <w:rFonts w:eastAsia="Times New Roman" w:cs="Times New Roman" w:ascii="Times New Roman" w:hAnsi="Times New Roman"/>
        </w:rPr>
        <w:t>We thank the reviewer for pointing out this mistake, we removed the incriminated repetition.</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C25. </w:t>
      </w:r>
      <w:r>
        <w:rPr>
          <w:rFonts w:eastAsia="Times New Roman" w:cs="Times New Roman" w:ascii="Times New Roman" w:hAnsi="Times New Roman"/>
          <w:color w:val="073763"/>
        </w:rPr>
        <w:t xml:space="preserve">Lines 176 -177. </w:t>
      </w:r>
      <w:r>
        <w:rPr>
          <w:rFonts w:eastAsia="Times New Roman" w:cs="Times New Roman" w:ascii="Times New Roman" w:hAnsi="Times New Roman"/>
          <w:b/>
          <w:color w:val="073763"/>
        </w:rPr>
        <w:t xml:space="preserve">Review the statement of the epidemiological model basis. </w:t>
      </w:r>
      <w:r>
        <w:rPr>
          <w:rFonts w:eastAsia="Times New Roman" w:cs="Times New Roman" w:ascii="Times New Roman" w:hAnsi="Times New Roman"/>
          <w:color w:val="073763"/>
        </w:rPr>
        <w:t xml:space="preserve">The authors reduce the epidemiological process to two stages of the classically and basically used S(E)IRD model (Kermack, WO. and McKendrick, AG. A contribution to the mathematical theory of epidemics. Proc Roy Soc, London 1927, 115, 700-721- see current use in Ebola epidemiology: T. Berge, J.M.-S. Lubuma, G.M. Moremedi, N. Morris &amp; R. Kondera-Shava (2017). A simple mathematical model for Ebola in Africa, Journal of Biological Dynamics, 11:1, 42-74, DOI: 10.1080/17513758.2016.1229817)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eastAsia="Times New Roman" w:cs="Times New Roman" w:ascii="Times New Roman" w:hAnsi="Times New Roman"/>
          <w:i/>
          <w:color w:val="073763"/>
        </w:rPr>
        <w:t>Eimeria sp</w:t>
      </w:r>
      <w:r>
        <w:rPr>
          <w:rFonts w:eastAsia="Times New Roman" w:cs="Times New Roman" w:ascii="Times New Roman" w:hAnsi="Times New Roman"/>
          <w:color w:val="073763"/>
        </w:rPr>
        <w:t xml:space="preserve">. induced mortality? See further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model. </w:t>
      </w:r>
    </w:p>
    <w:p>
      <w:pPr>
        <w:pStyle w:val="Normal"/>
        <w:spacing w:before="288" w:after="0"/>
        <w:ind w:left="720" w:right="-28" w:hanging="0"/>
        <w:jc w:val="both"/>
        <w:rPr/>
      </w:pPr>
      <w:r>
        <w:rPr>
          <w:rFonts w:eastAsia="Times New Roman" w:cs="Times New Roman" w:ascii="Times New Roman" w:hAnsi="Times New Roman"/>
        </w:rPr>
        <w:t xml:space="preserve">This was fully modified and developed, see our answer to </w:t>
      </w:r>
      <w:r>
        <w:rPr>
          <w:rFonts w:eastAsia="Times New Roman" w:cs="Times New Roman" w:ascii="Times New Roman" w:hAnsi="Times New Roman"/>
          <w:b/>
          <w:color w:val="980000"/>
        </w:rPr>
        <w:t>C11.</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C26. </w:t>
      </w:r>
      <w:r>
        <w:rPr>
          <w:rFonts w:eastAsia="Times New Roman" w:cs="Times New Roman" w:ascii="Times New Roman" w:hAnsi="Times New Roman"/>
          <w:color w:val="073763"/>
        </w:rPr>
        <w:t xml:space="preserve">Line 180. </w:t>
      </w:r>
      <w:r>
        <w:rPr>
          <w:rFonts w:eastAsia="Times New Roman" w:cs="Times New Roman" w:ascii="Times New Roman" w:hAnsi="Times New Roman"/>
          <w:b/>
          <w:color w:val="073763"/>
        </w:rPr>
        <w:t>Relevance of the reference</w:t>
      </w:r>
      <w:r>
        <w:rPr>
          <w:rFonts w:eastAsia="Times New Roman" w:cs="Times New Roman" w:ascii="Times New Roman" w:hAnsi="Times New Roman"/>
          <w:color w:val="073763"/>
        </w:rPr>
        <w:t xml:space="preserve">. I do not see in which way the work of Poulin 2013 supports the two categories subdivision of the model. Inappropriate. </w:t>
      </w:r>
    </w:p>
    <w:p>
      <w:pPr>
        <w:pStyle w:val="Normal"/>
        <w:spacing w:before="288" w:after="0"/>
        <w:ind w:left="696" w:right="-23" w:hanging="0"/>
        <w:rPr>
          <w:rFonts w:ascii="Times New Roman" w:hAnsi="Times New Roman" w:eastAsia="Times New Roman" w:cs="Times New Roman"/>
        </w:rPr>
      </w:pPr>
      <w:r>
        <w:rPr>
          <w:rFonts w:eastAsia="Times New Roman" w:cs="Times New Roman" w:ascii="Times New Roman" w:hAnsi="Times New Roman"/>
        </w:rPr>
        <w:t>We removed the reference.</w:t>
      </w:r>
    </w:p>
    <w:p>
      <w:pPr>
        <w:pStyle w:val="Normal"/>
        <w:spacing w:before="288" w:after="0"/>
        <w:ind w:left="-30"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C27. </w:t>
      </w:r>
      <w:r>
        <w:rPr>
          <w:rFonts w:eastAsia="Times New Roman" w:cs="Times New Roman" w:ascii="Times New Roman" w:hAnsi="Times New Roman"/>
          <w:color w:val="073763"/>
        </w:rPr>
        <w:t xml:space="preserve">Lines 181 -183. Using a proxy that equate introgression with more than 50% </w:t>
      </w:r>
      <w:r>
        <w:rPr>
          <w:rFonts w:eastAsia="Times New Roman" w:cs="Times New Roman" w:ascii="Times New Roman" w:hAnsi="Times New Roman"/>
          <w:i/>
          <w:color w:val="073763"/>
        </w:rPr>
        <w:t xml:space="preserve">musculus </w:t>
      </w:r>
      <w:r>
        <w:rPr>
          <w:rFonts w:eastAsia="Times New Roman" w:cs="Times New Roman" w:ascii="Times New Roman" w:hAnsi="Times New Roman"/>
          <w:color w:val="073763"/>
        </w:rPr>
        <w:t xml:space="preserve">genomes and introgression with more than 50% </w:t>
      </w:r>
      <w:r>
        <w:rPr>
          <w:rFonts w:eastAsia="Times New Roman" w:cs="Times New Roman" w:ascii="Times New Roman" w:hAnsi="Times New Roman"/>
          <w:i/>
          <w:color w:val="073763"/>
        </w:rPr>
        <w:t xml:space="preserve">domesticus </w:t>
      </w:r>
      <w:r>
        <w:rPr>
          <w:rFonts w:eastAsia="Times New Roman" w:cs="Times New Roman" w:ascii="Times New Roman" w:hAnsi="Times New Roman"/>
          <w:color w:val="073763"/>
        </w:rPr>
        <w:t xml:space="preserve">genomes. The authors make </w:t>
      </w:r>
      <w:r>
        <w:rPr>
          <w:rFonts w:eastAsia="Times New Roman" w:cs="Times New Roman" w:ascii="Times New Roman" w:hAnsi="Times New Roman"/>
          <w:b/>
          <w:color w:val="073763"/>
        </w:rPr>
        <w:t xml:space="preserve">an a priori of equality of the two mouse genomes </w:t>
      </w:r>
      <w:r>
        <w:rPr>
          <w:rFonts w:eastAsia="Times New Roman" w:cs="Times New Roman" w:ascii="Times New Roman" w:hAnsi="Times New Roman"/>
          <w:color w:val="073763"/>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Derothe et al. 2001 et Derothe et al. 2004); 2 /Jarquin-Diaz et al., 2019 showed a non-uniform distribution across the zone ( HI from 0 to 1) of the 3 species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3 / we do not still know exactly how describe and take into account parasite differences/ divergences from either side of the zone (see Baird and Goüy de Bellocq , 2019). Are then the parameters of the association (as resistance /tolerance phenotypes) the same between a given parasite species/taxa/ genotype P0 associated to hosts HI = 0 </w:t>
      </w:r>
    </w:p>
    <w:p>
      <w:pPr>
        <w:pStyle w:val="Normal"/>
        <w:ind w:left="-24" w:right="-23" w:hanging="0"/>
        <w:rPr>
          <w:rFonts w:ascii="Times New Roman" w:hAnsi="Times New Roman" w:eastAsia="Times New Roman" w:cs="Times New Roman"/>
          <w:b/>
          <w:b/>
          <w:color w:val="073763"/>
        </w:rPr>
      </w:pPr>
      <w:r>
        <w:rPr>
          <w:rFonts w:eastAsia="Times New Roman" w:cs="Times New Roman" w:ascii="Times New Roman" w:hAnsi="Times New Roman"/>
          <w:color w:val="073763"/>
        </w:rPr>
        <w:t xml:space="preserve">and the counterpart parasite species/ taxa/ genotype P1 associated to host HI = 1? </w:t>
      </w:r>
      <w:r>
        <w:rPr>
          <w:rFonts w:eastAsia="Times New Roman" w:cs="Times New Roman" w:ascii="Times New Roman" w:hAnsi="Times New Roman"/>
          <w:b/>
          <w:color w:val="073763"/>
        </w:rPr>
        <w:t xml:space="preserve">At least this simplifying choice must be argued and discussed. </w:t>
      </w:r>
    </w:p>
    <w:p>
      <w:pPr>
        <w:pStyle w:val="Normal"/>
        <w:ind w:left="696" w:right="-23" w:hanging="0"/>
        <w:jc w:val="both"/>
        <w:rPr>
          <w:rFonts w:ascii="Times New Roman" w:hAnsi="Times New Roman" w:eastAsia="Times New Roman" w:cs="Times New Roman"/>
        </w:rPr>
      </w:pPr>
      <w:r>
        <w:rPr>
          <w:rFonts w:eastAsia="Times New Roman" w:cs="Times New Roman" w:ascii="Times New Roman" w:hAnsi="Times New Roman"/>
        </w:rPr>
        <w:tab/>
        <w:t xml:space="preserve"> </w:t>
        <w:tab/>
        <w:t xml:space="preserve"> </w:t>
        <w:tab/>
      </w:r>
    </w:p>
    <w:p>
      <w:pPr>
        <w:pStyle w:val="Normal"/>
        <w:numPr>
          <w:ilvl w:val="0"/>
          <w:numId w:val="3"/>
        </w:numPr>
        <w:spacing w:lineRule="auto" w:line="240"/>
        <w:jc w:val="both"/>
        <w:rPr/>
      </w:pPr>
      <w:r>
        <w:rPr>
          <w:rFonts w:eastAsia="Times New Roman" w:cs="Times New Roman" w:ascii="Times New Roman" w:hAnsi="Times New Roman"/>
        </w:rPr>
        <w:t xml:space="preserve">We added justification for this choice (lines 224-233 new) </w:t>
      </w:r>
    </w:p>
    <w:p>
      <w:pPr>
        <w:pStyle w:val="Normal"/>
        <w:numPr>
          <w:ilvl w:val="0"/>
          <w:numId w:val="3"/>
        </w:numPr>
        <w:spacing w:lineRule="auto" w:line="240" w:before="0" w:after="200"/>
        <w:jc w:val="both"/>
        <w:rPr/>
      </w:pPr>
      <w:r>
        <w:rPr>
          <w:rFonts w:eastAsia="Times New Roman" w:cs="Times New Roman" w:ascii="Times New Roman" w:hAnsi="Times New Roman"/>
        </w:rPr>
        <w:t>We tested separately on both sides, and found similar results (Supplementary Figure S5)</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C28. </w:t>
      </w:r>
      <w:r>
        <w:rPr>
          <w:rFonts w:eastAsia="Times New Roman" w:cs="Times New Roman" w:ascii="Times New Roman" w:hAnsi="Times New Roman"/>
          <w:color w:val="073763"/>
        </w:rPr>
        <w:t xml:space="preserve">Lines 188 à 229: </w:t>
      </w:r>
      <w:r>
        <w:rPr>
          <w:rFonts w:eastAsia="Times New Roman" w:cs="Times New Roman" w:ascii="Times New Roman" w:hAnsi="Times New Roman"/>
          <w:b/>
          <w:color w:val="073763"/>
        </w:rPr>
        <w:t>statistical analyses</w:t>
      </w:r>
      <w:r>
        <w:rPr>
          <w:rFonts w:eastAsia="Times New Roman" w:cs="Times New Roman" w:ascii="Times New Roman" w:hAnsi="Times New Roman"/>
          <w:color w:val="073763"/>
        </w:rPr>
        <w:t xml:space="preserve">. The authors use the global methodology proposed by Baird et al. 2012. I am not expert in this area but the approach seems clearly explained in this previous 2012 work. However, in this study,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1/ for instance, equ 5 – line 199 à 202- is not enough explained (as well as the alpha parameter) whereas this is the main parameter use to compare parasite load! </w:t>
      </w:r>
    </w:p>
    <w:p>
      <w:pPr>
        <w:pStyle w:val="Normal"/>
        <w:spacing w:before="288" w:after="0"/>
        <w:ind w:left="696" w:right="-28" w:hanging="0"/>
        <w:jc w:val="both"/>
        <w:rPr/>
      </w:pPr>
      <w:r>
        <w:rPr>
          <w:rFonts w:eastAsia="Times New Roman" w:cs="Times New Roman" w:ascii="Times New Roman" w:hAnsi="Times New Roman"/>
        </w:rPr>
        <w:t>We did not want to overload the text by repeating the very complete and detailed development given in Baird et al. 2012. We here provide a shortened (maybe more technical explanation detailing all formulas used). We would be happy to take any comment to improve the clarity without falling into repetition but so far we do not see what should be added.</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2/ </w:t>
      </w:r>
      <w:r>
        <w:rPr>
          <w:rFonts w:eastAsia="Times New Roman" w:cs="Times New Roman" w:ascii="Times New Roman" w:hAnsi="Times New Roman"/>
          <w:b/>
          <w:color w:val="073763"/>
        </w:rPr>
        <w:t xml:space="preserve">a more general and basic criticism </w:t>
      </w:r>
      <w:r>
        <w:rPr>
          <w:rFonts w:eastAsia="Times New Roman" w:cs="Times New Roman" w:ascii="Times New Roman" w:hAnsi="Times New Roman"/>
          <w:color w:val="073763"/>
        </w:rPr>
        <w:t xml:space="preserve">: in Baird et al., the only comparison between previous classical statistics (mostly classical non-parametric tests) and their new approach for testing the hybrid resistance/ susceptibility was performed on the data of Sage </w:t>
      </w:r>
      <w:r>
        <w:rPr>
          <w:rFonts w:eastAsia="Times New Roman" w:cs="Times New Roman" w:ascii="Times New Roman" w:hAnsi="Times New Roman"/>
          <w:i/>
          <w:color w:val="073763"/>
        </w:rPr>
        <w:t xml:space="preserve">et al. </w:t>
      </w:r>
      <w:r>
        <w:rPr>
          <w:rFonts w:eastAsia="Times New Roman" w:cs="Times New Roman" w:ascii="Times New Roman" w:hAnsi="Times New Roman"/>
          <w:color w:val="073763"/>
        </w:rPr>
        <w:t xml:space="preserve">(1986). Indeed, the two statistical approaches went in the same direction, but, </w:t>
      </w:r>
      <w:r>
        <w:rPr>
          <w:rFonts w:eastAsia="Times New Roman" w:cs="Times New Roman" w:ascii="Times New Roman" w:hAnsi="Times New Roman"/>
          <w:b/>
          <w:color w:val="073763"/>
        </w:rPr>
        <w:t xml:space="preserve">in my opinion, it is insufficiently demonstrated </w:t>
      </w:r>
      <w:r>
        <w:rPr>
          <w:rFonts w:eastAsia="Times New Roman" w:cs="Times New Roman" w:ascii="Times New Roman" w:hAnsi="Times New Roman"/>
          <w:color w:val="073763"/>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pPr>
        <w:pStyle w:val="Normal"/>
        <w:spacing w:before="288" w:after="0"/>
        <w:ind w:left="696" w:right="-33" w:hanging="0"/>
        <w:jc w:val="both"/>
        <w:rPr/>
      </w:pPr>
      <w:r>
        <w:rPr>
          <w:rFonts w:eastAsia="Times New Roman" w:cs="Times New Roman" w:ascii="Times New Roman" w:hAnsi="Times New Roman"/>
        </w:rPr>
        <w:t>We strongly disagree with this the reasoning behind ths statement. One cannot validate a conceptual framework by comparing it with older, less biologically meaningful, less powerful previous one. Baird et al. 2012 developed in details the improvement of this conceptual framework over the older ones (non meaningful and arbitrarily defined categorisation of hybrids vs. parental, developed in length is Baird et al. 2012 “Finally, it should be noted that the definition of a hybrid varies across these studies. A hybrid index (</w:t>
      </w:r>
      <w:r>
        <w:rPr>
          <w:rFonts w:eastAsia="Times New Roman" w:cs="Times New Roman" w:ascii="Times New Roman" w:hAnsi="Times New Roman"/>
          <w:i/>
        </w:rPr>
        <w:t>HI</w:t>
      </w:r>
      <w:r>
        <w:rPr>
          <w:rFonts w:eastAsia="Times New Roman" w:cs="Times New Roman" w:ascii="Times New Roman" w:hAnsi="Times New Roman"/>
        </w:rPr>
        <w:t xml:space="preserve">) can be used to place any mouse on a linear scale from </w:t>
      </w:r>
      <w:r>
        <w:rPr>
          <w:rFonts w:eastAsia="Times New Roman" w:cs="Times New Roman" w:ascii="Times New Roman" w:hAnsi="Times New Roman"/>
          <w:i/>
        </w:rPr>
        <w:t>musculus</w:t>
      </w:r>
      <w:r>
        <w:rPr>
          <w:rFonts w:eastAsia="Times New Roman" w:cs="Times New Roman" w:ascii="Times New Roman" w:hAnsi="Times New Roman"/>
        </w:rPr>
        <w:t xml:space="preserve"> to </w:t>
      </w:r>
      <w:r>
        <w:rPr>
          <w:rFonts w:eastAsia="Times New Roman" w:cs="Times New Roman" w:ascii="Times New Roman" w:hAnsi="Times New Roman"/>
          <w:i/>
        </w:rPr>
        <w:t>domesticus</w:t>
      </w:r>
      <w:r>
        <w:rPr>
          <w:rFonts w:eastAsia="Times New Roman" w:cs="Times New Roman" w:ascii="Times New Roman" w:hAnsi="Times New Roman"/>
        </w:rPr>
        <w:t xml:space="preserve">depending on the count of </w:t>
      </w:r>
      <w:r>
        <w:rPr>
          <w:rFonts w:eastAsia="Times New Roman" w:cs="Times New Roman" w:ascii="Times New Roman" w:hAnsi="Times New Roman"/>
          <w:i/>
        </w:rPr>
        <w:t>domesticus</w:t>
      </w:r>
      <w:r>
        <w:rPr>
          <w:rFonts w:eastAsia="Times New Roman" w:cs="Times New Roman" w:ascii="Times New Roman" w:hAnsi="Times New Roman"/>
        </w:rPr>
        <w:t xml:space="preserve"> alleles at assayed loci. </w:t>
      </w:r>
      <w:r>
        <w:fldChar w:fldCharType="begin"/>
      </w:r>
      <w:r>
        <w:rPr>
          <w:rStyle w:val="ListLabel38"/>
          <w:rFonts w:eastAsia="Arial"/>
        </w:rPr>
        <w:instrText> HYPERLINK "https://onlinelibrary.wiley.com/doi/full/10.1111/j.1558-5646.2012.01633.x" \l "b61"</w:instrText>
      </w:r>
      <w:r>
        <w:rPr>
          <w:rStyle w:val="ListLabel38"/>
          <w:rFonts w:eastAsia="Arial"/>
        </w:rPr>
        <w:fldChar w:fldCharType="separate"/>
      </w:r>
      <w:r>
        <w:rPr>
          <w:rStyle w:val="ListLabel38"/>
          <w:rFonts w:eastAsia="Arial"/>
        </w:rPr>
        <w:t>Sage et al. (1986a)</w:t>
      </w:r>
      <w:r>
        <w:rPr>
          <w:rStyle w:val="ListLabel38"/>
          <w:rFonts w:eastAsia="Arial"/>
        </w:rPr>
        <w:fldChar w:fldCharType="end"/>
      </w:r>
      <w:r>
        <w:rPr>
          <w:rFonts w:eastAsia="Times New Roman" w:cs="Times New Roman" w:ascii="Times New Roman" w:hAnsi="Times New Roman"/>
        </w:rPr>
        <w:t xml:space="preserve"> and </w:t>
      </w:r>
      <w:r>
        <w:fldChar w:fldCharType="begin"/>
      </w:r>
      <w:r>
        <w:rPr>
          <w:rStyle w:val="ListLabel38"/>
          <w:rFonts w:eastAsia="Arial"/>
        </w:rPr>
        <w:instrText> HYPERLINK "https://onlinelibrary.wiley.com/doi/full/10.1111/j.1558-5646.2012.01633.x" \l "b42"</w:instrText>
      </w:r>
      <w:r>
        <w:rPr>
          <w:rStyle w:val="ListLabel38"/>
          <w:rFonts w:eastAsia="Arial"/>
        </w:rPr>
        <w:fldChar w:fldCharType="separate"/>
      </w:r>
      <w:r>
        <w:rPr>
          <w:rStyle w:val="ListLabel38"/>
          <w:rFonts w:eastAsia="Arial"/>
        </w:rPr>
        <w:t>Moulia et al. (1991)</w:t>
      </w:r>
      <w:r>
        <w:rPr>
          <w:rStyle w:val="ListLabel38"/>
          <w:rFonts w:eastAsia="Arial"/>
        </w:rPr>
        <w:fldChar w:fldCharType="end"/>
      </w:r>
      <w:r>
        <w:rPr>
          <w:rFonts w:eastAsia="Times New Roman" w:cs="Times New Roman" w:ascii="Times New Roman" w:hAnsi="Times New Roman"/>
        </w:rPr>
        <w:t xml:space="preserve"> assayed respectively four and 10 enzyme loci for this purpose. However, the interval “hybrids” occupy on this scale differs from study to study. Expressing the </w:t>
      </w:r>
      <w:r>
        <w:rPr>
          <w:rFonts w:eastAsia="Times New Roman" w:cs="Times New Roman" w:ascii="Times New Roman" w:hAnsi="Times New Roman"/>
          <w:i/>
        </w:rPr>
        <w:t>HI</w:t>
      </w:r>
      <w:r>
        <w:rPr>
          <w:rFonts w:eastAsia="Times New Roman" w:cs="Times New Roman" w:ascii="Times New Roman" w:hAnsi="Times New Roman"/>
        </w:rPr>
        <w:t xml:space="preserve"> as percentage </w:t>
      </w:r>
      <w:r>
        <w:rPr>
          <w:rFonts w:eastAsia="Times New Roman" w:cs="Times New Roman" w:ascii="Times New Roman" w:hAnsi="Times New Roman"/>
          <w:i/>
        </w:rPr>
        <w:t>domesticus</w:t>
      </w:r>
      <w:r>
        <w:rPr>
          <w:rFonts w:eastAsia="Times New Roman" w:cs="Times New Roman" w:ascii="Times New Roman" w:hAnsi="Times New Roman"/>
        </w:rPr>
        <w:t xml:space="preserve">, “hybrids” have 12.5% &lt; </w:t>
      </w:r>
      <w:r>
        <w:rPr>
          <w:rFonts w:eastAsia="Times New Roman" w:cs="Times New Roman" w:ascii="Times New Roman" w:hAnsi="Times New Roman"/>
          <w:i/>
        </w:rPr>
        <w:t>HI</w:t>
      </w:r>
      <w:r>
        <w:rPr>
          <w:rFonts w:eastAsia="Times New Roman" w:cs="Times New Roman" w:ascii="Times New Roman" w:hAnsi="Times New Roman"/>
        </w:rPr>
        <w:t xml:space="preserve"> &lt; 87.5% in </w:t>
      </w:r>
      <w:r>
        <w:fldChar w:fldCharType="begin"/>
      </w:r>
      <w:r>
        <w:rPr>
          <w:rStyle w:val="ListLabel38"/>
          <w:rFonts w:eastAsia="Arial"/>
        </w:rPr>
        <w:instrText> HYPERLINK "https://onlinelibrary.wiley.com/doi/full/10.1111/j.1558-5646.2012.01633.x" \l "b61"</w:instrText>
      </w:r>
      <w:r>
        <w:rPr>
          <w:rStyle w:val="ListLabel38"/>
          <w:rFonts w:eastAsia="Arial"/>
        </w:rPr>
        <w:fldChar w:fldCharType="separate"/>
      </w:r>
      <w:r>
        <w:rPr>
          <w:rStyle w:val="ListLabel38"/>
          <w:rFonts w:eastAsia="Arial"/>
        </w:rPr>
        <w:t>Sage et al. (1986a</w:t>
      </w:r>
      <w:r>
        <w:rPr>
          <w:rStyle w:val="ListLabel38"/>
          <w:rFonts w:eastAsia="Arial"/>
        </w:rPr>
        <w:fldChar w:fldCharType="end"/>
      </w:r>
      <w:r>
        <w:rPr>
          <w:rFonts w:eastAsia="Times New Roman" w:cs="Times New Roman" w:ascii="Times New Roman" w:hAnsi="Times New Roman"/>
        </w:rPr>
        <w:t xml:space="preserve">), 20% &lt; </w:t>
      </w:r>
      <w:r>
        <w:rPr>
          <w:rFonts w:eastAsia="Times New Roman" w:cs="Times New Roman" w:ascii="Times New Roman" w:hAnsi="Times New Roman"/>
          <w:i/>
        </w:rPr>
        <w:t>HI</w:t>
      </w:r>
      <w:r>
        <w:rPr>
          <w:rFonts w:eastAsia="Times New Roman" w:cs="Times New Roman" w:ascii="Times New Roman" w:hAnsi="Times New Roman"/>
        </w:rPr>
        <w:t xml:space="preserve"> &lt; 60% in </w:t>
      </w:r>
      <w:r>
        <w:fldChar w:fldCharType="begin"/>
      </w:r>
      <w:r>
        <w:rPr>
          <w:rStyle w:val="ListLabel38"/>
          <w:rFonts w:eastAsia="Arial"/>
        </w:rPr>
        <w:instrText> HYPERLINK "https://onlinelibrary.wiley.com/doi/full/10.1111/j.1558-5646.2012.01633.x" \l "b42"</w:instrText>
      </w:r>
      <w:r>
        <w:rPr>
          <w:rStyle w:val="ListLabel38"/>
          <w:rFonts w:eastAsia="Arial"/>
        </w:rPr>
        <w:fldChar w:fldCharType="separate"/>
      </w:r>
      <w:r>
        <w:rPr>
          <w:rStyle w:val="ListLabel38"/>
          <w:rFonts w:eastAsia="Arial"/>
        </w:rPr>
        <w:t>Moulia et al. (1991)</w:t>
      </w:r>
      <w:r>
        <w:rPr>
          <w:rStyle w:val="ListLabel38"/>
          <w:rFonts w:eastAsia="Arial"/>
        </w:rPr>
        <w:fldChar w:fldCharType="end"/>
      </w:r>
      <w:r>
        <w:rPr>
          <w:rFonts w:eastAsia="Times New Roman" w:cs="Times New Roman" w:ascii="Times New Roman" w:hAnsi="Times New Roman"/>
        </w:rPr>
        <w:t xml:space="preserve">, and 2% &lt; </w:t>
      </w:r>
      <w:r>
        <w:rPr>
          <w:rFonts w:eastAsia="Times New Roman" w:cs="Times New Roman" w:ascii="Times New Roman" w:hAnsi="Times New Roman"/>
          <w:i/>
        </w:rPr>
        <w:t>HI</w:t>
      </w:r>
      <w:r>
        <w:rPr>
          <w:rFonts w:eastAsia="Times New Roman" w:cs="Times New Roman" w:ascii="Times New Roman" w:hAnsi="Times New Roman"/>
        </w:rPr>
        <w:t xml:space="preserve"> &lt; 97% in </w:t>
      </w:r>
      <w:r>
        <w:fldChar w:fldCharType="begin"/>
      </w:r>
      <w:r>
        <w:rPr>
          <w:rStyle w:val="ListLabel38"/>
          <w:rFonts w:eastAsia="Arial"/>
        </w:rPr>
        <w:instrText> HYPERLINK "https://onlinelibrary.wiley.com/doi/full/10.1111/j.1558-5646.2012.01633.x" \l "b43"</w:instrText>
      </w:r>
      <w:r>
        <w:rPr>
          <w:rStyle w:val="ListLabel38"/>
          <w:rFonts w:eastAsia="Arial"/>
        </w:rPr>
        <w:fldChar w:fldCharType="separate"/>
      </w:r>
      <w:r>
        <w:rPr>
          <w:rStyle w:val="ListLabel38"/>
          <w:rFonts w:eastAsia="Arial"/>
        </w:rPr>
        <w:t>Moulia et al. (1993)</w:t>
      </w:r>
      <w:r>
        <w:rPr>
          <w:rStyle w:val="ListLabel38"/>
          <w:rFonts w:eastAsia="Arial"/>
        </w:rPr>
        <w:fldChar w:fldCharType="end"/>
      </w:r>
      <w:r>
        <w:rPr>
          <w:rFonts w:eastAsia="Times New Roman" w:cs="Times New Roman" w:ascii="Times New Roman" w:hAnsi="Times New Roman"/>
        </w:rPr>
        <w:t xml:space="preserve">.”). </w:t>
      </w:r>
    </w:p>
    <w:p>
      <w:pPr>
        <w:pStyle w:val="Normal"/>
        <w:spacing w:before="288" w:after="0"/>
        <w:ind w:left="696" w:right="-33" w:hanging="0"/>
        <w:jc w:val="both"/>
        <w:rPr/>
      </w:pPr>
      <w:r>
        <w:rPr>
          <w:rFonts w:eastAsia="Times New Roman" w:cs="Times New Roman" w:ascii="Times New Roman" w:hAnsi="Times New Roman"/>
        </w:rPr>
        <w:t xml:space="preserve">Adding analysis in categories would not validate our approach, but misguide readers seemingly validating an inappropriate approach.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C29. </w:t>
      </w:r>
      <w:r>
        <w:rPr>
          <w:rFonts w:eastAsia="Times New Roman" w:cs="Times New Roman" w:ascii="Times New Roman" w:hAnsi="Times New Roman"/>
          <w:color w:val="073763"/>
        </w:rPr>
        <w:t xml:space="preserve">Line 213: “which was confirmed for helminth </w:t>
      </w:r>
      <w:r>
        <w:rPr>
          <w:rFonts w:eastAsia="Times New Roman" w:cs="Times New Roman" w:ascii="Times New Roman" w:hAnsi="Times New Roman"/>
          <w:b/>
          <w:color w:val="073763"/>
        </w:rPr>
        <w:t xml:space="preserve">in the HZ </w:t>
      </w:r>
      <w:r>
        <w:rPr>
          <w:rFonts w:eastAsia="Times New Roman" w:cs="Times New Roman" w:ascii="Times New Roman" w:hAnsi="Times New Roman"/>
          <w:color w:val="073763"/>
        </w:rPr>
        <w:t xml:space="preserve">( Baird et al., 2012)”. </w:t>
      </w:r>
      <w:r>
        <w:rPr>
          <w:rFonts w:eastAsia="Times New Roman" w:cs="Times New Roman" w:ascii="Times New Roman" w:hAnsi="Times New Roman"/>
          <w:b/>
          <w:color w:val="073763"/>
        </w:rPr>
        <w:t>Insufficient reference</w:t>
      </w:r>
      <w:r>
        <w:rPr>
          <w:rFonts w:eastAsia="Times New Roman" w:cs="Times New Roman" w:ascii="Times New Roman" w:hAnsi="Times New Roman"/>
          <w:color w:val="073763"/>
        </w:rPr>
        <w:t xml:space="preserve">. Binomial negative is known as relevant distribution for helminths in all kind of host populations (and not only helminths) many previous works and years ago!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color w:val="073763"/>
        </w:rPr>
        <w:tab/>
      </w:r>
      <w:r>
        <w:rPr>
          <w:rFonts w:eastAsia="Times New Roman" w:cs="Times New Roman" w:ascii="Times New Roman" w:hAnsi="Times New Roman"/>
        </w:rPr>
        <w:t>We agree, and added “in a previous transect” in the original sentence (line 226 new). More citations were already given at the beginning of the sentence (“The negative binomial distribution should perform well for macroparasite counts (Crofton, 1971; Shaw &amp; Dobson, 1995),[...]”)  (orig. line 213).</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C30. </w:t>
      </w:r>
      <w:r>
        <w:rPr>
          <w:rFonts w:eastAsia="Times New Roman" w:cs="Times New Roman" w:ascii="Times New Roman" w:hAnsi="Times New Roman"/>
          <w:color w:val="073763"/>
        </w:rPr>
        <w:t xml:space="preserve">Lines 214-215: </w:t>
      </w:r>
      <w:r>
        <w:rPr>
          <w:rFonts w:eastAsia="Times New Roman" w:cs="Times New Roman" w:ascii="Times New Roman" w:hAnsi="Times New Roman"/>
          <w:b/>
          <w:color w:val="073763"/>
        </w:rPr>
        <w:t>incomplete</w:t>
      </w:r>
      <w:r>
        <w:rPr>
          <w:rFonts w:eastAsia="Times New Roman" w:cs="Times New Roman" w:ascii="Times New Roman" w:hAnsi="Times New Roman"/>
          <w:color w:val="073763"/>
        </w:rPr>
        <w:t xml:space="preserve">. Argue for Weibull Distribution. It is often regarded as a very flexible law, being able to approximate an great diversity of probability distributions. Is this choice reflect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pPr>
        <w:pStyle w:val="Normal"/>
        <w:spacing w:before="288" w:after="0"/>
        <w:ind w:left="696" w:right="-28" w:hanging="0"/>
        <w:jc w:val="both"/>
        <w:rPr/>
      </w:pPr>
      <w:r>
        <w:rPr>
          <w:rFonts w:eastAsia="Times New Roman" w:cs="Times New Roman" w:ascii="Times New Roman" w:hAnsi="Times New Roman"/>
        </w:rPr>
        <w:t>We tested our choice of distributions as written lines 209-212 (“Adequate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We added the corresponding plots for clarity as supplementary material (</w:t>
      </w:r>
      <w:r>
        <w:rPr>
          <w:rFonts w:eastAsia="Times New Roman" w:cs="Times New Roman" w:ascii="Times New Roman" w:hAnsi="Times New Roman"/>
          <w:b/>
        </w:rPr>
        <w:t>Supplementary Figure S4</w:t>
      </w:r>
      <w:r>
        <w:rPr>
          <w:rFonts w:eastAsia="Times New Roman" w:cs="Times New Roman" w:ascii="Times New Roman" w:hAnsi="Times New Roman"/>
        </w:rPr>
        <w:t>).</w:t>
      </w:r>
    </w:p>
    <w:p>
      <w:pPr>
        <w:pStyle w:val="Normal"/>
        <w:spacing w:lineRule="auto" w:line="240" w:before="288" w:after="0"/>
        <w:ind w:left="696" w:right="-28" w:hanging="0"/>
        <w:jc w:val="both"/>
        <w:rPr/>
      </w:pPr>
      <w:r>
        <w:rPr>
          <w:rFonts w:eastAsia="Times New Roman" w:cs="Times New Roman" w:ascii="Times New Roman" w:hAnsi="Times New Roman"/>
        </w:rPr>
        <w:t>The value of 7.14 is biologically meaningless and confuse the reader, it’s just the best value that maximise the likelihood &amp; allows positive values, so we modified as follow: “In the case of ΔCt</w:t>
      </w:r>
      <w:r>
        <w:rPr>
          <w:rFonts w:eastAsia="Times New Roman" w:cs="Times New Roman" w:ascii="Times New Roman" w:hAnsi="Times New Roman"/>
          <w:vertAlign w:val="subscript"/>
        </w:rPr>
        <w:t>Mouse</w:t>
      </w:r>
      <w:r>
        <w:rPr>
          <w:rFonts w:eastAsia="Gungsuh" w:cs="Gungsuh" w:ascii="Gungsuh" w:hAnsi="Gungsuh"/>
          <w:i/>
          <w:vertAlign w:val="subscript"/>
        </w:rPr>
        <w:t>−</w:t>
      </w:r>
      <w:r>
        <w:rPr>
          <w:rFonts w:eastAsia="Times New Roman" w:cs="Times New Roman" w:ascii="Times New Roman" w:hAnsi="Times New Roman"/>
          <w:vertAlign w:val="subscript"/>
        </w:rPr>
        <w:t>Eimeria</w:t>
      </w:r>
      <w:r>
        <w:rPr>
          <w:rFonts w:eastAsia="Times New Roman" w:cs="Times New Roman" w:ascii="Times New Roman" w:hAnsi="Times New Roman"/>
        </w:rPr>
        <w:t xml:space="preserve">, the Weibull distribution requires positive values as input. Therefore, we estimated an extra “shift parameter” which was optimized by maximum likelihood..” (lines 273-275 new). </w:t>
      </w:r>
    </w:p>
    <w:p>
      <w:pPr>
        <w:pStyle w:val="Normal"/>
        <w:spacing w:lineRule="auto" w:line="240"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C31. </w:t>
      </w:r>
      <w:r>
        <w:rPr>
          <w:rFonts w:eastAsia="Times New Roman" w:cs="Times New Roman" w:ascii="Times New Roman" w:hAnsi="Times New Roman"/>
          <w:color w:val="073763"/>
        </w:rPr>
        <w:t xml:space="preserve">Lines 230 -251. correlating body condition (based on Body Weight) with health status. </w:t>
      </w:r>
      <w:r>
        <w:rPr>
          <w:rFonts w:eastAsia="Times New Roman" w:cs="Times New Roman" w:ascii="Times New Roman" w:hAnsi="Times New Roman"/>
          <w:b/>
          <w:color w:val="073763"/>
        </w:rPr>
        <w:t>No argument is given to support these data as indicator of fitness with or without parasite</w:t>
      </w:r>
      <w:r>
        <w:rPr>
          <w:rFonts w:eastAsia="Times New Roman" w:cs="Times New Roman" w:ascii="Times New Roman" w:hAnsi="Times New Roman"/>
          <w:color w:val="073763"/>
        </w:rPr>
        <w:t>. Moreover, literature is divided about the relevance of BC to estimate heath state and/or parasite impact on host fitness (see few non-exhaustive examples I have in my personal bibliography: for: in the field : caribous - Hughes et al, 2009 - ; against or with restriction (especially in mice!) see here</w:t>
      </w:r>
      <w:r>
        <w:rPr>
          <w:rFonts w:eastAsia="Times New Roman" w:cs="Times New Roman" w:ascii="Times New Roman" w:hAnsi="Times New Roman"/>
          <w:color w:val="073763"/>
          <w:sz w:val="23"/>
          <w:szCs w:val="23"/>
          <w:vertAlign w:val="superscript"/>
        </w:rPr>
        <w:t>1</w:t>
      </w:r>
      <w:r>
        <w:rPr>
          <w:rFonts w:eastAsia="Times New Roman" w:cs="Times New Roman" w:ascii="Times New Roman" w:hAnsi="Times New Roman"/>
          <w:color w:val="073763"/>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eastAsia="Times New Roman" w:cs="Times New Roman" w:ascii="Times New Roman" w:hAnsi="Times New Roman"/>
          <w:b/>
          <w:color w:val="073763"/>
        </w:rPr>
        <w:t xml:space="preserve">To conclude, I recommend the reading of Wilder et al. 2016. </w:t>
      </w:r>
      <w:r>
        <w:rPr>
          <w:rFonts w:eastAsia="Times New Roman" w:cs="Times New Roman" w:ascii="Times New Roman" w:hAnsi="Times New Roman"/>
          <w:color w:val="073763"/>
        </w:rPr>
        <w:t xml:space="preserve">Functional Ecology 30, 108–115 to question the relevance of BC parameter. Clearly, I am not convinced that this data reflects the health status under infection or not. At least, I would have appreciate the authors develop some arguments! See further comments on pathogeny , parasite cost/ host fitness and induced mortality </w:t>
      </w:r>
    </w:p>
    <w:p>
      <w:pPr>
        <w:pStyle w:val="Normal"/>
        <w:spacing w:before="288" w:after="0"/>
        <w:ind w:left="-24" w:right="-28" w:hanging="0"/>
        <w:jc w:val="both"/>
        <w:rPr>
          <w:rFonts w:ascii="Times New Roman" w:hAnsi="Times New Roman" w:eastAsia="Times New Roman" w:cs="Times New Roman"/>
          <w:b/>
          <w:b/>
          <w:color w:val="073763"/>
          <w:sz w:val="19"/>
          <w:szCs w:val="19"/>
        </w:rPr>
      </w:pPr>
      <w:r>
        <w:rPr>
          <w:rFonts w:eastAsia="Times New Roman" w:cs="Times New Roman" w:ascii="Times New Roman" w:hAnsi="Times New Roman"/>
          <w:color w:val="073763"/>
          <w:sz w:val="12"/>
          <w:szCs w:val="12"/>
        </w:rPr>
        <w:t xml:space="preserve">1 </w:t>
      </w:r>
      <w:r>
        <w:rPr>
          <w:rFonts w:eastAsia="Times New Roman" w:cs="Times New Roman" w:ascii="Times New Roman" w:hAnsi="Times New Roman"/>
          <w:color w:val="073763"/>
          <w:sz w:val="33"/>
          <w:szCs w:val="33"/>
          <w:vertAlign w:val="subscript"/>
        </w:rPr>
        <w:t xml:space="preserve">Ullman-Culleré and Foltz. 1999. Laboratory Animal Science. Difference in Relevance of BW to assess the health </w:t>
      </w:r>
      <w:r>
        <w:rPr>
          <w:rFonts w:eastAsia="Times New Roman" w:cs="Times New Roman" w:ascii="Times New Roman" w:hAnsi="Times New Roman"/>
          <w:color w:val="073763"/>
          <w:sz w:val="19"/>
          <w:szCs w:val="19"/>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Goodpaster and al. The Journals of Gerontology: Series A, Volume 61, Issue 10, October 2006, Pages 1059–1064) </w:t>
      </w:r>
      <w:r>
        <w:rPr>
          <w:rFonts w:eastAsia="Times New Roman" w:cs="Times New Roman" w:ascii="Times New Roman" w:hAnsi="Times New Roman"/>
          <w:b/>
          <w:color w:val="073763"/>
          <w:sz w:val="19"/>
          <w:szCs w:val="19"/>
        </w:rPr>
        <w:t xml:space="preserve">How is differences of age in BC taken into account in this very study? </w:t>
      </w:r>
    </w:p>
    <w:p>
      <w:pPr>
        <w:pStyle w:val="Normal"/>
        <w:spacing w:before="288" w:after="0"/>
        <w:ind w:left="696" w:right="-28" w:hanging="0"/>
        <w:jc w:val="both"/>
        <w:rPr/>
      </w:pPr>
      <w:r>
        <w:rPr>
          <w:rFonts w:eastAsia="Times New Roman" w:cs="Times New Roman" w:ascii="Times New Roman" w:hAnsi="Times New Roman"/>
        </w:rPr>
        <w:t xml:space="preserve">This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We are aware that this could reflect an actual similarity of health over the hybrid zone, or the incapacity of our proxy to detect significant difference, and don’t claim otherwise. We have the strong opinion that the absence of an effect on health should be the null hypothesis.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C32. </w:t>
      </w:r>
      <w:r>
        <w:rPr>
          <w:rFonts w:eastAsia="Times New Roman" w:cs="Times New Roman" w:ascii="Times New Roman" w:hAnsi="Times New Roman"/>
          <w:color w:val="073763"/>
        </w:rPr>
        <w:t xml:space="preserve">Lines 232-233: </w:t>
      </w:r>
      <w:r>
        <w:rPr>
          <w:rFonts w:eastAsia="Times New Roman" w:cs="Times New Roman" w:ascii="Times New Roman" w:hAnsi="Times New Roman"/>
          <w:b/>
          <w:color w:val="073763"/>
        </w:rPr>
        <w:t>Lake of references</w:t>
      </w:r>
      <w:r>
        <w:rPr>
          <w:rFonts w:eastAsia="Times New Roman" w:cs="Times New Roman" w:ascii="Times New Roman" w:hAnsi="Times New Roman"/>
          <w:color w:val="073763"/>
        </w:rPr>
        <w:t xml:space="preserve">! At least validate the use of the residue with some previous references. Perhaps Jacobs et al. 1996. OIKOS 77: 61-67?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See orig. line 235-236 (“Individuals with a positive residual were considered in better condition than individuals with a negative one, as this index correlates with variation in fat, water, and lean dry mass (Schulte-Hostedde, Zinner, Millar, &amp; Hickling, 2005)”).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C33. </w:t>
      </w:r>
      <w:r>
        <w:rPr>
          <w:rFonts w:eastAsia="Times New Roman" w:cs="Times New Roman" w:ascii="Times New Roman" w:hAnsi="Times New Roman"/>
          <w:color w:val="073763"/>
        </w:rPr>
        <w:t xml:space="preserve">Lines 260 -270: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1/ in this part we understand that sampling of mice studied for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and pinworm infections have not been completely identical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 384 mice sampled in 2016 and 2017; Pinworms: Between 2014 and 2017, 585 mice ...). </w:t>
      </w:r>
      <w:r>
        <w:rPr>
          <w:rFonts w:eastAsia="Times New Roman" w:cs="Times New Roman" w:ascii="Times New Roman" w:hAnsi="Times New Roman"/>
          <w:b/>
          <w:color w:val="073763"/>
        </w:rPr>
        <w:t xml:space="preserve">This must be explained before </w:t>
      </w:r>
      <w:r>
        <w:rPr>
          <w:rFonts w:eastAsia="Times New Roman" w:cs="Times New Roman" w:ascii="Times New Roman" w:hAnsi="Times New Roman"/>
          <w:color w:val="073763"/>
        </w:rPr>
        <w:t xml:space="preserve">in M&amp;M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 xml:space="preserve">C16. </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2/See specific comments on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The 3 species </w:t>
      </w:r>
      <w:r>
        <w:rPr>
          <w:rFonts w:eastAsia="Times New Roman" w:cs="Times New Roman" w:ascii="Times New Roman" w:hAnsi="Times New Roman"/>
          <w:b/>
          <w:color w:val="073763"/>
        </w:rPr>
        <w:t xml:space="preserve">are pooled </w:t>
      </w:r>
      <w:r>
        <w:rPr>
          <w:rFonts w:eastAsia="Times New Roman" w:cs="Times New Roman" w:ascii="Times New Roman" w:hAnsi="Times New Roman"/>
          <w:color w:val="073763"/>
        </w:rPr>
        <w:t xml:space="preserve">in this result and the upcoming ones, but theirs distributions across the zone are not equal (Jarquín-Díaz et al., 2019). Only the most largely distributed species must be taken into account to be rigorous. </w:t>
      </w:r>
    </w:p>
    <w:p>
      <w:pPr>
        <w:pStyle w:val="Normal"/>
        <w:spacing w:before="288" w:after="0"/>
        <w:ind w:left="696" w:right="-33"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C9.</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3/ the author have the possibility </w:t>
      </w:r>
      <w:r>
        <w:rPr>
          <w:rFonts w:eastAsia="Times New Roman" w:cs="Times New Roman" w:ascii="Times New Roman" w:hAnsi="Times New Roman"/>
          <w:b/>
          <w:color w:val="073763"/>
        </w:rPr>
        <w:t xml:space="preserve">to investigate co-infections </w:t>
      </w:r>
      <w:r>
        <w:rPr>
          <w:rFonts w:eastAsia="Times New Roman" w:cs="Times New Roman" w:ascii="Times New Roman" w:hAnsi="Times New Roman"/>
          <w:color w:val="073763"/>
        </w:rPr>
        <w:t xml:space="preserve">but they do not. Evaluation of the susceptibility to co-infections would allow a more subtly investigation of immune abilities (partly under genetic determinisms). So how many mice share </w:t>
      </w:r>
      <w:r>
        <w:rPr>
          <w:rFonts w:eastAsia="Times New Roman" w:cs="Times New Roman" w:ascii="Times New Roman" w:hAnsi="Times New Roman"/>
          <w:i/>
          <w:color w:val="073763"/>
        </w:rPr>
        <w:t xml:space="preserve">Eimeria sp. </w:t>
      </w:r>
      <w:r>
        <w:rPr>
          <w:rFonts w:eastAsia="Times New Roman" w:cs="Times New Roman" w:ascii="Times New Roman" w:hAnsi="Times New Roman"/>
          <w:color w:val="073763"/>
        </w:rPr>
        <w:t xml:space="preserve">and pinworm infections? When comparing number (prevalence) and intensities of co-infections, are parental and hybrid mice identical? </w:t>
      </w:r>
    </w:p>
    <w:p>
      <w:pPr>
        <w:pStyle w:val="Normal"/>
        <w:spacing w:before="288" w:after="0"/>
        <w:ind w:left="696" w:right="-28" w:hanging="0"/>
        <w:jc w:val="both"/>
        <w:rPr/>
      </w:pPr>
      <w:r>
        <w:rPr>
          <w:rFonts w:eastAsia="Times New Roman" w:cs="Times New Roman" w:ascii="Times New Roman" w:hAnsi="Times New Roman"/>
        </w:rPr>
        <w:t xml:space="preserve">We agree that co-infections is a major topic of research. We have the option to investigate co-infection with 2 specific parasites. These mice carry a lot of helminths, coccidia, bacteria… So this investigation would be only a small first glimpse at potential of co-infections. We are currently working on a more complete molecular analysis of parasites and the microbiome of mice in the HMHZ, but don’t consider this in the scope of the current study. </w:t>
      </w:r>
    </w:p>
    <w:p>
      <w:pPr>
        <w:pStyle w:val="Normal"/>
        <w:spacing w:before="288" w:after="0"/>
        <w:ind w:right="-28" w:hanging="0"/>
        <w:jc w:val="both"/>
        <w:rPr/>
      </w:pPr>
      <w:r>
        <w:rPr>
          <w:rFonts w:eastAsia="Times New Roman" w:cs="Times New Roman" w:ascii="Times New Roman" w:hAnsi="Times New Roman"/>
          <w:b/>
          <w:color w:val="980000"/>
        </w:rPr>
        <w:t xml:space="preserve">C34. </w:t>
      </w:r>
      <w:r>
        <w:rPr>
          <w:rFonts w:eastAsia="Times New Roman" w:cs="Times New Roman" w:ascii="Times New Roman" w:hAnsi="Times New Roman"/>
          <w:color w:val="073763"/>
        </w:rPr>
        <w:t xml:space="preserve">Lines 271-270. This result agrees with the previous parasitological studies of the HZ. Clearly, we do not expected great variation in encounter and ecological parameters in such a limited area. </w:t>
      </w:r>
    </w:p>
    <w:p>
      <w:pPr>
        <w:pStyle w:val="Normal"/>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This was never tested with this method (logistic regression modelling prevalence) in the HMHZ</w:t>
      </w:r>
    </w:p>
    <w:p>
      <w:pPr>
        <w:pStyle w:val="Normal"/>
        <w:spacing w:lineRule="auto" w:line="24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See</w:t>
      </w:r>
      <w:r>
        <w:rPr>
          <w:rFonts w:eastAsia="Times New Roman" w:cs="Times New Roman" w:ascii="Times New Roman" w:hAnsi="Times New Roman"/>
          <w:b/>
          <w:color w:val="980000"/>
        </w:rPr>
        <w:t xml:space="preserve"> C11.</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C35. </w:t>
      </w:r>
      <w:r>
        <w:rPr>
          <w:rFonts w:eastAsia="Times New Roman" w:cs="Times New Roman" w:ascii="Times New Roman" w:hAnsi="Times New Roman"/>
          <w:color w:val="073763"/>
        </w:rPr>
        <w:t xml:space="preserve">Lines 279-287 (Results on </w:t>
      </w:r>
      <w:r>
        <w:rPr>
          <w:rFonts w:eastAsia="Times New Roman" w:cs="Times New Roman" w:ascii="Times New Roman" w:hAnsi="Times New Roman"/>
          <w:i/>
          <w:color w:val="073763"/>
        </w:rPr>
        <w:t>Eimeria</w:t>
      </w:r>
      <w:r>
        <w:rPr>
          <w:rFonts w:eastAsia="Times New Roman" w:cs="Times New Roman" w:ascii="Times New Roman" w:hAnsi="Times New Roman"/>
          <w:color w:val="073763"/>
        </w:rPr>
        <w:t xml:space="preserve">), 288-307 (results on Pinworms) and 308-318 (results on Body conditions): these results are coherent only if we agree with the protocol and the previous statements of modeling. See above comments and troubles on this subject. </w:t>
      </w:r>
    </w:p>
    <w:p>
      <w:pPr>
        <w:pStyle w:val="Normal"/>
        <w:spacing w:before="288" w:after="0"/>
        <w:ind w:left="696" w:right="-28" w:hanging="0"/>
        <w:jc w:val="both"/>
        <w:rPr/>
      </w:pPr>
      <w:r>
        <w:rPr>
          <w:rFonts w:eastAsia="Times New Roman" w:cs="Times New Roman" w:ascii="Times New Roman" w:hAnsi="Times New Roman"/>
        </w:rPr>
        <w:t xml:space="preserve">We are sure that our analysis is coherent. We hope the answers to previous comments and additions to the text allow the reviewer and the reader to come to the same conclusion.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C36. </w:t>
      </w:r>
      <w:r>
        <w:rPr>
          <w:rFonts w:eastAsia="Times New Roman" w:cs="Times New Roman" w:ascii="Times New Roman" w:hAnsi="Times New Roman"/>
          <w:color w:val="073763"/>
        </w:rPr>
        <w:t xml:space="preserve">Lines 298-307. Comparison with Baird et al. analysis. The authors do not explain why focusing on the Baird et al. ‘s alpha is sufficient/ relevant /important to justify a similarity. What does this alpha value concretely represent ( too shortly explained in M&amp;M)? Could the authors use the apha value of Baird et al. in this very study? This is too </w:t>
      </w:r>
      <w:r>
        <w:rPr>
          <w:rFonts w:eastAsia="Times New Roman" w:cs="Times New Roman" w:ascii="Times New Roman" w:hAnsi="Times New Roman"/>
          <w:b/>
          <w:color w:val="073763"/>
        </w:rPr>
        <w:t xml:space="preserve">obscure </w:t>
      </w:r>
      <w:r>
        <w:rPr>
          <w:rFonts w:eastAsia="Times New Roman" w:cs="Times New Roman" w:ascii="Times New Roman" w:hAnsi="Times New Roman"/>
          <w:color w:val="073763"/>
        </w:rPr>
        <w:t xml:space="preserve">to be validated by the reader without more arguments. See more comments on table 1. </w:t>
      </w:r>
    </w:p>
    <w:p>
      <w:pPr>
        <w:pStyle w:val="Normal"/>
        <w:spacing w:before="288" w:after="0"/>
        <w:ind w:left="696" w:right="-28" w:hanging="0"/>
        <w:jc w:val="both"/>
        <w:rPr/>
      </w:pPr>
      <w:r>
        <w:rPr>
          <w:rFonts w:eastAsia="Times New Roman" w:cs="Times New Roman" w:ascii="Times New Roman" w:hAnsi="Times New Roman"/>
        </w:rPr>
        <w:t>All occurrences of “Alpha” in our text are now explained verbatim with “hybridization effect”, we still use the shorthand in tables. We added more explanation at the first occurence: “Alpha represent the hybridization effect, or deviation from additivity between the two parental genomes. “ (lines 234-235 new)</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C37. </w:t>
      </w:r>
      <w:r>
        <w:rPr>
          <w:rFonts w:eastAsia="Times New Roman" w:cs="Times New Roman" w:ascii="Times New Roman" w:hAnsi="Times New Roman"/>
          <w:color w:val="073763"/>
        </w:rPr>
        <w:t xml:space="preserve">Lines 325-327. </w:t>
      </w:r>
      <w:r>
        <w:rPr>
          <w:rFonts w:eastAsia="Times New Roman" w:cs="Times New Roman" w:ascii="Times New Roman" w:hAnsi="Times New Roman"/>
          <w:b/>
          <w:color w:val="073763"/>
        </w:rPr>
        <w:t xml:space="preserve">Unclear. </w:t>
      </w:r>
      <w:r>
        <w:rPr>
          <w:rFonts w:eastAsia="Times New Roman" w:cs="Times New Roman" w:ascii="Times New Roman" w:hAnsi="Times New Roman"/>
          <w:color w:val="073763"/>
        </w:rPr>
        <w:t xml:space="preserve">“ House mouse hybrids are late generation in the European HMHZ (Macholán et al., 2007)” What do the author mean and want to argue with this ambigus sentence? Is the reference the good one? Why does it imply the following assertion of the authors: hybrids “should not be considered in categories, but rather on a continuous scale when analyzing parasite infections or any other trait (Baird et al., 2012)? “ The fact is undoubtedly that the HZ is a present and dynamic process of melting and indeed each mouse is a single genetic mixture, as it is more clearly expressed in the sentence 330-331. </w:t>
      </w:r>
    </w:p>
    <w:p>
      <w:pPr>
        <w:pStyle w:val="Normal"/>
        <w:spacing w:lineRule="auto" w:line="240" w:before="288" w:after="0"/>
        <w:ind w:left="696" w:right="-28" w:hanging="0"/>
        <w:jc w:val="both"/>
        <w:rPr/>
      </w:pPr>
      <w:r>
        <w:rPr>
          <w:rFonts w:eastAsia="Times New Roman" w:cs="Times New Roman" w:ascii="Times New Roman" w:hAnsi="Times New Roman"/>
        </w:rPr>
        <w:t xml:space="preserve">We developed for clarity on line 412-417 (new) as follow: “ ouse mouse hybrids in the European HMHZ are not first-generation crossings, but rather genetically complex “late generation” recombinants. This means that each of their genomes presents a complex admixture of both Mmm and Mmd ones (Macholán et al., 2007). There is no clear-cut between hybrids and parental individuals. Therefore, individuals in such systems should not be considered in categories, but rather on a continuous scale of “hybridicity” (a hybrid index) when analyzing parasite infections or any other trait (Baird et al., 2012).” This also explains our modelling approach.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C38. </w:t>
      </w:r>
      <w:r>
        <w:rPr>
          <w:rFonts w:eastAsia="Times New Roman" w:cs="Times New Roman" w:ascii="Times New Roman" w:hAnsi="Times New Roman"/>
          <w:color w:val="073763"/>
        </w:rPr>
        <w:t xml:space="preserve">Lines 331-332: “to de-confound the prevalence and intensity aspects of parasite load”. These two parasitological parameters </w:t>
      </w:r>
      <w:r>
        <w:rPr>
          <w:rFonts w:eastAsia="Times New Roman" w:cs="Times New Roman" w:ascii="Times New Roman" w:hAnsi="Times New Roman"/>
          <w:b/>
          <w:color w:val="073763"/>
        </w:rPr>
        <w:t>are clearly un-confounded and expressed quite different aspect</w:t>
      </w:r>
      <w:r>
        <w:rPr>
          <w:rFonts w:eastAsia="Times New Roman" w:cs="Times New Roman" w:ascii="Times New Roman" w:hAnsi="Times New Roman"/>
          <w:color w:val="073763"/>
        </w:rPr>
        <w:t xml:space="preserve">s of the parasite distributions. I could understand what this sentence suggested for the authors when reading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the entire document – even if I am reserved (See specific comments on” parasitological indexes approach”). However, this assertion as is, </w:t>
      </w:r>
      <w:r>
        <w:rPr>
          <w:rFonts w:eastAsia="Times New Roman" w:cs="Times New Roman" w:ascii="Times New Roman" w:hAnsi="Times New Roman"/>
          <w:b/>
          <w:color w:val="073763"/>
        </w:rPr>
        <w:t>is a misunderstanding of epidemiology and parasite ecology</w:t>
      </w:r>
      <w:r>
        <w:rPr>
          <w:rFonts w:eastAsia="Times New Roman" w:cs="Times New Roman" w:ascii="Times New Roman" w:hAnsi="Times New Roman"/>
          <w:color w:val="073763"/>
        </w:rPr>
        <w:t xml:space="preserve">. Moreover, in this very context, it is </w:t>
      </w:r>
      <w:r>
        <w:rPr>
          <w:rFonts w:eastAsia="Times New Roman" w:cs="Times New Roman" w:ascii="Times New Roman" w:hAnsi="Times New Roman"/>
          <w:b/>
          <w:color w:val="073763"/>
        </w:rPr>
        <w:t xml:space="preserve">misused. </w:t>
      </w:r>
      <w:r>
        <w:rPr>
          <w:rFonts w:eastAsia="Times New Roman" w:cs="Times New Roman" w:ascii="Times New Roman" w:hAnsi="Times New Roman"/>
          <w:color w:val="073763"/>
        </w:rPr>
        <w:t xml:space="preserve">Indeed, it does not support in any way the statistical approach on an individual index of hybridization. Each mice shows a specific response both in terms of prevalence and intensity, independently of the way its genome hybridization is quantified: specifically (as in Baird et al. and this study) or by categories (as in Moulia et al. 1991 for instance). </w:t>
      </w:r>
    </w:p>
    <w:p>
      <w:pPr>
        <w:pStyle w:val="Normal"/>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This part of the text was modified; see</w:t>
      </w:r>
      <w:r>
        <w:rPr>
          <w:rFonts w:eastAsia="Times New Roman" w:cs="Times New Roman" w:ascii="Times New Roman" w:hAnsi="Times New Roman"/>
          <w:b/>
          <w:color w:val="980000"/>
        </w:rPr>
        <w:t xml:space="preserve"> C11.</w:t>
      </w:r>
    </w:p>
    <w:p>
      <w:pPr>
        <w:pStyle w:val="Normal"/>
        <w:spacing w:before="288" w:after="0"/>
        <w:ind w:left="-24" w:right="-28" w:hanging="0"/>
        <w:jc w:val="both"/>
        <w:rPr>
          <w:rFonts w:ascii="Times New Roman" w:hAnsi="Times New Roman" w:eastAsia="Times New Roman" w:cs="Times New Roman"/>
          <w:i/>
          <w:i/>
          <w:color w:val="073763"/>
        </w:rPr>
      </w:pPr>
      <w:r>
        <w:rPr>
          <w:rFonts w:eastAsia="Times New Roman" w:cs="Times New Roman" w:ascii="Times New Roman" w:hAnsi="Times New Roman"/>
          <w:b/>
          <w:color w:val="980000"/>
        </w:rPr>
        <w:t xml:space="preserve">C39. </w:t>
      </w:r>
      <w:r>
        <w:rPr>
          <w:rFonts w:eastAsia="Times New Roman" w:cs="Times New Roman" w:ascii="Times New Roman" w:hAnsi="Times New Roman"/>
          <w:color w:val="073763"/>
        </w:rPr>
        <w:t>Lines 341-342: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is very likely </w:t>
      </w:r>
      <w:r>
        <w:rPr>
          <w:rFonts w:eastAsia="Times New Roman" w:cs="Times New Roman" w:ascii="Times New Roman" w:hAnsi="Times New Roman"/>
          <w:b/>
          <w:i/>
          <w:color w:val="073763"/>
        </w:rPr>
        <w:t xml:space="preserve">more pathogenic than pinworms </w:t>
      </w:r>
      <w:r>
        <w:rPr>
          <w:rFonts w:eastAsia="Times New Roman" w:cs="Times New Roman" w:ascii="Times New Roman" w:hAnsi="Times New Roman"/>
          <w:color w:val="073763"/>
        </w:rPr>
        <w:t xml:space="preserve">(Al-khlifeh et al., 2019; Fuller &amp; Blaustein, 1996; Hakkarainen et al., 2007)”. </w:t>
      </w:r>
      <w:r>
        <w:rPr>
          <w:rFonts w:eastAsia="Times New Roman" w:cs="Times New Roman" w:ascii="Times New Roman" w:hAnsi="Times New Roman"/>
          <w:b/>
          <w:color w:val="073763"/>
        </w:rPr>
        <w:t>Pay attention to the meaning of the sentence</w:t>
      </w:r>
      <w:r>
        <w:rPr>
          <w:rFonts w:eastAsia="Times New Roman" w:cs="Times New Roman" w:ascii="Times New Roman" w:hAnsi="Times New Roman"/>
          <w:color w:val="073763"/>
        </w:rPr>
        <w:t xml:space="preserve">. These studies </w:t>
      </w:r>
      <w:r>
        <w:rPr>
          <w:rFonts w:eastAsia="Times New Roman" w:cs="Times New Roman" w:ascii="Times New Roman" w:hAnsi="Times New Roman"/>
          <w:b/>
          <w:color w:val="073763"/>
        </w:rPr>
        <w:t xml:space="preserve">do not compare pathogeny of </w:t>
      </w:r>
      <w:r>
        <w:rPr>
          <w:rFonts w:eastAsia="Times New Roman" w:cs="Times New Roman" w:ascii="Times New Roman" w:hAnsi="Times New Roman"/>
          <w:b/>
          <w:i/>
          <w:color w:val="073763"/>
        </w:rPr>
        <w:t xml:space="preserve">Eimeria </w:t>
      </w:r>
      <w:r>
        <w:rPr>
          <w:rFonts w:eastAsia="Times New Roman" w:cs="Times New Roman" w:ascii="Times New Roman" w:hAnsi="Times New Roman"/>
          <w:b/>
          <w:color w:val="073763"/>
        </w:rPr>
        <w:t xml:space="preserve">and pinworms </w:t>
      </w:r>
      <w:r>
        <w:rPr>
          <w:rFonts w:eastAsia="Times New Roman" w:cs="Times New Roman" w:ascii="Times New Roman" w:hAnsi="Times New Roman"/>
          <w:color w:val="073763"/>
        </w:rPr>
        <w:t xml:space="preserve">but they studied the negative impact on health status (even mortality)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on various models. The authors could only write that these works argue for a strong impact of these kinds of parasites on health status. Note that Fuller &amp; Blaustein and and Hakkarainen et al. (even in a different approach) investigate host survival . This induced mortality, as well as potential induced density fluctuation during the year, have been completely neglected in this very study even in the discussion about sampling or analysis bias. See general comment on </w:t>
      </w:r>
      <w:r>
        <w:rPr>
          <w:rFonts w:eastAsia="Times New Roman" w:cs="Times New Roman" w:ascii="Times New Roman" w:hAnsi="Times New Roman"/>
          <w:i/>
          <w:color w:val="073763"/>
        </w:rPr>
        <w:t xml:space="preserve">Eimeria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C4. &amp; C6.</w:t>
      </w:r>
    </w:p>
    <w:p>
      <w:pPr>
        <w:pStyle w:val="Normal"/>
        <w:spacing w:before="288" w:after="0"/>
        <w:ind w:left="-24" w:right="-28" w:hanging="0"/>
        <w:jc w:val="both"/>
        <w:rPr>
          <w:rFonts w:ascii="Times New Roman" w:hAnsi="Times New Roman" w:eastAsia="Times New Roman" w:cs="Times New Roman"/>
        </w:rPr>
      </w:pPr>
      <w:r>
        <w:rPr>
          <w:rFonts w:eastAsia="Times New Roman" w:cs="Times New Roman" w:ascii="Times New Roman" w:hAnsi="Times New Roman"/>
          <w:b/>
          <w:color w:val="980000"/>
        </w:rPr>
        <w:t xml:space="preserve">C40/1 </w:t>
      </w:r>
      <w:r>
        <w:rPr>
          <w:rFonts w:eastAsia="Times New Roman" w:cs="Times New Roman" w:ascii="Times New Roman" w:hAnsi="Times New Roman"/>
          <w:color w:val="073763"/>
        </w:rPr>
        <w:t xml:space="preserve">Line 343: pinworms frequent in “laboratory facilities “ : not only ! See comments on lines 73-74. And “often considered to provoke subclinical symptoms (Baker, 1998)” : not only! See comment on lines 75-76. Note that Baker 1998 cleary specifies “While infections are usually subclinical, </w:t>
      </w:r>
      <w:r>
        <w:rPr>
          <w:rFonts w:eastAsia="Times New Roman" w:cs="Times New Roman" w:ascii="Times New Roman" w:hAnsi="Times New Roman"/>
          <w:b/>
          <w:color w:val="073763"/>
        </w:rPr>
        <w:t xml:space="preserve">rectal prolapse, intussusception, fecal impaction, poor weight gain, and rough coat have been reported in heavily infected rodents, although generally without adequate exclusion of other pathogens </w:t>
      </w:r>
      <w:r>
        <w:rPr>
          <w:rFonts w:eastAsia="Times New Roman" w:cs="Times New Roman" w:ascii="Times New Roman" w:hAnsi="Times New Roman"/>
          <w:color w:val="073763"/>
        </w:rPr>
        <w:t xml:space="preserve">(ref475).”Then in case of susceptibility (genetically determined or not) pinworms could then not be regarded as weakly pathogenic. </w:t>
      </w:r>
    </w:p>
    <w:p>
      <w:pPr>
        <w:pStyle w:val="Normal"/>
        <w:spacing w:lineRule="auto" w:line="240"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C4. &amp; C6.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C40/2 </w:t>
      </w:r>
      <w:r>
        <w:rPr>
          <w:rFonts w:eastAsia="Times New Roman" w:cs="Times New Roman" w:ascii="Times New Roman" w:hAnsi="Times New Roman"/>
          <w:color w:val="073763"/>
        </w:rPr>
        <w:t>Above all</w:t>
      </w:r>
      <w:r>
        <w:rPr>
          <w:rFonts w:eastAsia="Times New Roman" w:cs="Times New Roman" w:ascii="Times New Roman" w:hAnsi="Times New Roman"/>
          <w:b/>
          <w:color w:val="073763"/>
        </w:rPr>
        <w:t>, the symptomatic and medical- centered point of view that is pathogeny makes little sense in parasite ecology</w:t>
      </w:r>
      <w:r>
        <w:rPr>
          <w:rFonts w:eastAsia="Times New Roman" w:cs="Times New Roman" w:ascii="Times New Roman" w:hAnsi="Times New Roman"/>
          <w:color w:val="073763"/>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females partner, it could be less efficient to build its ness, or less efficient to feed his chicks. But pathogeny is not apperent. </w:t>
      </w:r>
      <w:r>
        <w:rPr>
          <w:rFonts w:eastAsia="Times New Roman" w:cs="Times New Roman" w:ascii="Times New Roman" w:hAnsi="Times New Roman"/>
          <w:b/>
          <w:color w:val="073763"/>
        </w:rPr>
        <w:t xml:space="preserve">Symptoms as well as pathogenic “signals” do not reflect parasite cost on host fitness. </w:t>
      </w:r>
      <w:r>
        <w:rPr>
          <w:rFonts w:eastAsia="Times New Roman" w:cs="Times New Roman" w:ascii="Times New Roman" w:hAnsi="Times New Roman"/>
          <w:color w:val="073763"/>
        </w:rPr>
        <w:t xml:space="preserve">Occurrence of resistance/ tolerance genotypes, as existing among mice from pinworms (Derothe et al. 1997), prove selective pressure and then potential costs.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C41. </w:t>
      </w:r>
      <w:r>
        <w:rPr>
          <w:rFonts w:eastAsia="Times New Roman" w:cs="Times New Roman" w:ascii="Times New Roman" w:hAnsi="Times New Roman"/>
          <w:color w:val="073763"/>
        </w:rPr>
        <w:t>Lines 346-359 :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(Moulia et al., Derothe et al.). This field study (i.e. on uncontrolled population sampling) can only bring a new argument if we consider analysis of the prevalence of parasites across the zone. But this is an argument, not a demonstration.</w:t>
      </w:r>
    </w:p>
    <w:p>
      <w:pPr>
        <w:pStyle w:val="Normal"/>
        <w:spacing w:before="288" w:after="0"/>
        <w:ind w:left="696" w:right="-28" w:hanging="0"/>
        <w:jc w:val="both"/>
        <w:rPr/>
      </w:pPr>
      <w:r>
        <w:rPr>
          <w:rFonts w:eastAsia="Times New Roman" w:cs="Times New Roman" w:ascii="Times New Roman" w:hAnsi="Times New Roman"/>
        </w:rPr>
        <w:t>No field study can ever be perfectly controlled by definition, while no lab study can ever claim to represent natural diversity. We therefore consider that a first field study on two very different parasites, showing the same pattern of hybrid resistance, should discuss this interesting finding. Moreover, our study’s main characteristic is exactly to considers the “</w:t>
      </w:r>
      <w:r>
        <w:rPr>
          <w:rFonts w:eastAsia="Times New Roman" w:cs="Times New Roman" w:ascii="Times New Roman" w:hAnsi="Times New Roman"/>
          <w:color w:val="073763"/>
        </w:rPr>
        <w:t>analysis of the prevalence of parasites across the zone”.</w:t>
      </w:r>
      <w:r>
        <w:rPr>
          <w:rFonts w:eastAsia="Times New Roman" w:cs="Times New Roman" w:ascii="Times New Roman" w:hAnsi="Times New Roman"/>
          <w:b/>
          <w:color w:val="073763"/>
        </w:rPr>
        <w:t xml:space="preserve"> </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C42. </w:t>
      </w:r>
      <w:r>
        <w:rPr>
          <w:rFonts w:eastAsia="Times New Roman" w:cs="Times New Roman" w:ascii="Times New Roman" w:hAnsi="Times New Roman"/>
          <w:color w:val="073763"/>
        </w:rPr>
        <w:t xml:space="preserve">Lines 360 – 361 . “a novel aspect of our work compared to previous studies of parasitism in the HMHZ is the separate study of parasite prevalence and intensity”. Pay attention. The previous field studies took into account </w:t>
      </w:r>
      <w:r>
        <w:rPr>
          <w:rFonts w:eastAsia="Times New Roman" w:cs="Times New Roman" w:ascii="Times New Roman" w:hAnsi="Times New Roman"/>
          <w:b/>
          <w:color w:val="073763"/>
        </w:rPr>
        <w:t>abundance</w:t>
      </w:r>
      <w:r>
        <w:rPr>
          <w:rFonts w:eastAsia="Times New Roman" w:cs="Times New Roman" w:ascii="Times New Roman" w:hAnsi="Times New Roman"/>
          <w:color w:val="073763"/>
        </w:rPr>
        <w:t xml:space="preserve">, which is not a mix of intensity and prevalence </w:t>
      </w:r>
      <w:r>
        <w:rPr>
          <w:rFonts w:eastAsia="Times New Roman" w:cs="Times New Roman" w:ascii="Times New Roman" w:hAnsi="Times New Roman"/>
          <w:i/>
          <w:color w:val="073763"/>
        </w:rPr>
        <w:t>sensu stricto</w:t>
      </w:r>
      <w:r>
        <w:rPr>
          <w:rFonts w:eastAsia="Times New Roman" w:cs="Times New Roman" w:ascii="Times New Roman" w:hAnsi="Times New Roman"/>
          <w:color w:val="073763"/>
        </w:rPr>
        <w:t xml:space="preserve">, but a third parasitological parameter giving another information that the two others ( “number of infested ones”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and “parasite load if infested” respectively). See specific comments on” parasitological indexes approach”. </w:t>
      </w:r>
    </w:p>
    <w:p>
      <w:pPr>
        <w:pStyle w:val="Normal"/>
        <w:spacing w:lineRule="auto" w:line="240" w:before="288" w:after="0"/>
        <w:ind w:left="696" w:right="-28" w:hanging="0"/>
        <w:jc w:val="both"/>
        <w:rPr/>
      </w:pPr>
      <w:r>
        <w:rPr>
          <w:rFonts w:eastAsia="Times New Roman" w:cs="Times New Roman" w:ascii="Times New Roman" w:hAnsi="Times New Roman"/>
        </w:rPr>
        <w:t xml:space="preserve">We agree, but we never claimed that “abundance = intensity + prevalence”. We claim that we test for the first time separately prevalence and intensity in the context of a hybrid zone. See </w:t>
      </w:r>
      <w:r>
        <w:rPr>
          <w:rFonts w:eastAsia="Times New Roman" w:cs="Times New Roman" w:ascii="Times New Roman" w:hAnsi="Times New Roman"/>
          <w:b/>
          <w:color w:val="980000"/>
        </w:rPr>
        <w:t xml:space="preserve">C11. </w:t>
      </w:r>
    </w:p>
    <w:p>
      <w:pPr>
        <w:pStyle w:val="Normal"/>
        <w:spacing w:lineRule="auto" w:line="240"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C43. </w:t>
      </w:r>
      <w:r>
        <w:rPr>
          <w:rFonts w:eastAsia="Times New Roman" w:cs="Times New Roman" w:ascii="Times New Roman" w:hAnsi="Times New Roman"/>
          <w:color w:val="073763"/>
        </w:rPr>
        <w:t xml:space="preserve">Lines 362-365: See specific comments on” parasitological indexes approach” </w:t>
      </w:r>
    </w:p>
    <w:p>
      <w:pPr>
        <w:pStyle w:val="Normal"/>
        <w:spacing w:lineRule="auto" w:line="240" w:before="288" w:after="0"/>
        <w:ind w:left="696" w:right="-28" w:hanging="0"/>
        <w:jc w:val="both"/>
        <w:rPr>
          <w:rFonts w:ascii="Times New Roman" w:hAnsi="Times New Roman" w:eastAsia="Times New Roman" w:cs="Times New Roman"/>
          <w:color w:val="073763"/>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C11</w:t>
      </w:r>
      <w:r>
        <w:rPr>
          <w:rFonts w:eastAsia="Times New Roman" w:cs="Times New Roman" w:ascii="Times New Roman" w:hAnsi="Times New Roman"/>
        </w:rPr>
        <w:t>.</w:t>
      </w:r>
    </w:p>
    <w:p>
      <w:pPr>
        <w:pStyle w:val="Normal"/>
        <w:spacing w:before="288" w:after="0"/>
        <w:ind w:left="-24" w:right="-28" w:hanging="0"/>
        <w:jc w:val="both"/>
        <w:rPr>
          <w:rFonts w:ascii="Times New Roman" w:hAnsi="Times New Roman" w:eastAsia="Times New Roman" w:cs="Times New Roman"/>
        </w:rPr>
      </w:pPr>
      <w:r>
        <w:rPr>
          <w:rFonts w:eastAsia="Times New Roman" w:cs="Times New Roman" w:ascii="Times New Roman" w:hAnsi="Times New Roman"/>
          <w:b/>
          <w:color w:val="980000"/>
        </w:rPr>
        <w:t xml:space="preserve">C44. </w:t>
      </w:r>
      <w:r>
        <w:rPr>
          <w:rFonts w:eastAsia="Times New Roman" w:cs="Times New Roman" w:ascii="Times New Roman" w:hAnsi="Times New Roman"/>
          <w:color w:val="073763"/>
        </w:rPr>
        <w:t xml:space="preserve">Line 373 : </w:t>
      </w:r>
      <w:r>
        <w:rPr>
          <w:rFonts w:eastAsia="Times New Roman" w:cs="Times New Roman" w:ascii="Times New Roman" w:hAnsi="Times New Roman"/>
          <w:b/>
          <w:color w:val="073763"/>
        </w:rPr>
        <w:t>Incomplete references and discussion</w:t>
      </w:r>
      <w:r>
        <w:rPr>
          <w:rFonts w:eastAsia="Times New Roman" w:cs="Times New Roman" w:ascii="Times New Roman" w:hAnsi="Times New Roman"/>
          <w:color w:val="073763"/>
        </w:rPr>
        <w:t xml:space="preserv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prevalence and density. The author refer to Winternitz, el al.2012, with no demonstrated effects, which results going in the same direction as their analysis. But they omit to refer to Hakkarainen et al. (cited by the author for effect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body conditions). Is it because they have opposite conclusions, as “The presence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parasites was higher in dense mainland populations than insparsely populated islands”. </w:t>
      </w:r>
    </w:p>
    <w:p>
      <w:pPr>
        <w:pStyle w:val="Normal"/>
        <w:spacing w:before="288" w:after="0"/>
        <w:ind w:left="696" w:right="-28" w:hanging="0"/>
        <w:jc w:val="both"/>
        <w:rPr/>
      </w:pPr>
      <w:r>
        <w:rPr>
          <w:rFonts w:eastAsia="Times New Roman" w:cs="Times New Roman" w:ascii="Times New Roman" w:hAnsi="Times New Roman"/>
        </w:rPr>
        <w:t>We cite Winternitz et al. 2012 to show that lower density does not necessarily correlate with increased prevalence (“This is, however, not a general law [...] Independent of the direction of the effect, correlation between abundance and prevalence could be confounded with intrinsic effects of hybrid hosts.”). For completion of the discussion we added the Hakkarainen citation.</w:t>
      </w:r>
    </w:p>
    <w:p>
      <w:pPr>
        <w:pStyle w:val="Normal"/>
        <w:spacing w:lineRule="auto" w:line="240"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373-375 “Independent of the direction of the effect (of the density on transmission) ,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eastAsia="Times New Roman" w:cs="Times New Roman" w:ascii="Times New Roman" w:hAnsi="Times New Roman"/>
          <w:b/>
          <w:color w:val="073763"/>
        </w:rPr>
        <w:t>these three indexes are linked as they reflect distributions of parasite</w:t>
      </w:r>
      <w:r>
        <w:rPr>
          <w:rFonts w:eastAsia="Times New Roman" w:cs="Times New Roman" w:ascii="Times New Roman" w:hAnsi="Times New Roman"/>
          <w:color w:val="073763"/>
        </w:rPr>
        <w:t xml:space="preserve">. Zero loads not only reflect similar transmission or density but also potential resistance and clearances ( i.e. intrinsic abilities of the host). See above comments on the origin of zero load and upcoming specific comments on” parasitological indexes approach” </w:t>
      </w:r>
    </w:p>
    <w:p>
      <w:pPr>
        <w:pStyle w:val="Normal"/>
        <w:spacing w:lineRule="auto" w:line="240" w:before="200" w:after="0"/>
        <w:ind w:left="720" w:hanging="0"/>
        <w:jc w:val="both"/>
        <w:rPr>
          <w:rFonts w:ascii="Times New Roman" w:hAnsi="Times New Roman" w:eastAsia="Times New Roman" w:cs="Times New Roman"/>
          <w:color w:val="980000"/>
        </w:rPr>
      </w:pPr>
      <w:r>
        <w:rPr>
          <w:rFonts w:eastAsia="Times New Roman" w:cs="Times New Roman" w:ascii="Times New Roman" w:hAnsi="Times New Roman"/>
        </w:rPr>
        <w:t xml:space="preserve"> </w:t>
      </w:r>
      <w:r>
        <w:rPr>
          <w:rFonts w:eastAsia="Times New Roman" w:cs="Times New Roman" w:ascii="Times New Roman" w:hAnsi="Times New Roman"/>
        </w:rPr>
        <w:t>See</w:t>
      </w:r>
      <w:r>
        <w:rPr>
          <w:rFonts w:eastAsia="Times New Roman" w:cs="Times New Roman" w:ascii="Times New Roman" w:hAnsi="Times New Roman"/>
          <w:color w:val="980000"/>
        </w:rPr>
        <w:t xml:space="preserve"> </w:t>
      </w:r>
      <w:r>
        <w:rPr>
          <w:rFonts w:eastAsia="Times New Roman" w:cs="Times New Roman" w:ascii="Times New Roman" w:hAnsi="Times New Roman"/>
          <w:b/>
          <w:color w:val="980000"/>
        </w:rPr>
        <w:t>C11.</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C45. </w:t>
      </w:r>
      <w:r>
        <w:rPr>
          <w:rFonts w:eastAsia="Times New Roman" w:cs="Times New Roman" w:ascii="Times New Roman" w:hAnsi="Times New Roman"/>
          <w:color w:val="073763"/>
        </w:rPr>
        <w:t>Lines 380 -388</w:t>
      </w:r>
      <w:r>
        <w:rPr>
          <w:rFonts w:eastAsia="Times New Roman" w:cs="Times New Roman" w:ascii="Times New Roman" w:hAnsi="Times New Roman"/>
          <w:b/>
          <w:color w:val="073763"/>
        </w:rPr>
        <w:t>: inappropriate statements for eco-evo-parasitological point of view</w:t>
      </w:r>
      <w:r>
        <w:rPr>
          <w:rFonts w:eastAsia="Times New Roman" w:cs="Times New Roman" w:ascii="Times New Roman" w:hAnsi="Times New Roman"/>
          <w:color w:val="073763"/>
        </w:rPr>
        <w:t xml:space="preserve">. See previous comments about pathogenic versus parasite costs, as well as about selection of resistance and immune mechanisms in mice with pinworms. </w:t>
      </w:r>
    </w:p>
    <w:p>
      <w:pPr>
        <w:pStyle w:val="Normal"/>
        <w:spacing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C4.&amp;C6.</w:t>
      </w:r>
    </w:p>
    <w:p>
      <w:pPr>
        <w:pStyle w:val="Normal"/>
        <w:spacing w:before="288" w:after="0"/>
        <w:ind w:right="-28" w:hanging="0"/>
        <w:jc w:val="both"/>
        <w:rPr>
          <w:rFonts w:ascii="Times New Roman" w:hAnsi="Times New Roman" w:eastAsia="Times New Roman" w:cs="Times New Roman"/>
          <w:i/>
          <w:i/>
          <w:color w:val="073763"/>
        </w:rPr>
      </w:pPr>
      <w:r>
        <w:rPr>
          <w:rFonts w:eastAsia="Times New Roman" w:cs="Times New Roman" w:ascii="Times New Roman" w:hAnsi="Times New Roman"/>
          <w:b/>
          <w:color w:val="980000"/>
        </w:rPr>
        <w:t xml:space="preserve">C46. </w:t>
      </w:r>
      <w:r>
        <w:rPr>
          <w:rFonts w:eastAsia="Times New Roman" w:cs="Times New Roman" w:ascii="Times New Roman" w:hAnsi="Times New Roman"/>
          <w:color w:val="073763"/>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eastAsia="Times New Roman" w:cs="Times New Roman" w:ascii="Times New Roman" w:hAnsi="Times New Roman"/>
          <w:b/>
          <w:color w:val="073763"/>
        </w:rPr>
        <w:t>Do not confound symptoms and parasite effect on fitness</w:t>
      </w:r>
      <w:r>
        <w:rPr>
          <w:rFonts w:eastAsia="Times New Roman" w:cs="Times New Roman" w:ascii="Times New Roman" w:hAnsi="Times New Roman"/>
          <w:color w:val="073763"/>
        </w:rPr>
        <w:t xml:space="preserve">. See previous comments about these points and specific comments on </w:t>
      </w:r>
      <w:r>
        <w:rPr>
          <w:rFonts w:eastAsia="Times New Roman" w:cs="Times New Roman" w:ascii="Times New Roman" w:hAnsi="Times New Roman"/>
          <w:i/>
          <w:color w:val="073763"/>
        </w:rPr>
        <w:t xml:space="preserve">Eimeria </w:t>
      </w:r>
    </w:p>
    <w:p>
      <w:pPr>
        <w:pStyle w:val="Normal"/>
        <w:spacing w:before="288" w:after="0"/>
        <w:ind w:left="720" w:right="-28" w:hanging="0"/>
        <w:jc w:val="both"/>
        <w:rPr>
          <w:rFonts w:ascii="Times New Roman" w:hAnsi="Times New Roman" w:eastAsia="Times New Roman" w:cs="Times New Roman"/>
        </w:rPr>
      </w:pPr>
      <w:r>
        <w:rPr>
          <w:rFonts w:eastAsia="Times New Roman" w:cs="Times New Roman" w:ascii="Times New Roman" w:hAnsi="Times New Roman"/>
          <w:b/>
          <w:color w:val="980000"/>
        </w:rPr>
        <w:t>See C40/2.</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C47. </w:t>
      </w:r>
      <w:r>
        <w:rPr>
          <w:rFonts w:eastAsia="Times New Roman" w:cs="Times New Roman" w:ascii="Times New Roman" w:hAnsi="Times New Roman"/>
          <w:color w:val="073763"/>
        </w:rPr>
        <w:t xml:space="preserve">Lines 397-398 : Are there really hybrids with strong heterosis on variable phenotypes in the hybrid zone in which genomes are highly recombined (not those of experimental F1)? </w:t>
      </w:r>
    </w:p>
    <w:p>
      <w:pPr>
        <w:pStyle w:val="Normal"/>
        <w:spacing w:before="288" w:after="0"/>
        <w:ind w:left="696" w:right="-28" w:hanging="0"/>
        <w:rPr/>
      </w:pPr>
      <w:r>
        <w:rPr>
          <w:rFonts w:eastAsia="Times New Roman" w:cs="Times New Roman" w:ascii="Times New Roman" w:hAnsi="Times New Roman"/>
        </w:rPr>
        <w:t>These are general statements about hybrids in general (not mice in particular). “Intensity of a particular parasite infection is not necessarily correlated with reduced health and a fitness decrease” lines orig. 395-396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C48. </w:t>
      </w:r>
      <w:r>
        <w:rPr>
          <w:rFonts w:eastAsia="Times New Roman" w:cs="Times New Roman" w:ascii="Times New Roman" w:hAnsi="Times New Roman"/>
          <w:color w:val="073763"/>
        </w:rPr>
        <w:t xml:space="preserve">Lines 403-405: the authors omit to consider the hypothesis already suggested by Derothe et al., 2004, while it is based on the same first step of reasoning. Indeed, as suggest in this very study, Derothe et al. propose first that genome disruption could affect strongly some functions. The difference between the two hypotheses concerns the hybrid susceptibility (base of the Derothe et al. proposal) and the consequences of the disruption. They propose that a pleiotropic effect acts in the hybrid zone :only disrupted genomes with alleles leading to a somehow compensation are retained (living and reproducing hybrids). But those alleles could impaired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pPr>
        <w:pStyle w:val="Normal"/>
        <w:spacing w:before="288" w:after="0"/>
        <w:ind w:left="696" w:right="-28" w:hanging="0"/>
        <w:jc w:val="both"/>
        <w:rPr/>
      </w:pPr>
      <w:r>
        <w:rPr>
          <w:rFonts w:eastAsia="Times New Roman" w:cs="Times New Roman" w:ascii="Times New Roman" w:hAnsi="Times New Roman"/>
        </w:rPr>
        <w:t xml:space="preserve">We thank the reviewer 1 for all his/her comments that helped us to improve a lot the present work. We are confident in our conclusions and hope that, after answering the different comments and correcting our article for clarity, reviewer 1 will agree that we have provided a clear demonstration of our conclusions. To address specific concerns: </w:t>
      </w:r>
    </w:p>
    <w:p>
      <w:pPr>
        <w:pStyle w:val="Normal"/>
        <w:numPr>
          <w:ilvl w:val="0"/>
          <w:numId w:val="4"/>
        </w:numPr>
        <w:spacing w:before="288" w:after="0"/>
        <w:ind w:left="720" w:right="-28" w:hanging="36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no double statistical comparison, no clear modeling design” answer is addressed comment</w:t>
      </w:r>
      <w:r>
        <w:rPr>
          <w:rFonts w:eastAsia="Times New Roman" w:cs="Times New Roman" w:ascii="Times New Roman" w:hAnsi="Times New Roman"/>
          <w:b/>
          <w:color w:val="980000"/>
        </w:rPr>
        <w:t xml:space="preserve"> C28/2</w:t>
      </w:r>
    </w:p>
    <w:p>
      <w:pPr>
        <w:pStyle w:val="Normal"/>
        <w:numPr>
          <w:ilvl w:val="0"/>
          <w:numId w:val="4"/>
        </w:numPr>
        <w:ind w:left="720" w:right="-28" w:hanging="36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confusion in parasite parameters and ecology” answer is addressed comment </w:t>
      </w:r>
      <w:r>
        <w:rPr>
          <w:rFonts w:eastAsia="Times New Roman" w:cs="Times New Roman" w:ascii="Times New Roman" w:hAnsi="Times New Roman"/>
          <w:b/>
          <w:color w:val="980000"/>
        </w:rPr>
        <w:t>C11</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C49. </w:t>
      </w:r>
      <w:r>
        <w:rPr>
          <w:rFonts w:eastAsia="Times New Roman" w:cs="Times New Roman" w:ascii="Times New Roman" w:hAnsi="Times New Roman"/>
          <w:color w:val="073763"/>
        </w:rPr>
        <w:t xml:space="preserve">Table 1 : Pinworms : the “significantly favored” models in this very study is H3 (potential difference male/ female and between subspecies and H1 for Baird et al. data (no difference male-female but potentially between subspecies). </w:t>
      </w:r>
      <w:r>
        <w:rPr>
          <w:rFonts w:eastAsia="Times New Roman" w:cs="Times New Roman" w:ascii="Times New Roman" w:hAnsi="Times New Roman"/>
          <w:b/>
          <w:color w:val="073763"/>
        </w:rPr>
        <w:t>No comment/ explanation about these differences</w:t>
      </w:r>
      <w:r>
        <w:rPr>
          <w:rFonts w:eastAsia="Times New Roman" w:cs="Times New Roman" w:ascii="Times New Roman" w:hAnsi="Times New Roman"/>
          <w:color w:val="073763"/>
        </w:rPr>
        <w:t xml:space="preserve">. How do you explain this with the same parasite models in the same zone? </w:t>
      </w:r>
    </w:p>
    <w:p>
      <w:pPr>
        <w:pStyle w:val="Normal"/>
        <w:spacing w:before="288" w:after="0"/>
        <w:ind w:left="696" w:right="-28" w:hanging="0"/>
        <w:jc w:val="both"/>
        <w:rPr/>
      </w:pPr>
      <w:r>
        <w:rPr>
          <w:rFonts w:eastAsia="Times New Roman" w:cs="Times New Roman" w:ascii="Times New Roman" w:hAnsi="Times New Roman"/>
        </w:rPr>
        <w:t>We noted these differences (see line 352-355 orig.) without entering into details as our main focus is effect of hybridization. We added now a brief explanation and modified our text (line 424-433 new)</w:t>
      </w:r>
    </w:p>
    <w:p>
      <w:pPr>
        <w:pStyle w:val="Normal"/>
        <w:spacing w:before="288" w:after="0"/>
        <w:ind w:left="-24" w:right="4612" w:hanging="0"/>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Figure legends: Lack of legends and explanations </w:t>
      </w:r>
    </w:p>
    <w:p>
      <w:pPr>
        <w:pStyle w:val="Normal"/>
        <w:spacing w:before="288" w:after="0"/>
        <w:ind w:left="-24" w:right="83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Figure 1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C50. </w:t>
      </w:r>
      <w:r>
        <w:rPr>
          <w:rFonts w:eastAsia="Times New Roman" w:cs="Times New Roman" w:ascii="Times New Roman" w:hAnsi="Times New Roman"/>
          <w:color w:val="073763"/>
        </w:rPr>
        <w:t xml:space="preserve">Lines 652-653 “ Spatial organization of the HMHZ was inferred using six autosomal markers (Es1,H6pd, Idh1, Mpi, Np, Sod1)” . See comments on line 122-123 and on Table S1. Precise the complete set of data leading to this map (not the 660!). </w:t>
      </w:r>
    </w:p>
    <w:p>
      <w:pPr>
        <w:pStyle w:val="Normal"/>
        <w:spacing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 &amp; C18.</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C51. </w:t>
      </w:r>
      <w:r>
        <w:rPr>
          <w:rFonts w:eastAsia="Times New Roman" w:cs="Times New Roman" w:ascii="Times New Roman" w:hAnsi="Times New Roman"/>
          <w:color w:val="073763"/>
        </w:rPr>
        <w:t xml:space="preserve">“ The numbers at the level contours indicate posterior probabilities of population membership for each mouse subspecies”. What do the authors mean by posterior? </w:t>
      </w:r>
    </w:p>
    <w:p>
      <w:pPr>
        <w:pStyle w:val="Normal"/>
        <w:spacing w:before="288" w:after="0"/>
        <w:ind w:left="696" w:right="-23" w:hanging="0"/>
        <w:jc w:val="both"/>
        <w:rPr/>
      </w:pPr>
      <w:r>
        <w:rPr>
          <w:rFonts w:eastAsia="Times New Roman" w:cs="Times New Roman" w:ascii="Times New Roman" w:hAnsi="Times New Roman"/>
        </w:rPr>
        <w:t xml:space="preserve">This is a specific wording of Bayesian statistics, which uses “prior” and “posterior” probabilities. The software is referenced, and our code modifications are available. Describing this would lead to a lecture on Bayesian statistics, which we think should outside the focus of our article. </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C52. </w:t>
      </w:r>
      <w:r>
        <w:rPr>
          <w:rFonts w:eastAsia="Times New Roman" w:cs="Times New Roman" w:ascii="Times New Roman" w:hAnsi="Times New Roman"/>
          <w:color w:val="073763"/>
        </w:rPr>
        <w:t xml:space="preserve">If white dots are mice of the study, very few of them as hybrids with an undeniable part of recombination (between 0,2-0,8)? This does not seem consistent with the data, especially Table S1. </w:t>
      </w:r>
    </w:p>
    <w:p>
      <w:pPr>
        <w:pStyle w:val="Normal"/>
        <w:spacing w:lineRule="auto" w:line="240" w:before="288" w:after="0"/>
        <w:ind w:left="696" w:right="-23" w:hanging="0"/>
        <w:rPr/>
      </w:pPr>
      <w:r>
        <w:rPr>
          <w:rFonts w:eastAsia="Times New Roman" w:cs="Times New Roman" w:ascii="Times New Roman" w:hAnsi="Times New Roman"/>
        </w:rPr>
        <w:t>This software allows to detect separation between two groups and to categorize into this groups, it does not estimate hybrid zone widht. We never claim to estimate the width of the zone. For clarity (and to be technically more correct) we modified “the course of the HMHZ” (line 121 old) to “the expected centre” (line 134 new).</w:t>
      </w:r>
    </w:p>
    <w:p>
      <w:pPr>
        <w:pStyle w:val="Normal"/>
        <w:spacing w:lineRule="auto" w:line="240" w:before="288" w:after="0"/>
        <w:ind w:right="-23"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Figure 2 . </w:t>
      </w:r>
    </w:p>
    <w:p>
      <w:pPr>
        <w:pStyle w:val="Normal"/>
        <w:spacing w:before="288" w:after="0"/>
        <w:ind w:left="-24" w:right="5"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C53. </w:t>
      </w:r>
      <w:r>
        <w:rPr>
          <w:rFonts w:eastAsia="Times New Roman" w:cs="Times New Roman" w:ascii="Times New Roman" w:hAnsi="Times New Roman"/>
          <w:color w:val="073763"/>
        </w:rPr>
        <w:t xml:space="preserve">1/ Explain the color code in a) and c). Why are some points paler than others? </w:t>
      </w:r>
    </w:p>
    <w:p>
      <w:pPr>
        <w:pStyle w:val="Normal"/>
        <w:spacing w:before="288" w:after="0"/>
        <w:ind w:left="696" w:right="5" w:hanging="0"/>
        <w:rPr>
          <w:rFonts w:ascii="Times New Roman" w:hAnsi="Times New Roman" w:eastAsia="Times New Roman" w:cs="Times New Roman"/>
        </w:rPr>
      </w:pPr>
      <w:r>
        <w:rPr>
          <w:rFonts w:eastAsia="Times New Roman" w:cs="Times New Roman" w:ascii="Times New Roman" w:hAnsi="Times New Roman"/>
        </w:rPr>
        <w:tab/>
        <w:t>We added “(points color indicate mice genotype, on a gradient ranging from blue (pure Mmd) to red (pure Mmm); increased number of mice sampled at one point displayed as decrease in transparency).” in the legend.</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C54. </w:t>
      </w:r>
      <w:r>
        <w:rPr>
          <w:rFonts w:eastAsia="Times New Roman" w:cs="Times New Roman" w:ascii="Times New Roman" w:hAnsi="Times New Roman"/>
          <w:color w:val="073763"/>
        </w:rPr>
        <w:t xml:space="preserve">2/ “The predicted probability of infection does not differ in more admixed mice (b) for males (green) and females (orange)”. What are the more admixed mice: part of the sampling? Produced by model? </w:t>
      </w:r>
    </w:p>
    <w:p>
      <w:pPr>
        <w:pStyle w:val="Normal"/>
        <w:spacing w:lineRule="auto" w:line="240" w:before="288" w:after="0"/>
        <w:ind w:left="696" w:right="-23"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more admixed mice” are hybrids that are more admixed. See </w:t>
      </w:r>
      <w:r>
        <w:rPr>
          <w:rFonts w:eastAsia="Times New Roman" w:cs="Times New Roman" w:ascii="Times New Roman" w:hAnsi="Times New Roman"/>
          <w:b/>
          <w:color w:val="980000"/>
        </w:rPr>
        <w:t>C37</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C55. </w:t>
      </w:r>
      <w:r>
        <w:rPr>
          <w:rFonts w:eastAsia="Times New Roman" w:cs="Times New Roman" w:ascii="Times New Roman" w:hAnsi="Times New Roman"/>
          <w:color w:val="073763"/>
        </w:rPr>
        <w:t xml:space="preserve">“(average observed probability of infection: grey dotted line)” Average of what? Males and females? if so, it could be such an horizontal line. Theoretic average if no hybridization effect? </w:t>
      </w:r>
    </w:p>
    <w:p>
      <w:pPr>
        <w:pStyle w:val="Normal"/>
        <w:spacing w:before="288" w:after="0"/>
        <w:ind w:left="696" w:right="-23" w:hanging="0"/>
        <w:rPr>
          <w:rFonts w:ascii="Times New Roman" w:hAnsi="Times New Roman" w:eastAsia="Times New Roman" w:cs="Times New Roman"/>
        </w:rPr>
      </w:pPr>
      <w:r>
        <w:rPr>
          <w:rFonts w:eastAsia="Times New Roman" w:cs="Times New Roman" w:ascii="Times New Roman" w:hAnsi="Times New Roman"/>
        </w:rPr>
        <w:t>We added this precision for clarity: “average overall observed probability of infection (prevalence) for males and females considered together: grey dotted line)</w:t>
      </w:r>
    </w:p>
    <w:p>
      <w:pPr>
        <w:pStyle w:val="Normal"/>
        <w:spacing w:before="288" w:after="0"/>
        <w:ind w:right="-23"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C56. </w:t>
      </w:r>
      <w:r>
        <w:rPr>
          <w:rFonts w:eastAsia="Times New Roman" w:cs="Times New Roman" w:ascii="Times New Roman" w:hAnsi="Times New Roman"/>
          <w:color w:val="073763"/>
        </w:rPr>
        <w:t xml:space="preserve">3/ d) what are the white dots? The 70 Individuals with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 suppose. </w:t>
      </w:r>
    </w:p>
    <w:p>
      <w:pPr>
        <w:pStyle w:val="Normal"/>
        <w:spacing w:lineRule="auto" w:line="240" w:before="288" w:after="0"/>
        <w:ind w:left="696" w:right="-23" w:hanging="0"/>
        <w:rPr>
          <w:rFonts w:ascii="Times New Roman" w:hAnsi="Times New Roman" w:eastAsia="Times New Roman" w:cs="Times New Roman"/>
        </w:rPr>
      </w:pPr>
      <w:r>
        <w:rPr>
          <w:rFonts w:eastAsia="Times New Roman" w:cs="Times New Roman" w:ascii="Times New Roman" w:hAnsi="Times New Roman"/>
        </w:rPr>
        <w:t>We added this precision for clarity “(white dots = individual mice)”</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C57. </w:t>
      </w:r>
      <w:r>
        <w:rPr>
          <w:rFonts w:eastAsia="Times New Roman" w:cs="Times New Roman" w:ascii="Times New Roman" w:hAnsi="Times New Roman"/>
          <w:color w:val="073763"/>
        </w:rPr>
        <w:t xml:space="preserve">When considered HI between 0,25 and 0,75, no mouse show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intensity (as estimated) more than 0. See my previous comments about mortality and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specific comments. </w:t>
      </w:r>
    </w:p>
    <w:p>
      <w:pPr>
        <w:pStyle w:val="Normal"/>
        <w:spacing w:lineRule="auto" w:line="240" w:before="288" w:after="0"/>
        <w:ind w:left="696" w:right="-23" w:hanging="0"/>
        <w:jc w:val="both"/>
        <w:rPr/>
      </w:pPr>
      <w:r>
        <w:rPr>
          <w:rFonts w:eastAsia="Times New Roman" w:cs="Times New Roman" w:ascii="Times New Roman" w:hAnsi="Times New Roman"/>
        </w:rPr>
        <w:t xml:space="preserve">Our sampling locations are selected to capture the broadest possible range of hybrid genotypes, but we cannot know the exact hybrid index of a mouse before capturing and genotyping it. Nevertheless, the maximum likelihood estimation takes into account this difference of density, as show the wider confidence interval in the centre of the HI. There is no narrowness of the HZ, as addressed comment </w:t>
      </w:r>
      <w:r>
        <w:rPr>
          <w:rFonts w:eastAsia="Times New Roman" w:cs="Times New Roman" w:ascii="Times New Roman" w:hAnsi="Times New Roman"/>
          <w:b/>
          <w:color w:val="980000"/>
        </w:rPr>
        <w:t xml:space="preserve">C52. </w:t>
      </w:r>
      <w:r>
        <w:rPr>
          <w:rFonts w:eastAsia="Times New Roman" w:cs="Times New Roman" w:ascii="Times New Roman" w:hAnsi="Times New Roman"/>
        </w:rPr>
        <w:t xml:space="preserve">Mortality: see </w:t>
      </w:r>
      <w:r>
        <w:rPr>
          <w:rFonts w:eastAsia="Times New Roman" w:cs="Times New Roman" w:ascii="Times New Roman" w:hAnsi="Times New Roman"/>
          <w:b/>
          <w:color w:val="980000"/>
        </w:rPr>
        <w:t>C11.</w:t>
      </w:r>
    </w:p>
    <w:p>
      <w:pPr>
        <w:pStyle w:val="Normal"/>
        <w:spacing w:before="288" w:after="0"/>
        <w:ind w:left="-24" w:right="8270"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Figure 3: </w:t>
      </w:r>
    </w:p>
    <w:p>
      <w:pPr>
        <w:pStyle w:val="Normal"/>
        <w:spacing w:before="288" w:after="0"/>
        <w:ind w:left="-24" w:right="5155"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C58. </w:t>
      </w:r>
      <w:r>
        <w:rPr>
          <w:rFonts w:eastAsia="Times New Roman" w:cs="Times New Roman" w:ascii="Times New Roman" w:hAnsi="Times New Roman"/>
          <w:color w:val="073763"/>
        </w:rPr>
        <w:t xml:space="preserve">Same questions than for figure 2 1/ and 2/ </w:t>
      </w:r>
    </w:p>
    <w:p>
      <w:pPr>
        <w:pStyle w:val="Normal"/>
        <w:spacing w:lineRule="auto" w:line="240" w:before="288" w:after="0"/>
        <w:ind w:left="696" w:right="-23" w:hanging="0"/>
        <w:rPr>
          <w:rFonts w:ascii="Times New Roman" w:hAnsi="Times New Roman" w:eastAsia="Times New Roman" w:cs="Times New Roman"/>
          <w:color w:val="073763"/>
        </w:rPr>
      </w:pPr>
      <w:r>
        <w:rPr>
          <w:rFonts w:eastAsia="Times New Roman" w:cs="Times New Roman" w:ascii="Times New Roman" w:hAnsi="Times New Roman"/>
        </w:rPr>
        <w:t xml:space="preserve">We corrected on this plot legend as well see </w:t>
      </w:r>
      <w:r>
        <w:rPr>
          <w:rFonts w:eastAsia="Times New Roman" w:cs="Times New Roman" w:ascii="Times New Roman" w:hAnsi="Times New Roman"/>
          <w:b/>
          <w:color w:val="980000"/>
        </w:rPr>
        <w:t xml:space="preserve">C53.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C59. </w:t>
      </w:r>
      <w:r>
        <w:rPr>
          <w:rFonts w:eastAsia="Times New Roman" w:cs="Times New Roman" w:ascii="Times New Roman" w:hAnsi="Times New Roman"/>
          <w:color w:val="073763"/>
        </w:rPr>
        <w:t xml:space="preserve">3/remark: it clearly appears from those distributions that mice with HI between 0,25 and 0,75 are less numerous than parental ones ( narrowness of the HZ figure 1 and Table S1). </w:t>
      </w:r>
    </w:p>
    <w:p>
      <w:pPr>
        <w:pStyle w:val="Normal"/>
        <w:spacing w:before="288" w:after="0"/>
        <w:ind w:left="696"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See </w:t>
      </w:r>
      <w:r>
        <w:rPr>
          <w:rFonts w:eastAsia="Times New Roman" w:cs="Times New Roman" w:ascii="Times New Roman" w:hAnsi="Times New Roman"/>
          <w:b/>
          <w:color w:val="980000"/>
        </w:rPr>
        <w:t>C57.</w:t>
      </w:r>
    </w:p>
    <w:p>
      <w:pPr>
        <w:pStyle w:val="Normal"/>
        <w:spacing w:before="288" w:after="0"/>
        <w:ind w:right="-28" w:hanging="0"/>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Comments on table S1 (see xls joint document) </w:t>
      </w:r>
    </w:p>
    <w:p>
      <w:pPr>
        <w:pStyle w:val="Normal"/>
        <w:spacing w:before="288" w:after="0"/>
        <w:ind w:left="-24" w:right="5" w:hanging="0"/>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C60. </w:t>
      </w:r>
      <w:r>
        <w:rPr>
          <w:rFonts w:eastAsia="Times New Roman" w:cs="Times New Roman" w:ascii="Times New Roman" w:hAnsi="Times New Roman"/>
          <w:color w:val="073763"/>
        </w:rPr>
        <w:t xml:space="preserve">I indeed identify 51 mice from 660 (near 8 %) to which HI was estimated from 4 to 9 loci.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For a very few of them, clearly too much data are lacking and the HI is not valuable (SK 2891, AA_0272) It must be noted that for AA_0169, HI was determined on 6 loci and not 7 as indicated)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696" w:right="-28" w:hanging="0"/>
        <w:rPr/>
      </w:pPr>
      <w:r>
        <w:rPr>
          <w:rFonts w:eastAsia="Times New Roman" w:cs="Times New Roman" w:ascii="Times New Roman" w:hAnsi="Times New Roman"/>
        </w:rPr>
        <w:t xml:space="preserve">Corrections made; See </w:t>
      </w:r>
      <w:r>
        <w:rPr>
          <w:rFonts w:eastAsia="Times New Roman" w:cs="Times New Roman" w:ascii="Times New Roman" w:hAnsi="Times New Roman"/>
          <w:b/>
          <w:color w:val="980000"/>
        </w:rPr>
        <w:t>C16.</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C61. </w:t>
      </w:r>
      <w:r>
        <w:rPr>
          <w:rFonts w:eastAsia="Times New Roman" w:cs="Times New Roman" w:ascii="Times New Roman" w:hAnsi="Times New Roman"/>
          <w:color w:val="073763"/>
        </w:rPr>
        <w:t xml:space="preserve">Note that for a unneglectable number of the 51 mice, as SK_3374 _E2, AA_0304_E1, SK_3153-E1, SK_3153-E2, SK_3153-E3, SK_3153-E4,SK_3153-E5 (underlined in very pale green on .xls table) there is lack of numerous genetic data but no identify as NA : Why? It must be explain too what represent the 5 mice designated as SK 3153? Same mice but considered 5 times? </w:t>
      </w:r>
    </w:p>
    <w:p>
      <w:pPr>
        <w:pStyle w:val="Normal"/>
        <w:spacing w:before="288" w:after="0"/>
        <w:ind w:left="696" w:right="-33"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C62. </w:t>
      </w:r>
      <w:r>
        <w:rPr>
          <w:rFonts w:eastAsia="Times New Roman" w:cs="Times New Roman" w:ascii="Times New Roman" w:hAnsi="Times New Roman"/>
          <w:color w:val="073763"/>
        </w:rPr>
        <w:t xml:space="preserve">For most of the 51, the most troubling is that HI of some groups of mice is </w:t>
      </w:r>
      <w:r>
        <w:rPr>
          <w:rFonts w:eastAsia="Times New Roman" w:cs="Times New Roman" w:ascii="Times New Roman" w:hAnsi="Times New Roman"/>
          <w:b/>
          <w:color w:val="073763"/>
        </w:rPr>
        <w:t xml:space="preserve">determined on markers entirely different </w:t>
      </w:r>
      <w:r>
        <w:rPr>
          <w:rFonts w:eastAsia="Times New Roman" w:cs="Times New Roman" w:ascii="Times New Roman" w:hAnsi="Times New Roman"/>
          <w:color w:val="073763"/>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seem appropriate to retain these individuals without any directly compared genetic data to establish the distribution of the genomes in the studied zone. The authors write that the 6 autosomal loci were genotyped in all mice allowing to establish the figure 1, </w:t>
      </w:r>
      <w:r>
        <w:rPr>
          <w:rFonts w:eastAsia="Times New Roman" w:cs="Times New Roman" w:ascii="Times New Roman" w:hAnsi="Times New Roman"/>
          <w:b/>
          <w:color w:val="073763"/>
        </w:rPr>
        <w:t>which is false, since for 17 mice the data are missing for all these markers</w:t>
      </w:r>
      <w:r>
        <w:rPr>
          <w:rFonts w:eastAsia="Times New Roman" w:cs="Times New Roman" w:ascii="Times New Roman" w:hAnsi="Times New Roman"/>
          <w:color w:val="073763"/>
        </w:rPr>
        <w:t xml:space="preserve">. Note that lack of data on at least one of these 6 autosomal markers are present for 3 others mice from theses very 51 and for 36 of the remaining 609 (if I did not make a mistake counting too quickly) </w:t>
      </w:r>
    </w:p>
    <w:p>
      <w:pPr>
        <w:pStyle w:val="Normal"/>
        <w:spacing w:lineRule="auto" w:line="240" w:before="288" w:after="0"/>
        <w:ind w:left="696" w:right="-33" w:hanging="0"/>
        <w:jc w:val="both"/>
        <w:rPr>
          <w:rFonts w:ascii="Times New Roman" w:hAnsi="Times New Roman" w:eastAsia="Times New Roman" w:cs="Times New Roman"/>
          <w:color w:val="073763"/>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C63. </w:t>
      </w:r>
      <w:r>
        <w:rPr>
          <w:rFonts w:eastAsia="Times New Roman" w:cs="Times New Roman" w:ascii="Times New Roman" w:hAnsi="Times New Roman"/>
          <w:color w:val="073763"/>
        </w:rPr>
        <w:t xml:space="preserve">Moreover, the authors “use” several of these 51 mice, which showed little supported HI as data for body weight, pinworm load, even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load. The assignment of these parasite data or health status to a weak hybridization level is not without consequence on the analysis of the models and therefore the results of the publication.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I strongly suggest to eliminate those 51 mice from the whole data set, to build the map and the models (load, body weight..) on the remaining 609 mice, and to clarify rigorously the number of complete genetic data leading to the map. </w:t>
      </w:r>
    </w:p>
    <w:p>
      <w:pPr>
        <w:pStyle w:val="Normal"/>
        <w:spacing w:lineRule="auto" w:line="240" w:before="288" w:after="0"/>
        <w:ind w:left="696" w:right="-33" w:hanging="0"/>
        <w:jc w:val="both"/>
        <w:rPr>
          <w:rFonts w:ascii="Times New Roman" w:hAnsi="Times New Roman" w:eastAsia="Times New Roman" w:cs="Times New Roman"/>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C16.</w:t>
      </w:r>
    </w:p>
    <w:p>
      <w:pPr>
        <w:pStyle w:val="Normal"/>
        <w:spacing w:before="288" w:after="0"/>
        <w:ind w:right="-28" w:hanging="0"/>
        <w:jc w:val="both"/>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Comments Concerning </w:t>
      </w:r>
      <w:r>
        <w:rPr>
          <w:rFonts w:eastAsia="Times New Roman" w:cs="Times New Roman" w:ascii="Times New Roman" w:hAnsi="Times New Roman"/>
          <w:b/>
          <w:i/>
          <w:color w:val="073763"/>
        </w:rPr>
        <w:t xml:space="preserve">Eimeria </w:t>
      </w:r>
      <w:r>
        <w:rPr>
          <w:rFonts w:eastAsia="Times New Roman" w:cs="Times New Roman" w:ascii="Times New Roman" w:hAnsi="Times New Roman"/>
          <w:b/>
          <w:color w:val="073763"/>
        </w:rPr>
        <w:t xml:space="preserve">model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C64. </w:t>
      </w:r>
      <w:r>
        <w:rPr>
          <w:rFonts w:eastAsia="Times New Roman" w:cs="Times New Roman" w:ascii="Times New Roman" w:hAnsi="Times New Roman"/>
          <w:b/>
          <w:color w:val="073763"/>
        </w:rPr>
        <w:t xml:space="preserve">A/ Species diversity across the HZ. </w:t>
      </w:r>
      <w:r>
        <w:rPr>
          <w:rFonts w:eastAsia="Times New Roman" w:cs="Times New Roman" w:ascii="Times New Roman" w:hAnsi="Times New Roman"/>
          <w:color w:val="073763"/>
        </w:rPr>
        <w:t xml:space="preserve">Species found in the HZ are those of Jarquín-Díaz et al., 2019, as being part of the same sampling (360 versus 660 mice). They reveal that not only </w:t>
      </w:r>
      <w:r>
        <w:rPr>
          <w:rFonts w:eastAsia="Times New Roman" w:cs="Times New Roman" w:ascii="Times New Roman" w:hAnsi="Times New Roman"/>
          <w:i/>
          <w:color w:val="073763"/>
        </w:rPr>
        <w:t xml:space="preserve">E. ferissi </w:t>
      </w:r>
      <w:r>
        <w:rPr>
          <w:rFonts w:eastAsia="Times New Roman" w:cs="Times New Roman" w:ascii="Times New Roman" w:hAnsi="Times New Roman"/>
          <w:color w:val="073763"/>
        </w:rPr>
        <w:t xml:space="preserve">is the most prevalent in the zone (very few </w:t>
      </w:r>
      <w:r>
        <w:rPr>
          <w:rFonts w:eastAsia="Times New Roman" w:cs="Times New Roman" w:ascii="Times New Roman" w:hAnsi="Times New Roman"/>
          <w:i/>
          <w:color w:val="073763"/>
        </w:rPr>
        <w:t xml:space="preserve">E. falciformis </w:t>
      </w:r>
      <w:r>
        <w:rPr>
          <w:rFonts w:eastAsia="Times New Roman" w:cs="Times New Roman" w:ascii="Times New Roman" w:hAnsi="Times New Roman"/>
          <w:color w:val="073763"/>
        </w:rPr>
        <w:t xml:space="preserve">and very very few </w:t>
      </w:r>
      <w:r>
        <w:rPr>
          <w:rFonts w:eastAsia="Times New Roman" w:cs="Times New Roman" w:ascii="Times New Roman" w:hAnsi="Times New Roman"/>
          <w:i/>
          <w:color w:val="073763"/>
        </w:rPr>
        <w:t>E. vermiformis</w:t>
      </w:r>
      <w:r>
        <w:rPr>
          <w:rFonts w:eastAsia="Times New Roman" w:cs="Times New Roman" w:ascii="Times New Roman" w:hAnsi="Times New Roman"/>
          <w:color w:val="073763"/>
        </w:rPr>
        <w:t xml:space="preserve">, as mentioned by the authors), but also that E. ferissi is the most widely distributed across the zone, unlike the two other species found in only one or two localities of the sampled zone (figure 1a, Jarquín-Díaz et al., 2019). </w:t>
      </w:r>
      <w:r>
        <w:rPr>
          <w:rFonts w:eastAsia="Times New Roman" w:cs="Times New Roman" w:ascii="Times New Roman" w:hAnsi="Times New Roman"/>
          <w:i/>
          <w:color w:val="073763"/>
        </w:rPr>
        <w:t xml:space="preserve">E. ferissi </w:t>
      </w:r>
      <w:r>
        <w:rPr>
          <w:rFonts w:eastAsia="Times New Roman" w:cs="Times New Roman" w:ascii="Times New Roman" w:hAnsi="Times New Roman"/>
          <w:color w:val="073763"/>
        </w:rPr>
        <w:t xml:space="preserve">is too the species for which no weigh loss has been identified by Al-khlifeh et al., 2019 (strain derived from the same sampling again). </w:t>
      </w:r>
      <w:r>
        <w:rPr>
          <w:rFonts w:eastAsia="Times New Roman" w:cs="Times New Roman" w:ascii="Times New Roman" w:hAnsi="Times New Roman"/>
          <w:b/>
          <w:color w:val="073763"/>
        </w:rPr>
        <w:t>The same result on the same data is in fact use two time and present as a validation</w:t>
      </w:r>
      <w:r>
        <w:rPr>
          <w:rFonts w:eastAsia="Times New Roman" w:cs="Times New Roman" w:ascii="Times New Roman" w:hAnsi="Times New Roman"/>
          <w:color w:val="073763"/>
        </w:rPr>
        <w:t xml:space="preserve">, which is no rigorous. </w:t>
      </w:r>
    </w:p>
    <w:p>
      <w:pPr>
        <w:pStyle w:val="Normal"/>
        <w:spacing w:before="288" w:after="0"/>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 xml:space="preserve">C7. </w:t>
      </w:r>
      <w:r>
        <w:rPr>
          <w:rFonts w:eastAsia="Times New Roman" w:cs="Times New Roman" w:ascii="Times New Roman" w:hAnsi="Times New Roman"/>
        </w:rPr>
        <w:t xml:space="preserve">&amp; </w:t>
      </w:r>
      <w:r>
        <w:rPr>
          <w:rFonts w:eastAsia="Times New Roman" w:cs="Times New Roman" w:ascii="Times New Roman" w:hAnsi="Times New Roman"/>
          <w:b/>
          <w:color w:val="980000"/>
        </w:rPr>
        <w:t>C9.</w:t>
      </w:r>
    </w:p>
    <w:p>
      <w:pPr>
        <w:pStyle w:val="Normal"/>
        <w:spacing w:before="288" w:after="0"/>
        <w:ind w:right="-28" w:hanging="0"/>
        <w:jc w:val="both"/>
        <w:rPr>
          <w:rFonts w:ascii="Times New Roman" w:hAnsi="Times New Roman" w:eastAsia="Times New Roman" w:cs="Times New Roman"/>
          <w:color w:val="073763"/>
        </w:rPr>
      </w:pPr>
      <w:r>
        <w:rPr>
          <w:rFonts w:eastAsia="Times New Roman" w:cs="Times New Roman" w:ascii="Times New Roman" w:hAnsi="Times New Roman"/>
          <w:b/>
          <w:color w:val="980000"/>
        </w:rPr>
        <w:t xml:space="preserve">C65. </w:t>
      </w:r>
      <w:r>
        <w:rPr>
          <w:rFonts w:eastAsia="Times New Roman" w:cs="Times New Roman" w:ascii="Times New Roman" w:hAnsi="Times New Roman"/>
          <w:b/>
          <w:color w:val="073763"/>
        </w:rPr>
        <w:t xml:space="preserve">B /Induced mortality. </w:t>
      </w:r>
      <w:r>
        <w:rPr>
          <w:rFonts w:eastAsia="Times New Roman" w:cs="Times New Roman" w:ascii="Times New Roman" w:hAnsi="Times New Roman"/>
          <w:color w:val="073763"/>
        </w:rPr>
        <w:t xml:space="preserve">The studies to which the authors referred (Fuller &amp; Blaustein, 1996; Hakkarainen et al., 2007) clearly insist and investigate ones of the main consequence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in rodent hosts: mortality and population regulation. But the authors do not even mention these results. Let focus on 3 main references about the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species studied in this study: one with </w:t>
      </w:r>
      <w:r>
        <w:rPr>
          <w:rFonts w:eastAsia="Times New Roman" w:cs="Times New Roman" w:ascii="Times New Roman" w:hAnsi="Times New Roman"/>
          <w:i/>
          <w:color w:val="073763"/>
        </w:rPr>
        <w:t xml:space="preserve">E ferrissi </w:t>
      </w:r>
      <w:r>
        <w:rPr>
          <w:rFonts w:eastAsia="Times New Roman" w:cs="Times New Roman" w:ascii="Times New Roman" w:hAnsi="Times New Roman"/>
          <w:color w:val="073763"/>
        </w:rPr>
        <w:t xml:space="preserve">(Klesius and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Heinds, 1979) , two with </w:t>
      </w:r>
      <w:r>
        <w:rPr>
          <w:rFonts w:eastAsia="Times New Roman" w:cs="Times New Roman" w:ascii="Times New Roman" w:hAnsi="Times New Roman"/>
          <w:i/>
          <w:color w:val="073763"/>
        </w:rPr>
        <w:t xml:space="preserve">E. falciformis </w:t>
      </w:r>
      <w:r>
        <w:rPr>
          <w:rFonts w:eastAsia="Times New Roman" w:cs="Times New Roman" w:ascii="Times New Roman" w:hAnsi="Times New Roman"/>
          <w:color w:val="073763"/>
        </w:rPr>
        <w:t xml:space="preserve">(Stockdale et al, 1985; Marhrt and Shi, 1988). They suggest that these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species can kill their hosts according to the dose of infection, to the host genetic, especially if immune-“compromised”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eastAsia="Times New Roman" w:cs="Times New Roman" w:ascii="Times New Roman" w:hAnsi="Times New Roman"/>
          <w:color w:val="073763"/>
          <w:sz w:val="23"/>
          <w:szCs w:val="23"/>
          <w:vertAlign w:val="superscript"/>
        </w:rPr>
        <w:t>2</w:t>
      </w:r>
      <w:r>
        <w:rPr>
          <w:rFonts w:eastAsia="Times New Roman" w:cs="Times New Roman" w:ascii="Times New Roman" w:hAnsi="Times New Roman"/>
          <w:color w:val="073763"/>
        </w:rPr>
        <w:t xml:space="preserve">) and in the biological situation (estimations of density differential at temporal scales- The authors discuss density as extrinsic spatial factor, and not from the point of view of under or non- estimation of the mortality). The authors interpret the results of their optimized fit as the absence of high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696" w:right="-28" w:hanging="0"/>
        <w:jc w:val="both"/>
        <w:rPr>
          <w:rFonts w:ascii="Times New Roman" w:hAnsi="Times New Roman" w:eastAsia="Times New Roman" w:cs="Times New Roman"/>
          <w:b/>
          <w:b/>
          <w:color w:val="980000"/>
        </w:rPr>
      </w:pPr>
      <w:r>
        <w:rPr>
          <w:rFonts w:eastAsia="Times New Roman" w:cs="Times New Roman" w:ascii="Times New Roman" w:hAnsi="Times New Roman"/>
        </w:rPr>
        <w:t xml:space="preserve">See </w:t>
      </w:r>
      <w:r>
        <w:rPr>
          <w:rFonts w:eastAsia="Times New Roman" w:cs="Times New Roman" w:ascii="Times New Roman" w:hAnsi="Times New Roman"/>
          <w:b/>
          <w:color w:val="980000"/>
        </w:rPr>
        <w:t xml:space="preserve">C11. </w:t>
      </w:r>
      <w:r>
        <w:rPr>
          <w:rFonts w:eastAsia="Times New Roman" w:cs="Times New Roman" w:ascii="Times New Roman" w:hAnsi="Times New Roman"/>
        </w:rPr>
        <w:t xml:space="preserve">There is no narrowness of the HZ, as addressed comment </w:t>
      </w:r>
      <w:r>
        <w:rPr>
          <w:rFonts w:eastAsia="Times New Roman" w:cs="Times New Roman" w:ascii="Times New Roman" w:hAnsi="Times New Roman"/>
          <w:b/>
          <w:color w:val="980000"/>
        </w:rPr>
        <w:t>C52.</w:t>
      </w:r>
    </w:p>
    <w:p>
      <w:pPr>
        <w:pStyle w:val="Normal"/>
        <w:ind w:right="-28" w:hanging="0"/>
        <w:jc w:val="both"/>
        <w:rPr>
          <w:rFonts w:ascii="Times New Roman" w:hAnsi="Times New Roman" w:eastAsia="Times New Roman" w:cs="Times New Roman"/>
          <w:b/>
          <w:b/>
          <w:color w:val="980000"/>
        </w:rPr>
      </w:pPr>
      <w:r>
        <w:rPr>
          <w:rFonts w:eastAsia="Times New Roman" w:cs="Times New Roman" w:ascii="Times New Roman" w:hAnsi="Times New Roman"/>
          <w:b/>
          <w:color w:val="980000"/>
        </w:rPr>
      </w:r>
    </w:p>
    <w:p>
      <w:pPr>
        <w:pStyle w:val="Normal"/>
        <w:ind w:right="-28" w:hanging="0"/>
        <w:jc w:val="both"/>
        <w:rPr>
          <w:rFonts w:ascii="Times New Roman" w:hAnsi="Times New Roman" w:eastAsia="Times New Roman" w:cs="Times New Roman"/>
          <w:b/>
          <w:b/>
          <w:color w:val="073763"/>
        </w:rPr>
      </w:pPr>
      <w:r>
        <w:rPr>
          <w:rFonts w:eastAsia="Times New Roman" w:cs="Times New Roman" w:ascii="Times New Roman" w:hAnsi="Times New Roman"/>
          <w:b/>
          <w:color w:val="980000"/>
        </w:rPr>
        <w:t xml:space="preserve">C66. </w:t>
      </w:r>
      <w:r>
        <w:rPr>
          <w:rFonts w:eastAsia="Times New Roman" w:cs="Times New Roman" w:ascii="Times New Roman" w:hAnsi="Times New Roman"/>
          <w:b/>
          <w:color w:val="073763"/>
        </w:rPr>
        <w:t xml:space="preserve">C / Quantification of the intensities thanks qPCR </w:t>
      </w:r>
    </w:p>
    <w:p>
      <w:pPr>
        <w:pStyle w:val="Normal"/>
        <w:spacing w:before="288" w:after="0"/>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Even after very attentive reading of Jarquín-Díaz et al. 2019 and Ahmed et al 2019, I find not validation of the relevance of the correlation between qPCR and subsequent Δ parameter with individual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loads (i.e. intensity). Not only there is not reference to real validation or argumentations from similar works in the 3 studies (Jarquín-Díaz et al. 2019, Ahmed et al 2019, this very study), but also the authors use sub-sampling of the same data set from the wild, perform QPCR on it, perform insufficiently justified calculation and correlation analysis , and then assess “ it works! we can apply it on all the sample as an estimation of intensity”. This is in my opinion a serious short-circuit of reasoning </w:t>
      </w:r>
    </w:p>
    <w:p>
      <w:pPr>
        <w:pStyle w:val="Normal"/>
        <w:spacing w:before="288" w:after="0"/>
        <w:ind w:left="-24" w:right="-2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The author clearly want to use these non-helminth parasites as a quite definitive element of the demonstration or not of hybrid susceptibility. So, I have trouble understanding why they have not taken the time: </w:t>
      </w:r>
    </w:p>
    <w:p>
      <w:pPr>
        <w:pStyle w:val="Normal"/>
        <w:spacing w:before="288" w:after="0"/>
        <w:ind w:left="335"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to build an rigorous experimental protocol on a mouse strain that they handle easily (NMRI for </w:t>
      </w:r>
    </w:p>
    <w:p>
      <w:pPr>
        <w:pStyle w:val="Normal"/>
        <w:spacing w:before="91" w:after="0"/>
        <w:ind w:left="335" w:right="-28" w:firstLine="24"/>
        <w:rPr>
          <w:rFonts w:ascii="Times New Roman" w:hAnsi="Times New Roman" w:eastAsia="Times New Roman" w:cs="Times New Roman"/>
          <w:color w:val="073763"/>
        </w:rPr>
      </w:pPr>
      <w:r>
        <w:rPr>
          <w:rFonts w:eastAsia="Times New Roman" w:cs="Times New Roman" w:ascii="Times New Roman" w:hAnsi="Times New Roman"/>
          <w:color w:val="073763"/>
        </w:rPr>
        <w:t xml:space="preserve">example) , - to realize controlled infections and load data evaluated from histology and coprology (which </w:t>
      </w:r>
    </w:p>
    <w:p>
      <w:pPr>
        <w:pStyle w:val="Normal"/>
        <w:spacing w:before="91" w:after="0"/>
        <w:ind w:left="335" w:right="1132" w:firstLine="24"/>
        <w:rPr>
          <w:rFonts w:ascii="Times New Roman" w:hAnsi="Times New Roman" w:eastAsia="Times New Roman" w:cs="Times New Roman"/>
          <w:color w:val="073763"/>
        </w:rPr>
      </w:pPr>
      <w:r>
        <w:rPr>
          <w:rFonts w:eastAsia="Times New Roman" w:cs="Times New Roman" w:ascii="Times New Roman" w:hAnsi="Times New Roman"/>
          <w:color w:val="073763"/>
        </w:rPr>
        <w:t xml:space="preserve">they know well) - to couple these date with an approach by qPCR they usually performed well too. </w:t>
      </w:r>
    </w:p>
    <w:p>
      <w:pPr>
        <w:pStyle w:val="Normal"/>
        <w:spacing w:before="288" w:after="0"/>
        <w:ind w:left="335" w:right="-23" w:hanging="0"/>
        <w:jc w:val="both"/>
        <w:rPr>
          <w:rFonts w:ascii="Times New Roman" w:hAnsi="Times New Roman" w:eastAsia="Times New Roman" w:cs="Times New Roman"/>
          <w:color w:val="073763"/>
          <w:sz w:val="12"/>
          <w:szCs w:val="12"/>
        </w:rPr>
      </w:pPr>
      <w:r>
        <w:rPr>
          <w:rFonts w:eastAsia="Times New Roman" w:cs="Times New Roman" w:ascii="Times New Roman" w:hAnsi="Times New Roman"/>
          <w:color w:val="073763"/>
        </w:rPr>
        <w:t xml:space="preserve">This experiment would allow them to validate rigorously and definitively the qPCR estimate of </w:t>
      </w:r>
      <w:r>
        <w:rPr>
          <w:rFonts w:eastAsia="Times New Roman" w:cs="Times New Roman" w:ascii="Times New Roman" w:hAnsi="Times New Roman"/>
          <w:i/>
          <w:color w:val="073763"/>
        </w:rPr>
        <w:t xml:space="preserve">Eimeria </w:t>
      </w:r>
      <w:r>
        <w:rPr>
          <w:rFonts w:eastAsia="Times New Roman" w:cs="Times New Roman" w:ascii="Times New Roman" w:hAnsi="Times New Roman"/>
          <w:color w:val="073763"/>
        </w:rPr>
        <w:t xml:space="preserve">intensity. In all cases for me, their assertion of the link between their qPCR indicator and the intensity is actually not acceptable. At least, I least some arguments for mandatory validation in literature and parasites models </w:t>
      </w:r>
    </w:p>
    <w:p>
      <w:pPr>
        <w:pStyle w:val="Normal"/>
        <w:spacing w:before="796" w:after="0"/>
        <w:ind w:left="-24" w:right="854" w:hanging="0"/>
        <w:rPr>
          <w:rFonts w:ascii="Times New Roman" w:hAnsi="Times New Roman" w:eastAsia="Times New Roman" w:cs="Times New Roman"/>
          <w:color w:val="073763"/>
          <w:sz w:val="19"/>
          <w:szCs w:val="19"/>
        </w:rPr>
      </w:pPr>
      <w:r>
        <w:rPr>
          <w:rFonts w:eastAsia="Times New Roman" w:cs="Times New Roman" w:ascii="Times New Roman" w:hAnsi="Times New Roman"/>
          <w:color w:val="073763"/>
          <w:sz w:val="12"/>
          <w:szCs w:val="12"/>
        </w:rPr>
        <w:t xml:space="preserve">2 </w:t>
      </w:r>
      <w:r>
        <w:rPr>
          <w:rFonts w:eastAsia="Times New Roman" w:cs="Times New Roman" w:ascii="Times New Roman" w:hAnsi="Times New Roman"/>
          <w:color w:val="073763"/>
          <w:sz w:val="33"/>
          <w:szCs w:val="33"/>
          <w:vertAlign w:val="subscript"/>
        </w:rPr>
        <w:t xml:space="preserve">Note that pinworm distributions are not known as season-dependent in mouse populations. It could be </w:t>
      </w:r>
      <w:r>
        <w:rPr>
          <w:rFonts w:eastAsia="Times New Roman" w:cs="Times New Roman" w:ascii="Times New Roman" w:hAnsi="Times New Roman"/>
          <w:color w:val="073763"/>
          <w:sz w:val="19"/>
          <w:szCs w:val="19"/>
        </w:rPr>
        <w:t xml:space="preserve">verified </w:t>
      </w:r>
    </w:p>
    <w:p>
      <w:pPr>
        <w:pStyle w:val="Normal"/>
        <w:ind w:left="-24" w:right="-33"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A/ Eaton et al. 2016. Parasites &amp; Vectors volume 9, 38. </w:t>
      </w:r>
      <w:r>
        <w:rPr>
          <w:rFonts w:eastAsia="Times New Roman" w:cs="Times New Roman" w:ascii="Times New Roman" w:hAnsi="Times New Roman"/>
          <w:i/>
          <w:color w:val="073763"/>
        </w:rPr>
        <w:t xml:space="preserve">A. lumbricoides </w:t>
      </w:r>
      <w:r>
        <w:rPr>
          <w:rFonts w:eastAsia="Times New Roman" w:cs="Times New Roman" w:ascii="Times New Roman" w:hAnsi="Times New Roman"/>
          <w:color w:val="073763"/>
        </w:rPr>
        <w:t xml:space="preserve">and </w:t>
      </w:r>
      <w:r>
        <w:rPr>
          <w:rFonts w:eastAsia="Times New Roman" w:cs="Times New Roman" w:ascii="Times New Roman" w:hAnsi="Times New Roman"/>
          <w:i/>
          <w:color w:val="073763"/>
        </w:rPr>
        <w:t>N. americanus</w:t>
      </w:r>
      <w:r>
        <w:rPr>
          <w:rFonts w:eastAsia="Times New Roman" w:cs="Times New Roman" w:ascii="Times New Roman" w:hAnsi="Times New Roman"/>
          <w:color w:val="073763"/>
        </w:rPr>
        <w:t xml:space="preserve">. Positive correlations between eggs count and QPCR on human stool samples. More Efficient with </w:t>
      </w:r>
      <w:r>
        <w:rPr>
          <w:rFonts w:eastAsia="Times New Roman" w:cs="Times New Roman" w:ascii="Times New Roman" w:hAnsi="Times New Roman"/>
          <w:i/>
          <w:color w:val="073763"/>
        </w:rPr>
        <w:t xml:space="preserve">A. lumbricoides </w:t>
      </w:r>
      <w:r>
        <w:rPr>
          <w:rFonts w:eastAsia="Times New Roman" w:cs="Times New Roman" w:ascii="Times New Roman" w:hAnsi="Times New Roman"/>
          <w:color w:val="073763"/>
        </w:rPr>
        <w:t xml:space="preserve">. Note </w:t>
      </w:r>
    </w:p>
    <w:p>
      <w:pPr>
        <w:pStyle w:val="Normal"/>
        <w:spacing w:before="288" w:after="0"/>
        <w:ind w:left="-24" w:right="-23"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 that the relationship between number of expelled nematodes after treatment with both DNA quantification and Eggs counts is also evaluated.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 number of references testing the relevance of QPCR versus fecal eggs count, importance of the comparison and standardization : “The fact that the quantitative measures from the KK and qPCR tests are highly correlated indicates that DNA concentrations calculated against a standard curve for qPCR can be used as a quantitative measure of infection intensity.”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-the authors claim for the use of more sensitive qPCR tool for prevalence and even intensity, but with prior rigorous standardization. </w:t>
      </w:r>
    </w:p>
    <w:p>
      <w:pPr>
        <w:pStyle w:val="Normal"/>
        <w:spacing w:before="288" w:after="0"/>
        <w:ind w:left="-24" w:right="374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See Eaton et al., 2017 . Parasites &amp; Vectors volume 10, 256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B/ Sijbranda et al. 2017. Parasitology QPCR Plasmodium Bird :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(LSUrRNA) gene described by Friedl and Groscurth (2012) to detect and assess infection intensity with Plasmodium spp. in NZ birds”.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Based on Friedl, T. W. P. and Groscurth, E. (2012). A real-time PCR protocol forsimple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Haemoproteus in blood samples of birds, using male Red Bishops (Euplectes orix; Ploceidae, Passeriformes) as example. The intensity of infections is assessed by amplification of a specific 85-bp fragment within the plastid-like large subunit ribosomal-RNA (LSU- rRNA) gene, which is conservative across a range of Plasmodium and Haemoproteus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determined for standards of known quantity (clones of a 594-bp fragment within the LSU-rRNA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pPr>
        <w:pStyle w:val="Normal"/>
        <w:spacing w:before="288" w:after="0"/>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C/ Pett et al. 2016. Malaria Journal volume 15, 539. Correlation between estimation of gametocytes in blood / qPCR. Rigorous experimental calibration performed with different dilutions of gametocytes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t xml:space="preserve">from cell cultures and various </w:t>
      </w:r>
      <w:r>
        <w:rPr>
          <w:rFonts w:eastAsia="Times New Roman" w:cs="Times New Roman" w:ascii="Times New Roman" w:hAnsi="Times New Roman"/>
          <w:i/>
          <w:color w:val="073763"/>
        </w:rPr>
        <w:t xml:space="preserve">Plasmodium </w:t>
      </w:r>
      <w:r>
        <w:rPr>
          <w:rFonts w:eastAsia="Times New Roman" w:cs="Times New Roman" w:ascii="Times New Roman" w:hAnsi="Times New Roman"/>
          <w:color w:val="073763"/>
        </w:rPr>
        <w:t xml:space="preserve">strains. Clear explanation of their positive threshold and Δ. GLM analysis. </w:t>
      </w:r>
    </w:p>
    <w:p>
      <w:pPr>
        <w:pStyle w:val="Normal"/>
        <w:ind w:left="-24" w:right="-28" w:hanging="0"/>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lineRule="auto" w:line="240" w:before="288" w:after="0"/>
        <w:ind w:left="720" w:right="-28" w:hanging="0"/>
        <w:jc w:val="both"/>
        <w:rPr/>
      </w:pPr>
      <w:r>
        <w:rPr>
          <w:rFonts w:eastAsia="Times New Roman" w:cs="Times New Roman" w:ascii="Times New Roman" w:hAnsi="Times New Roman"/>
        </w:rPr>
        <w:t xml:space="preserve">This protocol has been validated, we added for precision: </w:t>
      </w:r>
      <w:r>
        <w:rPr>
          <w:rFonts w:eastAsia="Times New Roman" w:cs="Times New Roman" w:ascii="Times New Roman" w:hAnsi="Times New Roman"/>
          <w:color w:val="073763"/>
        </w:rPr>
        <w:t>“</w:t>
      </w:r>
      <w:r>
        <w:rPr>
          <w:rFonts w:eastAsia="Times New Roman" w:cs="Times New Roman" w:ascii="Times New Roman" w:hAnsi="Times New Roman"/>
        </w:rPr>
        <w:t xml:space="preserve">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154 orig., lines 176 ff new). The genotyping PCRs of Jarquín-Díaz et al., 2019 are methodologically independent.  We do not compare this to oocyst shedding, as we have evidence from e.g. re-infection (homologous and heterologous challenge of </w:t>
      </w:r>
      <w:r>
        <w:rPr>
          <w:rFonts w:eastAsia="Times New Roman" w:cs="Times New Roman" w:ascii="Times New Roman" w:hAnsi="Times New Roman"/>
          <w:i/>
          <w:iCs/>
        </w:rPr>
        <w:t xml:space="preserve">E. ferrisi </w:t>
      </w:r>
      <w:r>
        <w:rPr>
          <w:rFonts w:eastAsia="Times New Roman" w:cs="Times New Roman" w:ascii="Times New Roman" w:hAnsi="Times New Roman"/>
        </w:rPr>
        <w:t xml:space="preserve">/ </w:t>
      </w:r>
      <w:r>
        <w:rPr>
          <w:rFonts w:eastAsia="Times New Roman" w:cs="Times New Roman" w:ascii="Times New Roman" w:hAnsi="Times New Roman"/>
          <w:i/>
          <w:iCs/>
        </w:rPr>
        <w:t>E. falciformis</w:t>
      </w:r>
      <w:r>
        <w:rPr>
          <w:rFonts w:eastAsia="Times New Roman" w:cs="Times New Roman" w:ascii="Times New Roman" w:hAnsi="Times New Roman"/>
        </w:rPr>
        <w:t xml:space="preserve">), that intestinal intensity can be considerably without any oocyst shedding. We argue that the intensity of intestinal parasite stages is a more meaningful measure than parasite reproduction. See also </w:t>
      </w:r>
      <w:r>
        <w:rPr>
          <w:rFonts w:eastAsia="Times New Roman" w:cs="Times New Roman" w:ascii="Times New Roman" w:hAnsi="Times New Roman"/>
          <w:b/>
          <w:color w:val="980000"/>
        </w:rPr>
        <w:t>C11.</w:t>
      </w:r>
    </w:p>
    <w:p>
      <w:pPr>
        <w:pStyle w:val="Normal"/>
        <w:spacing w:lineRule="auto" w:line="240" w:before="288" w:after="0"/>
        <w:ind w:right="-28" w:hanging="0"/>
        <w:jc w:val="both"/>
        <w:rPr>
          <w:rFonts w:ascii="Times New Roman" w:hAnsi="Times New Roman" w:eastAsia="Times New Roman" w:cs="Times New Roman"/>
          <w:b/>
          <w:b/>
          <w:color w:val="073763"/>
        </w:rPr>
      </w:pPr>
      <w:r>
        <w:rPr>
          <w:rFonts w:eastAsia="Times New Roman" w:cs="Times New Roman" w:ascii="Times New Roman" w:hAnsi="Times New Roman"/>
          <w:b/>
          <w:color w:val="073763"/>
        </w:rPr>
        <w:t xml:space="preserve">Specific comments on “ parasitological indexes approach”. </w:t>
      </w:r>
    </w:p>
    <w:p>
      <w:pPr>
        <w:pStyle w:val="Normal"/>
        <w:spacing w:before="288" w:after="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pPr>
        <w:pStyle w:val="Normal"/>
        <w:spacing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288" w:after="0"/>
        <w:ind w:left="696" w:right="-28" w:hanging="0"/>
        <w:jc w:val="both"/>
        <w:rPr/>
      </w:pPr>
      <w:r>
        <w:rPr>
          <w:rFonts w:eastAsia="Times New Roman" w:cs="Times New Roman" w:ascii="Times New Roman" w:hAnsi="Times New Roman"/>
        </w:rPr>
        <w:t>An answer on the technical level is that the fit of our models was carefully optimised, see</w:t>
      </w:r>
      <w:r>
        <w:rPr>
          <w:rFonts w:eastAsia="Times New Roman" w:cs="Times New Roman" w:ascii="Times New Roman" w:hAnsi="Times New Roman"/>
          <w:color w:val="980000"/>
        </w:rPr>
        <w:t xml:space="preserve"> </w:t>
      </w:r>
      <w:r>
        <w:rPr>
          <w:rFonts w:eastAsia="Times New Roman" w:cs="Times New Roman" w:ascii="Times New Roman" w:hAnsi="Times New Roman"/>
          <w:b/>
          <w:color w:val="980000"/>
        </w:rPr>
        <w:t>C30.</w:t>
      </w:r>
      <w:r>
        <w:rPr>
          <w:rFonts w:eastAsia="Times New Roman" w:cs="Times New Roman" w:ascii="Times New Roman" w:hAnsi="Times New Roman"/>
          <w:b/>
        </w:rPr>
        <w:t xml:space="preserve"> </w:t>
      </w:r>
      <w:r>
        <w:rPr>
          <w:rFonts w:eastAsia="Times New Roman" w:cs="Times New Roman" w:ascii="Times New Roman" w:hAnsi="Times New Roman"/>
        </w:rPr>
        <w:t xml:space="preserve">To answer on an almost philosophical level: Natural sciences can only argue with results, we should leave proofs to mathematicians. We thank the reviewer for their rigor and hope to engage in an open and fair argument, as natural scientists we can’t prove our arguemnts. </w:t>
      </w:r>
    </w:p>
    <w:p>
      <w:pPr>
        <w:pStyle w:val="Normal"/>
        <w:spacing w:before="288" w:after="0"/>
        <w:ind w:left="-24" w:right="-28" w:hanging="0"/>
        <w:jc w:val="both"/>
        <w:rPr/>
      </w:pPr>
      <w:r>
        <w:rPr>
          <w:rFonts w:eastAsia="Times New Roman" w:cs="Times New Roman" w:ascii="Times New Roman" w:hAnsi="Times New Roman"/>
          <w:b/>
          <w:color w:val="073763"/>
        </w:rPr>
        <w:t>Supplementary general comment</w:t>
      </w:r>
      <w:r>
        <w:rPr>
          <w:rFonts w:eastAsia="Times New Roman" w:cs="Times New Roman" w:ascii="Times New Roman" w:hAnsi="Times New Roman"/>
          <w:color w:val="073763"/>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Have we estimate the disturbance related to all trapping campaigns carried out during these forty consecutive years? Genetic and dynamic on one hand, epidemiological in another hand? I would appreciate discussion on these events to weight all the comparisons and results. </w:t>
      </w:r>
    </w:p>
    <w:p>
      <w:pPr>
        <w:pStyle w:val="Normal"/>
        <w:spacing w:before="288" w:after="0"/>
        <w:ind w:left="696" w:right="-28"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epidemiological and ecological situation in the field could obviously have changed in the past 33 years. We, however, find it more likely that earlier studies based on roughly tenfold lower sample sizes, field sampling protocols that obscure their results (mice were keeping for multiple days, allowing infection after capture) and an inappropriate statistical approach were plainly wrong. This, as our preferred weighting, is clearly reflected in the manuscript, we hope. It is daunting how much more evidence (ours and Baird et al. 2012) seems required to overturn a result only validated by being published earlier (Sage et al. 1986 and Moulia </w:t>
      </w:r>
      <w:r>
        <w:rPr>
          <w:rFonts w:eastAsia="Times New Roman" w:cs="Times New Roman" w:ascii="Times New Roman" w:hAnsi="Times New Roman"/>
          <w:i/>
          <w:color w:val="000000"/>
        </w:rPr>
        <w:t xml:space="preserve">et al. </w:t>
      </w:r>
      <w:r>
        <w:rPr>
          <w:rFonts w:eastAsia="Times New Roman" w:cs="Times New Roman" w:ascii="Times New Roman" w:hAnsi="Times New Roman"/>
          <w:color w:val="000000"/>
        </w:rPr>
        <w:t xml:space="preserve">1991). We believe that progress and activity in the field of parasites in hybrid mice (and hybrids in general) is severely hampered by the burden to “disprove” these studies. </w:t>
      </w:r>
      <w:r>
        <w:rPr/>
        <w:commentReference w:id="1"/>
      </w:r>
    </w:p>
    <w:p>
      <w:pPr>
        <w:pStyle w:val="Normal"/>
        <w:spacing w:before="288" w:after="0"/>
        <w:ind w:left="696" w:right="-28" w:hanging="0"/>
        <w:jc w:val="both"/>
        <w:rPr/>
      </w:pPr>
      <w:r>
        <w:rPr/>
      </w:r>
    </w:p>
    <w:p>
      <w:pPr>
        <w:pStyle w:val="Normal"/>
        <w:ind w:left="-24" w:right="-28" w:hanging="0"/>
        <w:jc w:val="both"/>
        <w:rPr/>
      </w:pPr>
      <w:r>
        <w:rPr>
          <w:rFonts w:eastAsia="Times New Roman" w:cs="Times New Roman" w:ascii="Times New Roman" w:hAnsi="Times New Roman"/>
          <w:b/>
          <w:sz w:val="48"/>
          <w:szCs w:val="48"/>
        </w:rPr>
        <w:t xml:space="preserve">Response to reviewer 2. </w:t>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Comments to the Author</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This manuscript tests the hypothesis that hybrid hosts will be more susceptible to infection than parentals. I have a few comments below:</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 – is this the thinking for hybrid mice, or hybrids in general? Would be best to have more broadly conceptual introduction to the experimental work.</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Lines 12-14 – Better to show what you did find given the tight word constraints of an abstract.</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pPr>
      <w:r>
        <w:rPr>
          <w:rFonts w:eastAsia="Times New Roman" w:cs="Times New Roman" w:ascii="Times New Roman" w:hAnsi="Times New Roman"/>
        </w:rPr>
        <w:t xml:space="preserve">We thank the reviewer for these comments on the abstract. We updated the abstract and the discussion to start with general points on hybridization. </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14 – What is meant by ‘diverse’ parasites?</w:t>
      </w:r>
    </w:p>
    <w:p>
      <w:pPr>
        <w:pStyle w:val="Normal"/>
        <w:spacing w:lineRule="auto" w:line="36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We now developed this notion including extra vs. intra-cellular, targeting a Th2 vs a Th1 immune pathways, possible different impact on host health. We also introduced in more details this idea in the </w:t>
      </w:r>
      <w:r>
        <w:rPr>
          <w:rFonts w:eastAsia="Times New Roman" w:cs="Times New Roman" w:ascii="Times New Roman" w:hAnsi="Times New Roman"/>
          <w:b/>
        </w:rPr>
        <w:t>introduction</w:t>
      </w:r>
      <w:r>
        <w:rPr>
          <w:rFonts w:eastAsia="Times New Roman" w:cs="Times New Roman" w:ascii="Times New Roman" w:hAnsi="Times New Roman"/>
          <w:u w:val="single"/>
        </w:rPr>
        <w:t xml:space="preserve"> </w:t>
      </w:r>
      <w:r>
        <w:rPr>
          <w:rFonts w:eastAsia="Times New Roman" w:cs="Times New Roman" w:ascii="Times New Roman" w:hAnsi="Times New Roman"/>
        </w:rPr>
        <w:t xml:space="preserve">(line 72-82 new), and in the </w:t>
      </w:r>
      <w:r>
        <w:rPr>
          <w:rFonts w:eastAsia="Times New Roman" w:cs="Times New Roman" w:ascii="Times New Roman" w:hAnsi="Times New Roman"/>
          <w:b/>
        </w:rPr>
        <w:t>conclusion</w:t>
      </w:r>
      <w:r>
        <w:rPr>
          <w:rFonts w:eastAsia="Times New Roman" w:cs="Times New Roman" w:ascii="Times New Roman" w:hAnsi="Times New Roman"/>
        </w:rPr>
        <w:t xml:space="preserve"> (line 410-414 new)</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40 – ‘our own species’ should be removed.</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t>We modified it for “humans” (line 40 new)</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121 – ‘the course’ of the HMHZ’. What does this mean?</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t>We changed for clarity “the course” to “the expected centre” (new line 134)</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133 – how do the authors define ‘most prevalent’?</w:t>
      </w:r>
    </w:p>
    <w:p>
      <w:pPr>
        <w:pStyle w:val="Normal"/>
        <w:spacing w:lineRule="auto" w:line="360" w:before="288" w:after="0"/>
        <w:ind w:left="686" w:right="-23" w:hanging="0"/>
        <w:jc w:val="both"/>
        <w:rPr>
          <w:rFonts w:ascii="Times New Roman" w:hAnsi="Times New Roman" w:eastAsia="Times New Roman" w:cs="Times New Roman"/>
        </w:rPr>
      </w:pPr>
      <w:r>
        <w:rPr>
          <w:rFonts w:eastAsia="Times New Roman" w:cs="Times New Roman" w:ascii="Times New Roman" w:hAnsi="Times New Roman"/>
        </w:rPr>
        <w:t>We counted all worms, but only include the more prevalent as we need high statistical power to answer our question. Test was modified and a supplementary figure was added as follow:</w:t>
      </w:r>
    </w:p>
    <w:p>
      <w:pPr>
        <w:pStyle w:val="Normal"/>
        <w:spacing w:lineRule="auto" w:line="360" w:before="0" w:after="200"/>
        <w:ind w:left="720" w:hanging="0"/>
        <w:jc w:val="both"/>
        <w:rPr>
          <w:rFonts w:ascii="Times New Roman" w:hAnsi="Times New Roman" w:eastAsia="Times New Roman" w:cs="Times New Roman"/>
          <w:color w:val="0000FF"/>
        </w:rPr>
      </w:pPr>
      <w:r>
        <w:rPr>
          <w:rFonts w:eastAsia="Times New Roman" w:cs="Times New Roman" w:ascii="Times New Roman" w:hAnsi="Times New Roman"/>
        </w:rPr>
        <w:t>“</w:t>
      </w:r>
      <w:r>
        <w:rPr>
          <w:rFonts w:eastAsia="Times New Roman" w:cs="Times New Roman" w:ascii="Times New Roman" w:hAnsi="Times New Roman"/>
        </w:rPr>
        <w:t xml:space="preserve">As in this study we need a high statistical power to test our hypothesis, we considered only the most prevalent helminths, the oxyurids </w:t>
      </w:r>
      <w:r>
        <w:rPr>
          <w:rFonts w:eastAsia="Times New Roman" w:cs="Times New Roman" w:ascii="Times New Roman" w:hAnsi="Times New Roman"/>
          <w:i/>
        </w:rPr>
        <w:t>Syphacia obvelata</w:t>
      </w:r>
      <w:r>
        <w:rPr>
          <w:rFonts w:eastAsia="Times New Roman" w:cs="Times New Roman" w:ascii="Times New Roman" w:hAnsi="Times New Roman"/>
        </w:rPr>
        <w:t xml:space="preserve"> and </w:t>
      </w:r>
      <w:r>
        <w:rPr>
          <w:rFonts w:eastAsia="Times New Roman" w:cs="Times New Roman" w:ascii="Times New Roman" w:hAnsi="Times New Roman"/>
          <w:i/>
        </w:rPr>
        <w:t>Aspiculuris tetraptera</w:t>
      </w:r>
      <w:r>
        <w:rPr>
          <w:rFonts w:eastAsia="Times New Roman" w:cs="Times New Roman" w:ascii="Times New Roman" w:hAnsi="Times New Roman"/>
        </w:rPr>
        <w:t xml:space="preserve">. Histograms presenting the distribution of other helminths counts can be found in </w:t>
      </w:r>
      <w:r>
        <w:rPr>
          <w:rFonts w:eastAsia="Times New Roman" w:cs="Times New Roman" w:ascii="Times New Roman" w:hAnsi="Times New Roman"/>
          <w:b/>
        </w:rPr>
        <w:t>Supplementary Figure S2.”</w:t>
      </w:r>
      <w:r>
        <w:rPr>
          <w:rFonts w:eastAsia="Times New Roman" w:cs="Times New Roman" w:ascii="Times New Roman" w:hAnsi="Times New Roman"/>
        </w:rPr>
        <w:t xml:space="preserve"> (lines 148-151 new)</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pathogenicity?</w:t>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pPr>
        <w:pStyle w:val="Normal"/>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720" w:right="-33" w:hanging="0"/>
        <w:jc w:val="both"/>
        <w:rPr/>
      </w:pPr>
      <w:r>
        <w:rPr>
          <w:rFonts w:eastAsia="Times New Roman" w:cs="Times New Roman" w:ascii="Times New Roman" w:hAnsi="Times New Roman"/>
        </w:rPr>
        <w:t xml:space="preserve">Our study is designed to jointly study two different parasites, and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eastAsia="Times New Roman" w:cs="Times New Roman" w:ascii="Times New Roman" w:hAnsi="Times New Roman"/>
          <w:b/>
        </w:rPr>
        <w:t>introduction</w:t>
      </w:r>
      <w:r>
        <w:rPr>
          <w:rFonts w:eastAsia="Times New Roman" w:cs="Times New Roman" w:ascii="Times New Roman" w:hAnsi="Times New Roman"/>
          <w:u w:val="single"/>
        </w:rPr>
        <w:t xml:space="preserve"> </w:t>
      </w:r>
      <w:r>
        <w:rPr>
          <w:rFonts w:eastAsia="Times New Roman" w:cs="Times New Roman" w:ascii="Times New Roman" w:hAnsi="Times New Roman"/>
        </w:rPr>
        <w:t xml:space="preserve">(line 72-82 new), and in the </w:t>
      </w:r>
      <w:r>
        <w:rPr>
          <w:rFonts w:eastAsia="Times New Roman" w:cs="Times New Roman" w:ascii="Times New Roman" w:hAnsi="Times New Roman"/>
          <w:b/>
        </w:rPr>
        <w:t>discussion</w:t>
      </w:r>
      <w:r>
        <w:rPr>
          <w:rFonts w:eastAsia="Times New Roman" w:cs="Times New Roman" w:ascii="Times New Roman" w:hAnsi="Times New Roman"/>
        </w:rPr>
        <w:t xml:space="preserve"> (line 410-414 new). </w:t>
      </w:r>
    </w:p>
    <w:p>
      <w:pPr>
        <w:pStyle w:val="Normal"/>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Paragraph starting at 360 – Why are new questions being mentioned at this point in the manuscript?</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spacing w:lineRule="auto" w:line="360"/>
        <w:ind w:left="696" w:right="-28" w:hanging="0"/>
        <w:jc w:val="both"/>
        <w:rPr/>
      </w:pPr>
      <w:r>
        <w:rPr>
          <w:rFonts w:eastAsia="Times New Roman" w:cs="Times New Roman" w:ascii="Times New Roman" w:hAnsi="Times New Roman"/>
        </w:rPr>
        <w:t xml:space="preserve">This is a repetition of our study design, as a reminder of the introduction (“To distinguish between the load interpretations we therefore, in a new transect replicate of the HMHZ, asked if (1) parasite loads are higher or lower in hybrids compared to parentals, and (2) if these loads are consistent, or differ, between prevalent representative helminth and protozoan.”). We think that this repetition is needed at this stage, for clarity. Reviewer 1 stressed this point. </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Line 408 – Can authors elaborate on these future experiments and what they might deduce? This is unclear.</w:t>
      </w:r>
    </w:p>
    <w:p>
      <w:pPr>
        <w:pStyle w:val="Normal"/>
        <w:spacing w:lineRule="auto" w:line="360"/>
        <w:ind w:left="696"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spacing w:lineRule="auto" w:line="360"/>
        <w:ind w:left="720" w:right="-28" w:hanging="0"/>
        <w:jc w:val="both"/>
        <w:rPr>
          <w:rFonts w:ascii="Times New Roman" w:hAnsi="Times New Roman" w:eastAsia="Times New Roman" w:cs="Times New Roman"/>
        </w:rPr>
      </w:pPr>
      <w:r>
        <w:rPr>
          <w:rFonts w:eastAsia="Times New Roman" w:cs="Times New Roman" w:ascii="Times New Roman" w:hAnsi="Times New Roman"/>
        </w:rPr>
        <w:t xml:space="preserve">We developed as follow: </w:t>
        <w:tab/>
        <w:t xml:space="preserve"> </w:t>
        <w:tab/>
      </w:r>
    </w:p>
    <w:p>
      <w:pPr>
        <w:pStyle w:val="Normal"/>
        <w:spacing w:lineRule="auto" w:line="360" w:before="0" w:after="200"/>
        <w:ind w:left="720" w:hanging="0"/>
        <w:jc w:val="both"/>
        <w:rPr/>
      </w:pPr>
      <w:r>
        <w:rPr>
          <w:rFonts w:eastAsia="Times New Roman" w:cs="Times New Roman" w:ascii="Times New Roman" w:hAnsi="Times New Roman"/>
        </w:rPr>
        <w:t>“</w:t>
      </w:r>
      <w:r>
        <w:rPr>
          <w:rFonts w:eastAsia="Times New Roman" w:cs="Times New Roman" w:ascii="Times New Roman" w:hAnsi="Times New Roman"/>
        </w:rPr>
        <w:t xml:space="preserve">We can in future ask whether host (immunity and resistance) parasite (infectivity and virulence) or their interactions are underlying reduced parasite intensity in hybrid house mice. </w:t>
      </w:r>
      <w:r>
        <w:rPr>
          <w:rFonts w:eastAsia="Times New Roman" w:cs="Times New Roman" w:ascii="Times New Roman" w:hAnsi="Times New Roman"/>
          <w:i/>
          <w:iCs/>
        </w:rPr>
        <w:t>Eimeria</w:t>
      </w:r>
      <w:r>
        <w:rPr>
          <w:rFonts w:eastAsia="Times New Roman" w:cs="Times New Roman" w:ascii="Times New Roman" w:hAnsi="Times New Roman"/>
        </w:rPr>
        <w:t xml:space="preserve"> spp. are suitable pathogens to perform experimental and field studies in this endeavour.  An experimental setup investigating resistance (inverse of parasite intensity) and tolerance (impact on host health measured by weight loss) during an infection in mice of pure subspecies and crosses between them could address this question in more detail.”  (line 499-502 new)</w:t>
      </w:r>
    </w:p>
    <w:p>
      <w:pPr>
        <w:pStyle w:val="Normal"/>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720" w:right="-28" w:hanging="0"/>
        <w:jc w:val="both"/>
        <w:rPr/>
      </w:pPr>
      <w:r>
        <w:rPr>
          <w:rFonts w:eastAsia="Times New Roman" w:cs="Times New Roman" w:ascii="Times New Roman" w:hAnsi="Times New Roman"/>
        </w:rPr>
        <w:t>We modified the introduction accordingly.</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w:t>
      </w:r>
      <w:r>
        <w:rPr>
          <w:rFonts w:eastAsia="Times New Roman" w:cs="Times New Roman" w:ascii="Times New Roman" w:hAnsi="Times New Roman"/>
          <w:color w:val="073763"/>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pPr>
        <w:pStyle w:val="Normal"/>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ind w:left="696" w:right="-28" w:hanging="0"/>
        <w:jc w:val="both"/>
        <w:rPr/>
      </w:pPr>
      <w:r>
        <w:rPr>
          <w:rFonts w:eastAsia="Times New Roman" w:cs="Times New Roman" w:ascii="Times New Roman" w:hAnsi="Times New Roman"/>
        </w:rPr>
        <w:t>The literature in this field is quite controversial. There is disagreement on both the direction of effects of hybridization on parasites in the house mouse system (see Sage et al. 1986 and Moulia ett al. 1991 vs. Baird et al. 2012 and our study) and on the interpretation of these findings with regards to host fitness and hybridization (see for example</w:t>
      </w:r>
      <w:r>
        <w:rPr>
          <w:rFonts w:eastAsia="Times New Roman" w:cs="Times New Roman" w:ascii="Times New Roman" w:hAnsi="Times New Roman"/>
          <w:b/>
        </w:rPr>
        <w:t xml:space="preserve"> </w:t>
      </w:r>
      <w:r>
        <w:rPr>
          <w:rFonts w:eastAsia="Times New Roman" w:cs="Times New Roman" w:ascii="Times New Roman" w:hAnsi="Times New Roman"/>
        </w:rPr>
        <w:t xml:space="preserve">Theodosopoulos et al. 2019; </w:t>
      </w:r>
      <w:bookmarkStart w:id="2" w:name="__DdeLink__2709_2973514305"/>
      <w:r>
        <w:rPr>
          <w:rFonts w:eastAsia="Times New Roman" w:cs="Times New Roman" w:ascii="Times New Roman" w:hAnsi="Times New Roman"/>
        </w:rPr>
        <w:t>Baird &amp; Goüy de Bellocq, 2019</w:t>
      </w:r>
      <w:bookmarkEnd w:id="2"/>
      <w:r>
        <w:rPr>
          <w:rFonts w:eastAsia="Times New Roman" w:cs="Times New Roman" w:ascii="Times New Roman" w:hAnsi="Times New Roman"/>
        </w:rPr>
        <w:t>)</w:t>
      </w:r>
      <w:hyperlink r:id="rId4">
        <w:r>
          <w:rPr>
            <w:rStyle w:val="ListLabel37"/>
            <w:rFonts w:eastAsia="Arial"/>
          </w:rPr>
          <w:t>.</w:t>
          <w:tab/>
          <w:t xml:space="preserve"> </w:t>
        </w:r>
      </w:hyperlink>
      <w:r>
        <w:rPr/>
        <w:tab/>
      </w:r>
      <w:r>
        <w:rPr>
          <w:rFonts w:eastAsia="Times New Roman" w:cs="Times New Roman" w:ascii="Times New Roman" w:hAnsi="Times New Roman"/>
          <w:color w:val="3C78D8"/>
        </w:rPr>
        <w:t>https://www.sciencedirect.com/science/article/pii/S0169534718302325?via%3Dihub</w:t>
      </w:r>
    </w:p>
    <w:p>
      <w:pPr>
        <w:pStyle w:val="Normal"/>
        <w:ind w:left="696" w:right="-28" w:hanging="0"/>
        <w:jc w:val="both"/>
        <w:rPr>
          <w:rFonts w:ascii="Times New Roman" w:hAnsi="Times New Roman" w:eastAsia="Times New Roman" w:cs="Times New Roman"/>
          <w:color w:val="3C78D8"/>
        </w:rPr>
      </w:pPr>
      <w:r>
        <w:rPr>
          <w:rFonts w:eastAsia="Times New Roman" w:cs="Times New Roman" w:ascii="Times New Roman" w:hAnsi="Times New Roman"/>
          <w:color w:val="3C78D8"/>
        </w:rPr>
        <w:t>https://www.cell.com/trends/ecology-evolution/fulltext/S0169-5347(19)30026-6</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pPr>
      <w:r>
        <w:rPr>
          <w:rFonts w:eastAsia="Times New Roman" w:cs="Times New Roman" w:ascii="Times New Roman" w:hAnsi="Times New Roman"/>
        </w:rPr>
        <w:t xml:space="preserve">We therefore focus on the study system and limit our hypotheses to hybrid resistance vs. hybrid susceptibility without favoring one result </w:t>
      </w:r>
      <w:r>
        <w:rPr>
          <w:rFonts w:eastAsia="Times New Roman" w:cs="Times New Roman" w:ascii="Times New Roman" w:hAnsi="Times New Roman"/>
          <w:i/>
          <w:iCs/>
        </w:rPr>
        <w:t>a priori</w:t>
      </w:r>
      <w:r>
        <w:rPr>
          <w:rFonts w:eastAsia="Times New Roman" w:cs="Times New Roman" w:ascii="Times New Roman" w:hAnsi="Times New Roman"/>
        </w:rPr>
        <w:t xml:space="preserve">. We hope that our work will help to turn the table the long lasting debate about (even) the direction of hybrid effects on parasites in the house mouse system (see also comments of reviewer 1). We follow Baird &amp; Goüy de Bellocq, 2019 in their view that broader hypotheses on especially fitness effects of parasites on their hosts (or even the maintenance of hybrid zones) should be avoided, especially without evidence for a link between parasites and their impact on host health (if this is what the reviewer means by “condition”). </w:t>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696" w:right="-28"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0-03T08:02:5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After Milos’ answer</w:t>
      </w:r>
    </w:p>
  </w:comment>
  <w:comment w:id="1" w:author="Emanuel Heitlinger" w:date="2019-09-04T13:18:00Z" w:initials="EH">
    <w:p>
      <w:r>
        <w:rPr>
          <w:rFonts w:ascii="Liberation Serif" w:hAnsi="Liberation Serif" w:eastAsia="DejaVu Sans" w:cs="DejaVu Sans"/>
          <w:color w:val="auto"/>
          <w:sz w:val="20"/>
          <w:szCs w:val="24"/>
          <w:lang w:val="en-US" w:eastAsia="en-US" w:bidi="en-US"/>
        </w:rPr>
        <w:t xml:space="preserve">I think that anchored on the last two comments we could be quite “cruel”. I’d go with a simple “We prefer the interpretation that </w:t>
      </w:r>
      <w:r>
        <w:rPr>
          <w:rFonts w:ascii="Liberation Serif" w:hAnsi="Liberation Serif" w:eastAsia="DejaVu Sans" w:cs="DejaVu Sans"/>
          <w:color w:val="auto"/>
          <w:sz w:val="20"/>
          <w:szCs w:val="24"/>
          <w:u w:val="single"/>
          <w:lang w:val="en-US" w:eastAsia="en-US" w:bidi="en-US"/>
        </w:rPr>
        <w:t>you</w:t>
      </w:r>
      <w:r>
        <w:rPr>
          <w:rFonts w:ascii="Liberation Serif" w:hAnsi="Liberation Serif" w:eastAsia="DejaVu Sans" w:cs="DejaVu Sans"/>
          <w:color w:val="auto"/>
          <w:sz w:val="20"/>
          <w:szCs w:val="24"/>
          <w:lang w:val="en-US" w:eastAsia="en-US" w:bidi="en-US"/>
        </w:rPr>
        <w:t xml:space="preserve"> were wrong 33 years ago”.</w:t>
      </w:r>
    </w:p>
    <w:p>
      <w:r>
        <w:rPr>
          <w:rFonts w:ascii="Liberation Serif" w:hAnsi="Liberation Serif" w:eastAsia="DejaVu Sans" w:cs="DejaVu Sans"/>
          <w:color w:val="auto"/>
          <w:sz w:val="20"/>
          <w:szCs w:val="24"/>
          <w:lang w:val="en-US" w:eastAsia="en-US" w:bidi="en-US"/>
        </w:rPr>
        <w:t xml:space="preserve">@Stuart: feel free to exercise more cruelty… Alice would be grateful I’m sure.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Times new roman">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76"/>
      <w:jc w:val="left"/>
    </w:pPr>
    <w:rPr>
      <w:rFonts w:ascii="Arial" w:hAnsi="Arial" w:eastAsia="Arial" w:cs="Arial"/>
      <w:color w:val="00000A"/>
      <w:kern w:val="0"/>
      <w:sz w:val="22"/>
      <w:szCs w:val="22"/>
      <w:lang w:val="en-US" w:eastAsia="zh-CN" w:bidi="hi-IN"/>
    </w:rPr>
  </w:style>
  <w:style w:type="paragraph" w:styleId="Heading1">
    <w:name w:val="Heading 1"/>
    <w:basedOn w:val="Normal"/>
    <w:qFormat/>
    <w:pPr>
      <w:keepNext w:val="true"/>
      <w:keepLines/>
      <w:spacing w:lineRule="auto" w:line="240" w:before="480" w:after="120"/>
      <w:outlineLvl w:val="0"/>
    </w:pPr>
    <w:rPr>
      <w:b/>
      <w:sz w:val="48"/>
      <w:szCs w:val="48"/>
    </w:rPr>
  </w:style>
  <w:style w:type="paragraph" w:styleId="Heading2">
    <w:name w:val="Heading 2"/>
    <w:basedOn w:val="Normal"/>
    <w:qFormat/>
    <w:pPr>
      <w:keepNext w:val="true"/>
      <w:keepLines/>
      <w:spacing w:lineRule="auto" w:line="240" w:before="360" w:after="80"/>
      <w:outlineLvl w:val="1"/>
    </w:pPr>
    <w:rPr>
      <w:b/>
      <w:sz w:val="36"/>
      <w:szCs w:val="36"/>
    </w:rPr>
  </w:style>
  <w:style w:type="paragraph" w:styleId="Heading3">
    <w:name w:val="Heading 3"/>
    <w:basedOn w:val="Normal"/>
    <w:qFormat/>
    <w:pPr>
      <w:keepNext w:val="true"/>
      <w:keepLines/>
      <w:spacing w:lineRule="auto" w:line="240" w:before="280" w:after="80"/>
      <w:outlineLvl w:val="2"/>
    </w:pPr>
    <w:rPr>
      <w:b/>
      <w:sz w:val="28"/>
      <w:szCs w:val="28"/>
    </w:rPr>
  </w:style>
  <w:style w:type="paragraph" w:styleId="Heading4">
    <w:name w:val="Heading 4"/>
    <w:basedOn w:val="Normal"/>
    <w:qFormat/>
    <w:pPr>
      <w:keepNext w:val="true"/>
      <w:keepLines/>
      <w:spacing w:lineRule="auto" w:line="240" w:before="240" w:after="40"/>
      <w:outlineLvl w:val="3"/>
    </w:pPr>
    <w:rPr>
      <w:b/>
      <w:sz w:val="24"/>
      <w:szCs w:val="24"/>
    </w:rPr>
  </w:style>
  <w:style w:type="paragraph" w:styleId="Heading5">
    <w:name w:val="Heading 5"/>
    <w:basedOn w:val="Normal"/>
    <w:qFormat/>
    <w:pPr>
      <w:keepNext w:val="true"/>
      <w:keepLines/>
      <w:spacing w:lineRule="auto" w:line="240" w:before="220" w:after="40"/>
      <w:outlineLvl w:val="4"/>
    </w:pPr>
    <w:rPr>
      <w:b/>
    </w:rPr>
  </w:style>
  <w:style w:type="paragraph" w:styleId="Heading6">
    <w:name w:val="Heading 6"/>
    <w:basedOn w:val="Normal"/>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imes New Roman" w:hAnsi="Times New Roman"/>
      <w:sz w:val="22"/>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sz w:val="22"/>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Times New Roman" w:hAnsi="Times New Roman"/>
      <w:sz w:val="22"/>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ascii="Times New Roman" w:hAnsi="Times New Roman"/>
      <w:sz w:val="22"/>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eastAsia="Times New Roman" w:cs="Times New Roman"/>
    </w:rPr>
  </w:style>
  <w:style w:type="character" w:styleId="InternetLink" w:customStyle="1">
    <w:name w:val="Internet Link"/>
    <w:rPr>
      <w:color w:val="000080"/>
      <w:u w:val="single"/>
    </w:rPr>
  </w:style>
  <w:style w:type="character" w:styleId="ListLabel38" w:customStyle="1">
    <w:name w:val="ListLabel 38"/>
    <w:qFormat/>
    <w:rPr>
      <w:rFonts w:ascii="Times New Roman" w:hAnsi="Times New Roman" w:eastAsia="Times New Roman" w:cs="Times New Roman"/>
      <w:u w:val="single"/>
    </w:rPr>
  </w:style>
  <w:style w:type="character" w:styleId="ListLabel39" w:customStyle="1">
    <w:name w:val="ListLabel 39"/>
    <w:qFormat/>
    <w:rPr>
      <w:rFonts w:ascii="Times New Roman" w:hAnsi="Times New Roman" w:cs="Wingdings"/>
      <w:sz w:val="22"/>
      <w:u w:val="none"/>
    </w:rPr>
  </w:style>
  <w:style w:type="character" w:styleId="ListLabel40" w:customStyle="1">
    <w:name w:val="ListLabel 40"/>
    <w:qFormat/>
    <w:rPr>
      <w:rFonts w:cs="Wingdings 2"/>
      <w:u w:val="none"/>
    </w:rPr>
  </w:style>
  <w:style w:type="character" w:styleId="ListLabel41" w:customStyle="1">
    <w:name w:val="ListLabel 41"/>
    <w:qFormat/>
    <w:rPr>
      <w:rFonts w:cs="OpenSymbol"/>
      <w:u w:val="none"/>
    </w:rPr>
  </w:style>
  <w:style w:type="character" w:styleId="ListLabel42" w:customStyle="1">
    <w:name w:val="ListLabel 42"/>
    <w:qFormat/>
    <w:rPr>
      <w:rFonts w:cs="Wingdings"/>
      <w:u w:val="none"/>
    </w:rPr>
  </w:style>
  <w:style w:type="character" w:styleId="ListLabel43" w:customStyle="1">
    <w:name w:val="ListLabel 43"/>
    <w:qFormat/>
    <w:rPr>
      <w:rFonts w:cs="Wingdings 2"/>
      <w:u w:val="none"/>
    </w:rPr>
  </w:style>
  <w:style w:type="character" w:styleId="ListLabel44" w:customStyle="1">
    <w:name w:val="ListLabel 44"/>
    <w:qFormat/>
    <w:rPr>
      <w:rFonts w:cs="OpenSymbol"/>
      <w:u w:val="none"/>
    </w:rPr>
  </w:style>
  <w:style w:type="character" w:styleId="ListLabel45" w:customStyle="1">
    <w:name w:val="ListLabel 45"/>
    <w:qFormat/>
    <w:rPr>
      <w:rFonts w:cs="Wingdings"/>
      <w:u w:val="none"/>
    </w:rPr>
  </w:style>
  <w:style w:type="character" w:styleId="ListLabel46" w:customStyle="1">
    <w:name w:val="ListLabel 46"/>
    <w:qFormat/>
    <w:rPr>
      <w:rFonts w:cs="Wingdings 2"/>
      <w:u w:val="none"/>
    </w:rPr>
  </w:style>
  <w:style w:type="character" w:styleId="ListLabel47" w:customStyle="1">
    <w:name w:val="ListLabel 47"/>
    <w:qFormat/>
    <w:rPr>
      <w:rFonts w:cs="OpenSymbol"/>
      <w:u w:val="none"/>
    </w:rPr>
  </w:style>
  <w:style w:type="character" w:styleId="ListLabel48" w:customStyle="1">
    <w:name w:val="ListLabel 48"/>
    <w:qFormat/>
    <w:rPr>
      <w:rFonts w:ascii="Times New Roman" w:hAnsi="Times New Roman" w:cs="Wingdings"/>
      <w:sz w:val="22"/>
      <w:u w:val="none"/>
    </w:rPr>
  </w:style>
  <w:style w:type="character" w:styleId="ListLabel49" w:customStyle="1">
    <w:name w:val="ListLabel 49"/>
    <w:qFormat/>
    <w:rPr>
      <w:rFonts w:cs="Wingdings 2"/>
      <w:u w:val="none"/>
    </w:rPr>
  </w:style>
  <w:style w:type="character" w:styleId="ListLabel50" w:customStyle="1">
    <w:name w:val="ListLabel 50"/>
    <w:qFormat/>
    <w:rPr>
      <w:rFonts w:cs="OpenSymbol"/>
      <w:u w:val="none"/>
    </w:rPr>
  </w:style>
  <w:style w:type="character" w:styleId="ListLabel51" w:customStyle="1">
    <w:name w:val="ListLabel 51"/>
    <w:qFormat/>
    <w:rPr>
      <w:rFonts w:cs="Wingdings"/>
      <w:u w:val="none"/>
    </w:rPr>
  </w:style>
  <w:style w:type="character" w:styleId="ListLabel52" w:customStyle="1">
    <w:name w:val="ListLabel 52"/>
    <w:qFormat/>
    <w:rPr>
      <w:rFonts w:cs="Wingdings 2"/>
      <w:u w:val="none"/>
    </w:rPr>
  </w:style>
  <w:style w:type="character" w:styleId="ListLabel53" w:customStyle="1">
    <w:name w:val="ListLabel 53"/>
    <w:qFormat/>
    <w:rPr>
      <w:rFonts w:cs="OpenSymbol"/>
      <w:u w:val="none"/>
    </w:rPr>
  </w:style>
  <w:style w:type="character" w:styleId="ListLabel54" w:customStyle="1">
    <w:name w:val="ListLabel 54"/>
    <w:qFormat/>
    <w:rPr>
      <w:rFonts w:cs="Wingdings"/>
      <w:u w:val="none"/>
    </w:rPr>
  </w:style>
  <w:style w:type="character" w:styleId="ListLabel55" w:customStyle="1">
    <w:name w:val="ListLabel 55"/>
    <w:qFormat/>
    <w:rPr>
      <w:rFonts w:cs="Wingdings 2"/>
      <w:u w:val="none"/>
    </w:rPr>
  </w:style>
  <w:style w:type="character" w:styleId="ListLabel56" w:customStyle="1">
    <w:name w:val="ListLabel 56"/>
    <w:qFormat/>
    <w:rPr>
      <w:rFonts w:cs="OpenSymbol"/>
      <w:u w:val="none"/>
    </w:rPr>
  </w:style>
  <w:style w:type="character" w:styleId="ListLabel57" w:customStyle="1">
    <w:name w:val="ListLabel 57"/>
    <w:qFormat/>
    <w:rPr>
      <w:rFonts w:ascii="Times New Roman" w:hAnsi="Times New Roman" w:cs="Wingdings"/>
      <w:sz w:val="22"/>
      <w:u w:val="none"/>
    </w:rPr>
  </w:style>
  <w:style w:type="character" w:styleId="ListLabel58" w:customStyle="1">
    <w:name w:val="ListLabel 58"/>
    <w:qFormat/>
    <w:rPr>
      <w:rFonts w:cs="Wingdings 2"/>
      <w:u w:val="none"/>
    </w:rPr>
  </w:style>
  <w:style w:type="character" w:styleId="ListLabel59" w:customStyle="1">
    <w:name w:val="ListLabel 59"/>
    <w:qFormat/>
    <w:rPr>
      <w:rFonts w:cs="OpenSymbol"/>
      <w:u w:val="none"/>
    </w:rPr>
  </w:style>
  <w:style w:type="character" w:styleId="ListLabel60" w:customStyle="1">
    <w:name w:val="ListLabel 60"/>
    <w:qFormat/>
    <w:rPr>
      <w:rFonts w:cs="Wingdings"/>
      <w:u w:val="none"/>
    </w:rPr>
  </w:style>
  <w:style w:type="character" w:styleId="ListLabel61" w:customStyle="1">
    <w:name w:val="ListLabel 61"/>
    <w:qFormat/>
    <w:rPr>
      <w:rFonts w:cs="Wingdings 2"/>
      <w:u w:val="none"/>
    </w:rPr>
  </w:style>
  <w:style w:type="character" w:styleId="ListLabel62" w:customStyle="1">
    <w:name w:val="ListLabel 62"/>
    <w:qFormat/>
    <w:rPr>
      <w:rFonts w:cs="OpenSymbol"/>
      <w:u w:val="none"/>
    </w:rPr>
  </w:style>
  <w:style w:type="character" w:styleId="ListLabel63" w:customStyle="1">
    <w:name w:val="ListLabel 63"/>
    <w:qFormat/>
    <w:rPr>
      <w:rFonts w:cs="Wingdings"/>
      <w:u w:val="none"/>
    </w:rPr>
  </w:style>
  <w:style w:type="character" w:styleId="ListLabel64" w:customStyle="1">
    <w:name w:val="ListLabel 64"/>
    <w:qFormat/>
    <w:rPr>
      <w:rFonts w:cs="Wingdings 2"/>
      <w:u w:val="none"/>
    </w:rPr>
  </w:style>
  <w:style w:type="character" w:styleId="ListLabel65" w:customStyle="1">
    <w:name w:val="ListLabel 65"/>
    <w:qFormat/>
    <w:rPr>
      <w:rFonts w:cs="OpenSymbol"/>
      <w:u w:val="none"/>
    </w:rPr>
  </w:style>
  <w:style w:type="character" w:styleId="ListLabel66" w:customStyle="1">
    <w:name w:val="ListLabel 66"/>
    <w:qFormat/>
    <w:rPr>
      <w:rFonts w:ascii="Times New Roman" w:hAnsi="Times New Roman" w:cs="Wingdings"/>
      <w:sz w:val="22"/>
      <w:u w:val="none"/>
    </w:rPr>
  </w:style>
  <w:style w:type="character" w:styleId="ListLabel67" w:customStyle="1">
    <w:name w:val="ListLabel 67"/>
    <w:qFormat/>
    <w:rPr>
      <w:rFonts w:cs="Wingdings 2"/>
      <w:u w:val="none"/>
    </w:rPr>
  </w:style>
  <w:style w:type="character" w:styleId="ListLabel68" w:customStyle="1">
    <w:name w:val="ListLabel 68"/>
    <w:qFormat/>
    <w:rPr>
      <w:rFonts w:cs="OpenSymbol"/>
      <w:u w:val="none"/>
    </w:rPr>
  </w:style>
  <w:style w:type="character" w:styleId="ListLabel69" w:customStyle="1">
    <w:name w:val="ListLabel 69"/>
    <w:qFormat/>
    <w:rPr>
      <w:rFonts w:cs="Wingdings"/>
      <w:u w:val="none"/>
    </w:rPr>
  </w:style>
  <w:style w:type="character" w:styleId="ListLabel70" w:customStyle="1">
    <w:name w:val="ListLabel 70"/>
    <w:qFormat/>
    <w:rPr>
      <w:rFonts w:cs="Wingdings 2"/>
      <w:u w:val="none"/>
    </w:rPr>
  </w:style>
  <w:style w:type="character" w:styleId="ListLabel71" w:customStyle="1">
    <w:name w:val="ListLabel 71"/>
    <w:qFormat/>
    <w:rPr>
      <w:rFonts w:cs="OpenSymbol"/>
      <w:u w:val="none"/>
    </w:rPr>
  </w:style>
  <w:style w:type="character" w:styleId="ListLabel72" w:customStyle="1">
    <w:name w:val="ListLabel 72"/>
    <w:qFormat/>
    <w:rPr>
      <w:rFonts w:cs="Wingdings"/>
      <w:u w:val="none"/>
    </w:rPr>
  </w:style>
  <w:style w:type="character" w:styleId="ListLabel73" w:customStyle="1">
    <w:name w:val="ListLabel 73"/>
    <w:qFormat/>
    <w:rPr>
      <w:rFonts w:cs="Wingdings 2"/>
      <w:u w:val="none"/>
    </w:rPr>
  </w:style>
  <w:style w:type="character" w:styleId="ListLabel74" w:customStyle="1">
    <w:name w:val="ListLabel 74"/>
    <w:qFormat/>
    <w:rPr>
      <w:rFonts w:cs="OpenSymbol"/>
      <w:u w:val="none"/>
    </w:rPr>
  </w:style>
  <w:style w:type="character" w:styleId="ListLabel75" w:customStyle="1">
    <w:name w:val="ListLabel 75"/>
    <w:qFormat/>
    <w:rPr>
      <w:rFonts w:ascii="Times New Roman" w:hAnsi="Times New Roman" w:eastAsia="Times New Roman" w:cs="Times New Roman"/>
    </w:rPr>
  </w:style>
  <w:style w:type="character" w:styleId="ListLabel76" w:customStyle="1">
    <w:name w:val="ListLabel 76"/>
    <w:qFormat/>
    <w:rPr>
      <w:rFonts w:ascii="Times New Roman" w:hAnsi="Times New Roman" w:eastAsia="Times New Roman" w:cs="Times New Roman"/>
      <w:u w:val="single"/>
    </w:rPr>
  </w:style>
  <w:style w:type="character" w:styleId="ListLabel77" w:customStyle="1">
    <w:name w:val="ListLabel 77"/>
    <w:qFormat/>
    <w:rPr>
      <w:rFonts w:cs="Wingdings"/>
      <w:sz w:val="22"/>
      <w:u w:val="none"/>
    </w:rPr>
  </w:style>
  <w:style w:type="character" w:styleId="ListLabel78" w:customStyle="1">
    <w:name w:val="ListLabel 78"/>
    <w:qFormat/>
    <w:rPr>
      <w:rFonts w:cs="Wingdings 2"/>
      <w:u w:val="none"/>
    </w:rPr>
  </w:style>
  <w:style w:type="character" w:styleId="ListLabel79" w:customStyle="1">
    <w:name w:val="ListLabel 79"/>
    <w:qFormat/>
    <w:rPr>
      <w:rFonts w:cs="OpenSymbol"/>
      <w:u w:val="none"/>
    </w:rPr>
  </w:style>
  <w:style w:type="character" w:styleId="ListLabel80" w:customStyle="1">
    <w:name w:val="ListLabel 80"/>
    <w:qFormat/>
    <w:rPr>
      <w:rFonts w:cs="Wingdings"/>
      <w:u w:val="none"/>
    </w:rPr>
  </w:style>
  <w:style w:type="character" w:styleId="ListLabel81" w:customStyle="1">
    <w:name w:val="ListLabel 81"/>
    <w:qFormat/>
    <w:rPr>
      <w:rFonts w:cs="Wingdings 2"/>
      <w:u w:val="none"/>
    </w:rPr>
  </w:style>
  <w:style w:type="character" w:styleId="ListLabel82" w:customStyle="1">
    <w:name w:val="ListLabel 82"/>
    <w:qFormat/>
    <w:rPr>
      <w:rFonts w:cs="OpenSymbol"/>
      <w:u w:val="none"/>
    </w:rPr>
  </w:style>
  <w:style w:type="character" w:styleId="ListLabel83" w:customStyle="1">
    <w:name w:val="ListLabel 83"/>
    <w:qFormat/>
    <w:rPr>
      <w:rFonts w:cs="Wingdings"/>
      <w:u w:val="none"/>
    </w:rPr>
  </w:style>
  <w:style w:type="character" w:styleId="ListLabel84" w:customStyle="1">
    <w:name w:val="ListLabel 84"/>
    <w:qFormat/>
    <w:rPr>
      <w:rFonts w:cs="Wingdings 2"/>
      <w:u w:val="none"/>
    </w:rPr>
  </w:style>
  <w:style w:type="character" w:styleId="ListLabel85" w:customStyle="1">
    <w:name w:val="ListLabel 85"/>
    <w:qFormat/>
    <w:rPr>
      <w:rFonts w:cs="OpenSymbol"/>
      <w:u w:val="none"/>
    </w:rPr>
  </w:style>
  <w:style w:type="character" w:styleId="ListLabel86" w:customStyle="1">
    <w:name w:val="ListLabel 86"/>
    <w:qFormat/>
    <w:rPr>
      <w:rFonts w:ascii="Times New Roman" w:hAnsi="Times New Roman" w:cs="Wingdings"/>
      <w:sz w:val="22"/>
      <w:u w:val="none"/>
    </w:rPr>
  </w:style>
  <w:style w:type="character" w:styleId="ListLabel87" w:customStyle="1">
    <w:name w:val="ListLabel 87"/>
    <w:qFormat/>
    <w:rPr>
      <w:rFonts w:cs="Wingdings 2"/>
      <w:u w:val="none"/>
    </w:rPr>
  </w:style>
  <w:style w:type="character" w:styleId="ListLabel88" w:customStyle="1">
    <w:name w:val="ListLabel 88"/>
    <w:qFormat/>
    <w:rPr>
      <w:rFonts w:cs="OpenSymbol"/>
      <w:u w:val="none"/>
    </w:rPr>
  </w:style>
  <w:style w:type="character" w:styleId="ListLabel89" w:customStyle="1">
    <w:name w:val="ListLabel 89"/>
    <w:qFormat/>
    <w:rPr>
      <w:rFonts w:cs="Wingdings"/>
      <w:u w:val="none"/>
    </w:rPr>
  </w:style>
  <w:style w:type="character" w:styleId="ListLabel90" w:customStyle="1">
    <w:name w:val="ListLabel 90"/>
    <w:qFormat/>
    <w:rPr>
      <w:rFonts w:cs="Wingdings 2"/>
      <w:u w:val="none"/>
    </w:rPr>
  </w:style>
  <w:style w:type="character" w:styleId="ListLabel91" w:customStyle="1">
    <w:name w:val="ListLabel 91"/>
    <w:qFormat/>
    <w:rPr>
      <w:rFonts w:cs="OpenSymbol"/>
      <w:u w:val="none"/>
    </w:rPr>
  </w:style>
  <w:style w:type="character" w:styleId="ListLabel92" w:customStyle="1">
    <w:name w:val="ListLabel 92"/>
    <w:qFormat/>
    <w:rPr>
      <w:rFonts w:cs="Wingdings"/>
      <w:u w:val="none"/>
    </w:rPr>
  </w:style>
  <w:style w:type="character" w:styleId="ListLabel93" w:customStyle="1">
    <w:name w:val="ListLabel 93"/>
    <w:qFormat/>
    <w:rPr>
      <w:rFonts w:cs="Wingdings 2"/>
      <w:u w:val="none"/>
    </w:rPr>
  </w:style>
  <w:style w:type="character" w:styleId="ListLabel94" w:customStyle="1">
    <w:name w:val="ListLabel 94"/>
    <w:qFormat/>
    <w:rPr>
      <w:rFonts w:cs="OpenSymbol"/>
      <w:u w:val="none"/>
    </w:rPr>
  </w:style>
  <w:style w:type="character" w:styleId="ListLabel95" w:customStyle="1">
    <w:name w:val="ListLabel 95"/>
    <w:qFormat/>
    <w:rPr>
      <w:rFonts w:cs="Wingdings"/>
      <w:sz w:val="22"/>
      <w:u w:val="none"/>
    </w:rPr>
  </w:style>
  <w:style w:type="character" w:styleId="ListLabel96" w:customStyle="1">
    <w:name w:val="ListLabel 96"/>
    <w:qFormat/>
    <w:rPr>
      <w:rFonts w:cs="Wingdings 2"/>
      <w:u w:val="none"/>
    </w:rPr>
  </w:style>
  <w:style w:type="character" w:styleId="ListLabel97" w:customStyle="1">
    <w:name w:val="ListLabel 97"/>
    <w:qFormat/>
    <w:rPr>
      <w:rFonts w:cs="OpenSymbol"/>
      <w:u w:val="none"/>
    </w:rPr>
  </w:style>
  <w:style w:type="character" w:styleId="ListLabel98" w:customStyle="1">
    <w:name w:val="ListLabel 98"/>
    <w:qFormat/>
    <w:rPr>
      <w:rFonts w:cs="Wingdings"/>
      <w:u w:val="none"/>
    </w:rPr>
  </w:style>
  <w:style w:type="character" w:styleId="ListLabel99" w:customStyle="1">
    <w:name w:val="ListLabel 99"/>
    <w:qFormat/>
    <w:rPr>
      <w:rFonts w:cs="Wingdings 2"/>
      <w:u w:val="none"/>
    </w:rPr>
  </w:style>
  <w:style w:type="character" w:styleId="ListLabel100" w:customStyle="1">
    <w:name w:val="ListLabel 100"/>
    <w:qFormat/>
    <w:rPr>
      <w:rFonts w:cs="OpenSymbol"/>
      <w:u w:val="none"/>
    </w:rPr>
  </w:style>
  <w:style w:type="character" w:styleId="ListLabel101" w:customStyle="1">
    <w:name w:val="ListLabel 101"/>
    <w:qFormat/>
    <w:rPr>
      <w:rFonts w:cs="Wingdings"/>
      <w:u w:val="none"/>
    </w:rPr>
  </w:style>
  <w:style w:type="character" w:styleId="ListLabel102" w:customStyle="1">
    <w:name w:val="ListLabel 102"/>
    <w:qFormat/>
    <w:rPr>
      <w:rFonts w:cs="Wingdings 2"/>
      <w:u w:val="none"/>
    </w:rPr>
  </w:style>
  <w:style w:type="character" w:styleId="ListLabel103" w:customStyle="1">
    <w:name w:val="ListLabel 103"/>
    <w:qFormat/>
    <w:rPr>
      <w:rFonts w:cs="OpenSymbol"/>
      <w:u w:val="none"/>
    </w:rPr>
  </w:style>
  <w:style w:type="character" w:styleId="ListLabel104" w:customStyle="1">
    <w:name w:val="ListLabel 104"/>
    <w:qFormat/>
    <w:rPr>
      <w:rFonts w:ascii="Times New Roman" w:hAnsi="Times New Roman" w:cs="Wingdings"/>
      <w:sz w:val="22"/>
      <w:u w:val="none"/>
    </w:rPr>
  </w:style>
  <w:style w:type="character" w:styleId="ListLabel105" w:customStyle="1">
    <w:name w:val="ListLabel 105"/>
    <w:qFormat/>
    <w:rPr>
      <w:rFonts w:cs="Wingdings 2"/>
      <w:u w:val="none"/>
    </w:rPr>
  </w:style>
  <w:style w:type="character" w:styleId="ListLabel106" w:customStyle="1">
    <w:name w:val="ListLabel 106"/>
    <w:qFormat/>
    <w:rPr>
      <w:rFonts w:cs="OpenSymbol"/>
      <w:u w:val="none"/>
    </w:rPr>
  </w:style>
  <w:style w:type="character" w:styleId="ListLabel107" w:customStyle="1">
    <w:name w:val="ListLabel 107"/>
    <w:qFormat/>
    <w:rPr>
      <w:rFonts w:cs="Wingdings"/>
      <w:u w:val="none"/>
    </w:rPr>
  </w:style>
  <w:style w:type="character" w:styleId="ListLabel108" w:customStyle="1">
    <w:name w:val="ListLabel 108"/>
    <w:qFormat/>
    <w:rPr>
      <w:rFonts w:cs="Wingdings 2"/>
      <w:u w:val="none"/>
    </w:rPr>
  </w:style>
  <w:style w:type="character" w:styleId="ListLabel109" w:customStyle="1">
    <w:name w:val="ListLabel 109"/>
    <w:qFormat/>
    <w:rPr>
      <w:rFonts w:cs="OpenSymbol"/>
      <w:u w:val="none"/>
    </w:rPr>
  </w:style>
  <w:style w:type="character" w:styleId="ListLabel110" w:customStyle="1">
    <w:name w:val="ListLabel 110"/>
    <w:qFormat/>
    <w:rPr>
      <w:rFonts w:cs="Wingdings"/>
      <w:u w:val="none"/>
    </w:rPr>
  </w:style>
  <w:style w:type="character" w:styleId="ListLabel111" w:customStyle="1">
    <w:name w:val="ListLabel 111"/>
    <w:qFormat/>
    <w:rPr>
      <w:rFonts w:cs="Wingdings 2"/>
      <w:u w:val="none"/>
    </w:rPr>
  </w:style>
  <w:style w:type="character" w:styleId="ListLabel112" w:customStyle="1">
    <w:name w:val="ListLabel 112"/>
    <w:qFormat/>
    <w:rPr>
      <w:rFonts w:cs="OpenSymbol"/>
      <w:u w:val="none"/>
    </w:rPr>
  </w:style>
  <w:style w:type="character" w:styleId="ListLabel113" w:customStyle="1">
    <w:name w:val="ListLabel 113"/>
    <w:qFormat/>
    <w:rPr>
      <w:rFonts w:ascii="Times New Roman" w:hAnsi="Times New Roman" w:eastAsia="Times New Roman" w:cs="Times New Roman"/>
    </w:rPr>
  </w:style>
  <w:style w:type="character" w:styleId="ListLabel114" w:customStyle="1">
    <w:name w:val="ListLabel 114"/>
    <w:qFormat/>
    <w:rPr>
      <w:rFonts w:ascii="Times New Roman" w:hAnsi="Times New Roman" w:eastAsia="Times New Roman" w:cs="Times New Roman"/>
    </w:rPr>
  </w:style>
  <w:style w:type="character" w:styleId="ListLabel115" w:customStyle="1">
    <w:name w:val="ListLabel 115"/>
    <w:qFormat/>
    <w:rPr>
      <w:rFonts w:ascii="Times New Roman" w:hAnsi="Times New Roman" w:eastAsia="Times New Roman" w:cs="Times New Roman"/>
      <w:u w:val="single"/>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0261fa"/>
    <w:rPr>
      <w:rFonts w:ascii="Segoe UI" w:hAnsi="Segoe UI" w:cs="Mangal"/>
      <w:color w:val="00000A"/>
      <w:sz w:val="18"/>
      <w:szCs w:val="16"/>
    </w:rPr>
  </w:style>
  <w:style w:type="character" w:styleId="ListLabel116">
    <w:name w:val="ListLabel 116"/>
    <w:qFormat/>
    <w:rPr>
      <w:rFonts w:cs="Wingdings"/>
      <w:sz w:val="22"/>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ascii="Times New Roman" w:hAnsi="Times New Roman" w:cs="Wingdings"/>
      <w:sz w:val="22"/>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sz w:val="22"/>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ascii="Times New Roman" w:hAnsi="Times New Roman" w:cs="Wingdings"/>
      <w:sz w:val="22"/>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eastAsia="Arial"/>
    </w:rPr>
  </w:style>
  <w:style w:type="character" w:styleId="ListLabel153">
    <w:name w:val="ListLabel 153"/>
    <w:qFormat/>
    <w:rPr>
      <w:rFonts w:ascii="Times New Roman" w:hAnsi="Times New Roman" w:eastAsia="Times New Roman" w:cs="Times New Roman"/>
    </w:rPr>
  </w:style>
  <w:style w:type="character" w:styleId="ListLabel154">
    <w:name w:val="ListLabel 154"/>
    <w:qFormat/>
    <w:rPr>
      <w:rFonts w:eastAsia="Aria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Onormal" w:customStyle="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qFormat/>
    <w:pPr>
      <w:keepNext w:val="true"/>
      <w:keepLines/>
      <w:spacing w:before="480" w:after="120"/>
    </w:pPr>
    <w:rPr>
      <w:b/>
      <w:sz w:val="72"/>
      <w:szCs w:val="72"/>
    </w:rPr>
  </w:style>
  <w:style w:type="paragraph" w:styleId="Subtitle">
    <w:name w:val="Subtitle"/>
    <w:basedOn w:val="LO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rFonts w:cs="Mangal"/>
      <w:sz w:val="20"/>
      <w:szCs w:val="18"/>
    </w:rPr>
  </w:style>
  <w:style w:type="paragraph" w:styleId="BalloonText">
    <w:name w:val="Balloon Text"/>
    <w:basedOn w:val="Normal"/>
    <w:link w:val="BalloonTextChar"/>
    <w:uiPriority w:val="99"/>
    <w:semiHidden/>
    <w:unhideWhenUsed/>
    <w:qFormat/>
    <w:rsid w:val="000261fa"/>
    <w:pPr>
      <w:spacing w:lineRule="auto" w:line="240"/>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611277v2.full" TargetMode="External"/><Relationship Id="rId3" Type="http://schemas.openxmlformats.org/officeDocument/2006/relationships/hyperlink" Target="https://github.com/alicebalard/Article_IntensityEimeriaHMHZ/tree/master/code" TargetMode="External"/><Relationship Id="rId4" Type="http://schemas.openxmlformats.org/officeDocument/2006/relationships/hyperlink" Target="https://www.cell.com/trends/ecology-evolution/fulltext/S0169-5347(19)30026-6"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LibreOffice/6.1.5.2$Linux_X86_64 LibreOffice_project/10$Build-2</Application>
  <Pages>24</Pages>
  <Words>11235</Words>
  <Characters>58817</Characters>
  <CharactersWithSpaces>70001</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2019-10-01T17:04:00Z</dcterms:created>
  <dc:creator>Jaroslav Piálek</dc:creator>
  <dc:description/>
  <dc:language>en-US</dc:language>
  <cp:lastModifiedBy/>
  <dcterms:modified xsi:type="dcterms:W3CDTF">2019-10-03T08:04:07Z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