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360" w:before="0"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thank the reviewers for their thorough comments. Please find attached an annotated version of the main text with all </w:t>
      </w:r>
      <w:r>
        <w:rPr>
          <w:rFonts w:eastAsia="Times New Roman" w:cs="Times New Roman" w:ascii="Times New Roman" w:hAnsi="Times New Roman"/>
        </w:rPr>
        <w:t>changes made to the original manuscript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highlighted in yellow, as well as supplementary material updated according to the reviewers’ requests.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spacing w:val="0"/>
          <w:position w:val="0"/>
          <w:sz w:val="22"/>
          <w:sz w:val="48"/>
          <w:szCs w:val="48"/>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48"/>
          <w:sz w:val="48"/>
          <w:szCs w:val="48"/>
          <w:u w:val="none"/>
          <w:shd w:fill="auto" w:val="clear"/>
          <w:vertAlign w:val="baseline"/>
        </w:rPr>
        <w:t xml:space="preserve">Response to reviewer 1.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Main of my comments follow the text, only the last ones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model and parasitological concepts are given apart. I refer to previous or subsequent comments that complete each other when necessary, to avoid repetitions.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57-59: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Review the statement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 experimental works, Moulia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et al</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1995 and Derothe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et al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2004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do not show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et al</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(1995), only F1 are concerned, which clearly cannot be compared to highly recombined wild hybrids. Indeed, Derothe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et al</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et al.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1991), either those observed with experimental infections of wild-derived strains (Moulia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et al.,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1993). Derothe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et al.</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2004 proposed a new hypothesis to be coherent with these previous field results and experimental infections, suggesting that a pleiotropic effect was selected in the hybrid zone (see further).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agree that the difference between F1 and recombinant hybrids should be made as clear as possible and therefore changed the wording “hybrid” by “inter-subspecies F1” (line 58-59 new). We address general challenges dealing with these previous results in our last comment to this reviewer.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59-60: “the highest statistical power”.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Quite strong statement without arguments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 statistical choice of Baird et al. 2012, as well as this of this very study, is not the only available one (see upcoming comments).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agree that superlatives should be avoided in scientific writing. We mention sample size and sampling design (see following paragraph) as arguments now. We do not develop further, as the argument is thoroughly developed in the study itself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highlight w:val="white"/>
          <w:u w:val="none"/>
          <w:vertAlign w:val="baseline"/>
        </w:rPr>
        <w:t>Baird et al. 2012). The sentence now reads “[…] more recent field study, with high statistical power (more mice sampled and more suitable statistical approach) and  improved sampling design,[…]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(line 60-62 new).</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91 : “prevalence and abundance, the latter defined as parasite load in all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Bad definition of abundance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comment highlights a lack of clarity in our original text, in which we refer to “all possible hosts, i.e. the whole sample” as “host”. We therefore replace “hosts” by “animals” (line 97 new).</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is a very useful conceptual point to clarify and we thank the reviewer for bringing it to our attention. We, indeed, had used  controversial terminology (pathogenicity) for “impact on host health”. We now replace all occurrences of the term “pathogenicity” by “impact on host health” in the text.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73-74: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narrow point of view and weakness of the references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very frequent in all mouse populations. See for instance Behnke, 1975; Behnke, 1976; Kriska, 1993; Ressouche et al., 1998. </w:t>
      </w:r>
    </w:p>
    <w:p>
      <w:pPr>
        <w:pStyle w:val="Normal"/>
        <w:keepNext w:val="false"/>
        <w:keepLines w:val="false"/>
        <w:widowControl w:val="false"/>
        <w:shd w:val="clear" w:fill="auto"/>
        <w:spacing w:lineRule="auto" w:line="360" w:before="288" w:after="0"/>
        <w:ind w:left="0" w:right="-23"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added the mentioned references.</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75-76. Pay attention, this is 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prejudiced idea</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keepNext w:val="false"/>
        <w:keepLines w:val="false"/>
        <w:widowControl w:val="false"/>
        <w:shd w:val="clear" w:fill="auto"/>
        <w:spacing w:lineRule="auto" w:line="360" w:before="0" w:after="0"/>
        <w:ind w:left="72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In the specific sentence, we modified as follow:  </w:t>
        <w:tab/>
        <w:tab/>
        <w:t xml:space="preserve"> </w:t>
        <w:tab/>
        <w:t xml:space="preserve"> </w:t>
        <w:tab/>
      </w:r>
    </w:p>
    <w:p>
      <w:pPr>
        <w:pStyle w:val="Normal"/>
        <w:keepNext w:val="false"/>
        <w:keepLines w:val="false"/>
        <w:widowControl w:val="false"/>
        <w:shd w:val="clear" w:fill="auto"/>
        <w:spacing w:lineRule="auto" w:line="360" w:before="0" w:after="0"/>
        <w:ind w:left="0" w:right="-3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They are often considered to provoke mild symptoms on their hosts, even if in rare conditions (e.g. particularly high burden) they have been shown to affect the health of laboratory mice (Taffs, 1976).” (lines 84-86 new).</w:t>
      </w:r>
    </w:p>
    <w:p>
      <w:pPr>
        <w:pStyle w:val="Normal"/>
        <w:keepNext w:val="false"/>
        <w:keepLines w:val="false"/>
        <w:widowControl w:val="false"/>
        <w:shd w:val="clear" w:fill="auto"/>
        <w:spacing w:lineRule="auto" w:line="360" w:before="0" w:after="0"/>
        <w:ind w:left="72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980000"/>
          <w:position w:val="0"/>
          <w:sz w:val="22"/>
          <w:sz w:val="22"/>
          <w:szCs w:val="22"/>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single"/>
          <w:shd w:fill="auto" w:val="clear"/>
          <w:vertAlign w:val="baseline"/>
        </w:rPr>
        <w:t>As a more general comment, to which we will refer to in later comments:</w:t>
      </w:r>
    </w:p>
    <w:p>
      <w:pPr>
        <w:pStyle w:val="Normal"/>
        <w:keepNext w:val="false"/>
        <w:keepLines w:val="false"/>
        <w:widowControl w:val="false"/>
        <w:shd w:val="clear" w:fill="auto"/>
        <w:spacing w:lineRule="auto" w:line="360" w:before="0" w:after="0"/>
        <w:ind w:left="720" w:right="-3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33" w:hanging="0"/>
        <w:jc w:val="both"/>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Our study is designed to jointly study two different parasites. We test if any general hybrid effect on resistance and impact on health could be detected. We chose to focus on two parasites from very different phyla, namely Nematoda and Apicomplexa. We wanted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Instead we highlight all differences between the parasites: a) extra vs. intra-cellular, b) targeting  Th2 vs  Th1 immune pathways, c) possible different impact on host health. We now introduce these aspects in more detail in the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introduction</w:t>
      </w:r>
      <w:r>
        <w:rPr>
          <w:rFonts w:eastAsia="Times New Roman" w:cs="Times New Roman" w:ascii="Times New Roman" w:hAnsi="Times New Roman"/>
          <w:color w:val="000000"/>
        </w:rPr>
        <w:t xml:space="preserve">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(line 70-77 new), and in the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discussion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(line 422-427 new). </w:t>
      </w:r>
    </w:p>
    <w:p>
      <w:pPr>
        <w:pStyle w:val="Normal"/>
        <w:keepNext w:val="false"/>
        <w:keepLines w:val="false"/>
        <w:widowControl w:val="false"/>
        <w:shd w:val="clear" w:fill="auto"/>
        <w:spacing w:lineRule="auto" w:line="360" w:before="292"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79-81: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Review the statement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That is not really what Al-khlifeh et al., 2019, shows. Especially on weight loss, one of the wild-derived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strains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ferissi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from the mice studied in this very study)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show the same level of negative effect than the laboratory maintained strain of the same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species. The other wild-derived strain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falciformis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does not decrease the weight of the NMRI mice compared to the controls. The Al-khlifeh et al. reference then shows that different species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could have different effect on the mouse strain NMRI (i.e. one mouse genotype). That is all the authors can say!</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disagree. This statement is correct. The main focus of Al-khlifeh et al. 2019 is on differences in gene expression induced by different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isolates. Indeed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 ferrisi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(as opposed to the E</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 falciformis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lab isolate) did not induce a systematic response measurable in the spleen. Nevertheless, mice lost weight in infection with all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isolates from the different species. “The period of patency (oocyst shedding) was characterized by body weight loss in infected mice in all infections (</w:t>
      </w:r>
      <w:r>
        <w:fldChar w:fldCharType="begin"/>
      </w:r>
      <w:r>
        <w:rPr>
          <w:rStyle w:val="ListLabel19"/>
          <w:smallCaps w:val="false"/>
          <w:caps w:val="false"/>
          <w:dstrike w:val="false"/>
          <w:strike w:val="false"/>
          <w:vertAlign w:val="baseline"/>
          <w:position w:val="0"/>
          <w:sz w:val="22"/>
          <w:sz w:val="22"/>
          <w:i w:val="false"/>
          <w:u w:val="none"/>
          <w:b w:val="false"/>
          <w:szCs w:val="22"/>
          <w:rFonts w:eastAsia="Times New Roman" w:cs="Times New Roman" w:ascii="Times New Roman" w:hAnsi="Times New Roman"/>
        </w:rPr>
        <w:instrText> HYPERLINK "https://www.biorxiv.org/content/10.1101/611277v2.full" \l "F1"</w:instrText>
      </w:r>
      <w:r>
        <w:rPr>
          <w:rStyle w:val="ListLabel19"/>
          <w:smallCaps w:val="false"/>
          <w:caps w:val="false"/>
          <w:dstrike w:val="false"/>
          <w:strike w:val="false"/>
          <w:vertAlign w:val="baseline"/>
          <w:position w:val="0"/>
          <w:sz w:val="22"/>
          <w:sz w:val="22"/>
          <w:i w:val="false"/>
          <w:u w:val="none"/>
          <w:b w:val="false"/>
          <w:szCs w:val="22"/>
          <w:rFonts w:eastAsia="Times New Roman" w:cs="Times New Roman" w:ascii="Times New Roman" w:hAnsi="Times New Roman"/>
        </w:rPr>
        <w:fldChar w:fldCharType="separate"/>
      </w:r>
      <w:r>
        <w:rPr>
          <w:rStyle w:val="ListLabel19"/>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t>Figure 1b</w:t>
      </w:r>
      <w:r>
        <w:rPr>
          <w:rStyle w:val="ListLabel19"/>
          <w:smallCaps w:val="false"/>
          <w:caps w:val="false"/>
          <w:dstrike w:val="false"/>
          <w:strike w:val="false"/>
          <w:vertAlign w:val="baseline"/>
          <w:position w:val="0"/>
          <w:sz w:val="22"/>
          <w:sz w:val="22"/>
          <w:i w:val="false"/>
          <w:u w:val="non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w:t>
      </w:r>
      <w:hyperlink r:id="rId2">
        <w:r>
          <w:rPr>
            <w:rStyle w:val="ListLabel19"/>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t>https://www.biorxiv.org/content/10.1101/611277v2.full</w:t>
        </w:r>
      </w:hyperlink>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360" w:before="288"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81-84 : parasites in another host species than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M. musculus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The extrapolation is far too fast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Treponema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or HIV /SIV.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agree, and remove the extrapolation.</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84-86: we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lack data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model. </w:t>
      </w:r>
    </w:p>
    <w:p>
      <w:pPr>
        <w:pStyle w:val="Normal"/>
        <w:keepNext w:val="false"/>
        <w:keepLines w:val="false"/>
        <w:widowControl w:val="false"/>
        <w:shd w:val="clear" w:fill="auto"/>
        <w:spacing w:lineRule="auto" w:line="360" w:before="288" w:after="0"/>
        <w:ind w:left="0" w:right="-28" w:hanging="0"/>
        <w:jc w:val="both"/>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That is a very good point. By the time of the analysis, we did not have the full dataset genotyped. We are happy to provide supplementary data on the most prevalent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species, namely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E. ferrisi.</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This analysis confirms the results on hybrid resistance at the genus level. We added this information in the text (lines 363-368 new) and as</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 Supplementary Figure S6.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We moreover added identification at the species level, for those that we could identify, in a column of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Supplementary Table S3</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(previously Supplementary Table S1). We hope it is obvious that hybrid differences cannot be tested for parasites with low prevalence due to a lack of statistical power.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C10.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87: “a novel transect”.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Specify</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“novel” compared to what? I suppose not from this of Jarquín-Díaz et al., 2019, as it is the same transect and as this one includes the Jarquin-Diaz sampling! </w:t>
      </w:r>
    </w:p>
    <w:p>
      <w:pPr>
        <w:pStyle w:val="Normal"/>
        <w:keepNext w:val="false"/>
        <w:keepLines w:val="false"/>
        <w:widowControl w:val="false"/>
        <w:shd w:val="clear" w:fill="auto"/>
        <w:spacing w:lineRule="auto" w:line="360" w:before="288" w:after="0"/>
        <w:ind w:left="0" w:right="-28"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For clarity, we added “in which the hypothesis of hybrid resistance/susceptibility to parasite had never before been tested.”  (lines 95-96 new)</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88-91: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Trouble with excluding “zero” loads of the analysis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keepNext w:val="false"/>
        <w:keepLines w:val="false"/>
        <w:widowControl w:val="false"/>
        <w:shd w:val="clear" w:fill="auto"/>
        <w:spacing w:lineRule="auto" w:line="360" w:before="297" w:after="0"/>
        <w:ind w:left="335" w:right="4584"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you have not yet encounter the parasites, </w:t>
      </w:r>
    </w:p>
    <w:p>
      <w:pPr>
        <w:pStyle w:val="Normal"/>
        <w:keepNext w:val="false"/>
        <w:keepLines w:val="false"/>
        <w:widowControl w:val="false"/>
        <w:shd w:val="clear" w:fill="auto"/>
        <w:spacing w:lineRule="auto" w:line="360" w:before="100" w:after="0"/>
        <w:ind w:left="335" w:right="-2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keepNext w:val="false"/>
        <w:keepLines w:val="false"/>
        <w:widowControl w:val="false"/>
        <w:shd w:val="clear" w:fill="auto"/>
        <w:spacing w:lineRule="auto" w:line="360" w:before="100" w:after="0"/>
        <w:ind w:left="335" w:right="240"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you have been infested before those around you and have already eliminate the parasites </w:t>
      </w:r>
    </w:p>
    <w:p>
      <w:pPr>
        <w:pStyle w:val="Normal"/>
        <w:keepNext w:val="false"/>
        <w:keepLines w:val="false"/>
        <w:widowControl w:val="false"/>
        <w:shd w:val="clear" w:fill="auto"/>
        <w:spacing w:lineRule="auto" w:line="360" w:before="96" w:after="0"/>
        <w:ind w:left="335" w:right="-3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you have been infested in the same time than those around you but you have been successful to eliminate the parasites, while the others no (or not yet) </w:t>
      </w:r>
    </w:p>
    <w:p>
      <w:pPr>
        <w:pStyle w:val="Normal"/>
        <w:keepNext w:val="false"/>
        <w:keepLines w:val="false"/>
        <w:widowControl w:val="false"/>
        <w:shd w:val="clear" w:fill="auto"/>
        <w:spacing w:lineRule="auto" w:line="360" w:before="96" w:after="0"/>
        <w:ind w:left="335"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96"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This comment, as well as several mentioned later on, helped us to improve our article in the following way. We:</w:t>
      </w:r>
    </w:p>
    <w:p>
      <w:pPr>
        <w:pStyle w:val="Normal"/>
        <w:keepNext w:val="false"/>
        <w:keepLines w:val="false"/>
        <w:widowControl w:val="false"/>
        <w:numPr>
          <w:ilvl w:val="0"/>
          <w:numId w:val="1"/>
        </w:numPr>
        <w:shd w:val="clear" w:fill="auto"/>
        <w:spacing w:lineRule="auto" w:line="360" w:before="96" w:after="0"/>
        <w:ind w:left="720" w:right="-33" w:hanging="360"/>
        <w:jc w:val="both"/>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added a detailed paragraph describing our approach (lines 198-213 new) integrating information on the SIR mo</w:t>
      </w: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del and how we approach it in our model</w:t>
      </w:r>
    </w:p>
    <w:p>
      <w:pPr>
        <w:pStyle w:val="Normal"/>
        <w:keepNext w:val="false"/>
        <w:keepLines w:val="false"/>
        <w:widowControl w:val="false"/>
        <w:numPr>
          <w:ilvl w:val="0"/>
          <w:numId w:val="1"/>
        </w:numPr>
        <w:shd w:val="clear" w:fill="auto"/>
        <w:spacing w:lineRule="auto" w:line="360" w:before="0" w:after="0"/>
        <w:ind w:left="720" w:right="-33" w:hanging="360"/>
        <w:jc w:val="both"/>
        <w:rPr>
          <w:color w:val="000000"/>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 xml:space="preserve">tested that </w:t>
      </w:r>
      <w:r>
        <w:rPr>
          <w:rFonts w:eastAsia="Times New Roman" w:cs="Times New Roman" w:ascii="Times New Roman" w:hAnsi="Times New Roman"/>
          <w:color w:val="000000"/>
          <w:highlight w:val="white"/>
        </w:rPr>
        <w:t xml:space="preserve">there is no change in the age structure across the HMHZ (proxy </w:t>
      </w: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for potential differences in mortality of hybrids</w:t>
      </w:r>
      <w:r>
        <w:rPr>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 (lines 229-244; lines 346-354)</w:t>
      </w:r>
    </w:p>
    <w:p>
      <w:pPr>
        <w:pStyle w:val="Normal"/>
        <w:keepNext w:val="false"/>
        <w:keepLines w:val="false"/>
        <w:widowControl w:val="false"/>
        <w:numPr>
          <w:ilvl w:val="0"/>
          <w:numId w:val="1"/>
        </w:numPr>
        <w:shd w:val="clear" w:fill="auto"/>
        <w:spacing w:lineRule="auto" w:line="360" w:before="0" w:after="0"/>
        <w:ind w:left="720" w:right="-33" w:hanging="360"/>
        <w:jc w:val="both"/>
        <w:rPr>
          <w:color w:val="000000"/>
        </w:rPr>
      </w:pPr>
      <w:r>
        <w:rPr>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added a new figure reporting the result of ou</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 test on mortality (Supplementary Figure S7)</w:t>
      </w:r>
    </w:p>
    <w:p>
      <w:pPr>
        <w:pStyle w:val="Normal"/>
        <w:keepNext w:val="false"/>
        <w:keepLines w:val="false"/>
        <w:widowControl w:val="false"/>
        <w:shd w:val="clear" w:fill="auto"/>
        <w:spacing w:lineRule="auto" w:line="360" w:before="96" w:after="0"/>
        <w:ind w:left="335" w:right="-33" w:hanging="0"/>
        <w:jc w:val="both"/>
        <w:rPr>
          <w:rFonts w:ascii="Times New Roman" w:hAnsi="Times New Roman" w:eastAsia="Times New Roman" w:cs="Times New Roman"/>
          <w:b w:val="false"/>
          <w:b w:val="false"/>
          <w:i w:val="false"/>
          <w:i w:val="false"/>
          <w:caps w:val="false"/>
          <w:smallCaps w:val="false"/>
          <w:strike w:val="false"/>
          <w:dstrike w:val="false"/>
          <w:color w:val="1C1D1E"/>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r>
    </w:p>
    <w:p>
      <w:pPr>
        <w:pStyle w:val="Normal"/>
        <w:keepNext w:val="false"/>
        <w:keepLines w:val="false"/>
        <w:widowControl w:val="false"/>
        <w:shd w:val="clear" w:fill="auto"/>
        <w:spacing w:lineRule="auto" w:line="360" w:before="96" w:after="0"/>
        <w:ind w:left="0" w:right="-3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has been important in evaluating difference in resistance or susceptibility. See specific comments on “parasitological indexes approach”. </w:t>
      </w:r>
    </w:p>
    <w:p>
      <w:pPr>
        <w:pStyle w:val="Normal"/>
        <w:keepNext w:val="false"/>
        <w:keepLines w:val="false"/>
        <w:widowControl w:val="false"/>
        <w:shd w:val="clear" w:fill="auto"/>
        <w:spacing w:lineRule="auto" w:line="360" w:before="96" w:after="0"/>
        <w:ind w:left="0" w:right="-3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shd w:fill="auto" w:val="clear"/>
          <w:vertAlign w:val="baseline"/>
        </w:rPr>
        <w:t>the authors should compare the respective portions of “zero” loads in parental and hybrid mice</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is the exact analysis we are conducting on a continuous scale of hybridization, using a logistic regression. We reworded the section of material and methods to make this </w:t>
      </w:r>
      <w:r>
        <w:rPr>
          <w:rFonts w:eastAsia="Times New Roman" w:cs="Times New Roman" w:ascii="Times New Roman" w:hAnsi="Times New Roman"/>
        </w:rPr>
        <w:t>clearer</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(lines 219-228 new).</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agree and removed the term “epidemiological”.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101-102 “The trapping was designed to capture both parental and hybrid/recombinant populations.”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Not clear</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which bias between hybrid or parental mouse trapping is (are) expected? </w:t>
      </w:r>
    </w:p>
    <w:p>
      <w:pPr>
        <w:pStyle w:val="Normal"/>
        <w:keepNext w:val="false"/>
        <w:keepLines w:val="false"/>
        <w:widowControl w:val="false"/>
        <w:shd w:val="clear" w:fill="auto"/>
        <w:spacing w:lineRule="auto" w:line="360" w:before="288" w:after="0"/>
        <w:ind w:left="0" w:right="-23"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agree with a possible confusion of the terms, “trapping” could mean “location of trapping” (the way we use it) or “method of trapping” (not expected to differ across hybridization scale). We detail by replacing “The trapping was designed” by “The locations for trapping were selected in a geographical range allowing [...]” (line 108-109 new)</w:t>
      </w:r>
    </w:p>
    <w:p>
      <w:pPr>
        <w:pStyle w:val="Normal"/>
        <w:keepNext w:val="false"/>
        <w:keepLines w:val="false"/>
        <w:widowControl w:val="false"/>
        <w:shd w:val="clear" w:fill="auto"/>
        <w:spacing w:lineRule="auto" w:line="360" w:before="0"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102-108: Sexing? Pregnancy statement? Age estimation (even categories)? The age could be interfering factor in Body Condition (see upcoming comments) </w:t>
      </w:r>
    </w:p>
    <w:p>
      <w:pPr>
        <w:pStyle w:val="Normal"/>
        <w:keepNext w:val="false"/>
        <w:keepLines w:val="false"/>
        <w:widowControl w:val="false"/>
        <w:shd w:val="clear" w:fill="auto"/>
        <w:spacing w:lineRule="auto" w:line="360" w:before="288" w:after="0"/>
        <w:ind w:left="0" w:right="-2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have added information in the text (lines 329-331) as well as in the new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Table S5.</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The difference in reliability of HI determined with 4 or 14 diagnostic loci is too high</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keepNext w:val="false"/>
        <w:keepLines w:val="false"/>
        <w:widowControl w:val="false"/>
        <w:shd w:val="clear" w:fill="auto"/>
        <w:spacing w:lineRule="auto" w:line="360" w:before="288" w:after="0"/>
        <w:ind w:left="686" w:right="3667"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How are the remaining 8% distributed from 4 to 9? </w:t>
      </w:r>
    </w:p>
    <w:p>
      <w:pPr>
        <w:pStyle w:val="Normal"/>
        <w:keepNext w:val="false"/>
        <w:keepLines w:val="false"/>
        <w:widowControl w:val="false"/>
        <w:shd w:val="clear" w:fill="auto"/>
        <w:spacing w:lineRule="auto" w:line="360" w:before="288" w:after="0"/>
        <w:ind w:left="686"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keepNext w:val="false"/>
        <w:keepLines w:val="false"/>
        <w:widowControl w:val="false"/>
        <w:shd w:val="clear" w:fill="auto"/>
        <w:spacing w:lineRule="auto" w:line="360" w:before="288" w:after="0"/>
        <w:ind w:left="686"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-Why do not eliminate these 8% or at least all the individuals among these 8% with less than 7 exploitable diagnostic loci.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Moreover, how do the authors explain such a large percentage of missing data (8% below 10 from 14 tested loci (indeed 13 for all the mice, as YNPAR is not present in females ))? See further comments on results and table S1.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The reviewer misunderstands the nature of how variation in uncertainty in the hybrid index will affect our results. One could, in a worst-case scenario, imagine a correlation between (a) those mice with high uncertainty in their HI and (b) those mice with most extreme effects. The consequence is not what the reviewer implies. The extreme-effect mice will now be scattered across the HI axis (due to their uncertain HIs),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removing</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any pattern of effect at particular HI values.  We find clear effects at particular HI values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despite</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the (inevitable in any study) uncertainty in HI estimates.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The reviewer misrepresents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using all available data</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working with missing data</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The mice involved in the study are typed for a number of purposes. We could make the number of loci considered for HI calculations uniform across all mice by discarding ‘excess’ data for particular subsets, thus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 xml:space="preserve">increasing our uncertainty in many of their HIs for no </w:t>
      </w:r>
      <w:r>
        <w:rPr>
          <w:rFonts w:eastAsia="Times New Roman" w:cs="Times New Roman" w:ascii="Times New Roman" w:hAnsi="Times New Roman"/>
          <w:i/>
          <w:color w:val="000000"/>
        </w:rPr>
        <w:t>justifiable</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 xml:space="preserve"> reason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(see paragraph above) [but reducing the amount of missing data as defined by the reviewer]. For example, we could reduce all HI estimates to a basis of 4 allozymes in equivalence with the Moulia study repeatedly favourably cited by the reviewer, and work with ‘no missing data’. We chose not to do so in our original submission, and remain firm that more information about the HI is better, not worse.</w:t>
      </w:r>
    </w:p>
    <w:p>
      <w:pPr>
        <w:pStyle w:val="Normal"/>
        <w:spacing w:lineRule="auto" w:line="360" w:before="288" w:after="0"/>
        <w:ind w:right="-28" w:hanging="0"/>
        <w:jc w:val="both"/>
        <w:rPr>
          <w:rFonts w:ascii="Times New Roman" w:hAnsi="Times New Roman" w:eastAsia="Times New Roman" w:cs="Times New Roman"/>
        </w:rPr>
      </w:pPr>
      <w:r>
        <w:rPr>
          <w:rFonts w:eastAsia="Times New Roman" w:cs="Times New Roman" w:ascii="Times New Roman" w:hAnsi="Times New Roman"/>
        </w:rPr>
        <w:t xml:space="preserve">It is a matter of choice how many loci shall be chosen to estimate inter genomic hybridization. We made a comparison between a HI used in the submitted MS and a dense SNPs array Mouse Diversity Array. In a paper submitted recently we characterized each individual by hybrid index (HI) computed as frequency of </w:t>
      </w:r>
      <w:r>
        <w:rPr>
          <w:rFonts w:eastAsia="Times New Roman" w:cs="Times New Roman" w:ascii="Times New Roman" w:hAnsi="Times New Roman"/>
          <w:i/>
        </w:rPr>
        <w:t>musculus</w:t>
      </w:r>
      <w:r>
        <w:rPr>
          <w:rFonts w:eastAsia="Times New Roman" w:cs="Times New Roman" w:ascii="Times New Roman" w:hAnsi="Times New Roman"/>
        </w:rPr>
        <w:t xml:space="preserve"> diagnostic alleles across six autosomal (</w:t>
      </w:r>
      <w:r>
        <w:rPr>
          <w:rFonts w:eastAsia="Times New Roman" w:cs="Times New Roman" w:ascii="Times New Roman" w:hAnsi="Times New Roman"/>
          <w:i/>
        </w:rPr>
        <w:t>Es1</w:t>
      </w:r>
      <w:r>
        <w:rPr>
          <w:rFonts w:eastAsia="Times New Roman" w:cs="Times New Roman" w:ascii="Times New Roman" w:hAnsi="Times New Roman"/>
        </w:rPr>
        <w:t xml:space="preserve">, </w:t>
      </w:r>
      <w:r>
        <w:rPr>
          <w:rFonts w:eastAsia="Times New Roman" w:cs="Times New Roman" w:ascii="Times New Roman" w:hAnsi="Times New Roman"/>
          <w:i/>
        </w:rPr>
        <w:t>H6pd</w:t>
      </w:r>
      <w:r>
        <w:rPr>
          <w:rFonts w:eastAsia="Times New Roman" w:cs="Times New Roman" w:ascii="Times New Roman" w:hAnsi="Times New Roman"/>
        </w:rPr>
        <w:t xml:space="preserve">, </w:t>
      </w:r>
      <w:r>
        <w:rPr>
          <w:rFonts w:eastAsia="Times New Roman" w:cs="Times New Roman" w:ascii="Times New Roman" w:hAnsi="Times New Roman"/>
          <w:i/>
        </w:rPr>
        <w:t>Idh1</w:t>
      </w:r>
      <w:r>
        <w:rPr>
          <w:rFonts w:eastAsia="Times New Roman" w:cs="Times New Roman" w:ascii="Times New Roman" w:hAnsi="Times New Roman"/>
        </w:rPr>
        <w:t xml:space="preserve">, </w:t>
      </w:r>
      <w:r>
        <w:rPr>
          <w:rFonts w:eastAsia="Times New Roman" w:cs="Times New Roman" w:ascii="Times New Roman" w:hAnsi="Times New Roman"/>
          <w:i/>
        </w:rPr>
        <w:t>Mpi</w:t>
      </w:r>
      <w:r>
        <w:rPr>
          <w:rFonts w:eastAsia="Times New Roman" w:cs="Times New Roman" w:ascii="Times New Roman" w:hAnsi="Times New Roman"/>
        </w:rPr>
        <w:t xml:space="preserve">, </w:t>
      </w:r>
      <w:r>
        <w:rPr>
          <w:rFonts w:eastAsia="Times New Roman" w:cs="Times New Roman" w:ascii="Times New Roman" w:hAnsi="Times New Roman"/>
          <w:i/>
        </w:rPr>
        <w:t>Np</w:t>
      </w:r>
      <w:r>
        <w:rPr>
          <w:rFonts w:eastAsia="Times New Roman" w:cs="Times New Roman" w:ascii="Times New Roman" w:hAnsi="Times New Roman"/>
        </w:rPr>
        <w:t xml:space="preserve">, </w:t>
      </w:r>
      <w:r>
        <w:rPr>
          <w:rFonts w:eastAsia="Times New Roman" w:cs="Times New Roman" w:ascii="Times New Roman" w:hAnsi="Times New Roman"/>
          <w:i/>
        </w:rPr>
        <w:t>Sod1</w:t>
      </w:r>
      <w:r>
        <w:rPr>
          <w:rFonts w:eastAsia="Times New Roman" w:cs="Times New Roman" w:ascii="Times New Roman" w:hAnsi="Times New Roman"/>
        </w:rPr>
        <w:t>) and six X-linked (</w:t>
      </w:r>
      <w:r>
        <w:rPr>
          <w:rFonts w:eastAsia="Times New Roman" w:cs="Times New Roman" w:ascii="Times New Roman" w:hAnsi="Times New Roman"/>
          <w:i/>
        </w:rPr>
        <w:t>X332</w:t>
      </w:r>
      <w:r>
        <w:rPr>
          <w:rFonts w:eastAsia="Times New Roman" w:cs="Times New Roman" w:ascii="Times New Roman" w:hAnsi="Times New Roman"/>
        </w:rPr>
        <w:t xml:space="preserve">, </w:t>
      </w:r>
      <w:r>
        <w:rPr>
          <w:rFonts w:eastAsia="Times New Roman" w:cs="Times New Roman" w:ascii="Times New Roman" w:hAnsi="Times New Roman"/>
          <w:i/>
        </w:rPr>
        <w:t>X347</w:t>
      </w:r>
      <w:r>
        <w:rPr>
          <w:rFonts w:eastAsia="Times New Roman" w:cs="Times New Roman" w:ascii="Times New Roman" w:hAnsi="Times New Roman"/>
        </w:rPr>
        <w:t xml:space="preserve">, </w:t>
      </w:r>
      <w:r>
        <w:rPr>
          <w:rFonts w:eastAsia="Times New Roman" w:cs="Times New Roman" w:ascii="Times New Roman" w:hAnsi="Times New Roman"/>
          <w:i/>
        </w:rPr>
        <w:t>X65</w:t>
      </w:r>
      <w:r>
        <w:rPr>
          <w:rFonts w:eastAsia="Times New Roman" w:cs="Times New Roman" w:ascii="Times New Roman" w:hAnsi="Times New Roman"/>
        </w:rPr>
        <w:t xml:space="preserve">, </w:t>
      </w:r>
      <w:r>
        <w:rPr>
          <w:rFonts w:eastAsia="Times New Roman" w:cs="Times New Roman" w:ascii="Times New Roman" w:hAnsi="Times New Roman"/>
          <w:i/>
        </w:rPr>
        <w:t>Tsx1</w:t>
      </w:r>
      <w:r>
        <w:rPr>
          <w:rFonts w:eastAsia="Times New Roman" w:cs="Times New Roman" w:ascii="Times New Roman" w:hAnsi="Times New Roman"/>
        </w:rPr>
        <w:t xml:space="preserve">, </w:t>
      </w:r>
      <w:r>
        <w:rPr>
          <w:rFonts w:eastAsia="Times New Roman" w:cs="Times New Roman" w:ascii="Times New Roman" w:hAnsi="Times New Roman"/>
          <w:i/>
        </w:rPr>
        <w:t>Btk1</w:t>
      </w:r>
      <w:r>
        <w:rPr>
          <w:rFonts w:eastAsia="Times New Roman" w:cs="Times New Roman" w:ascii="Times New Roman" w:hAnsi="Times New Roman"/>
        </w:rPr>
        <w:t xml:space="preserve">, </w:t>
      </w:r>
      <w:r>
        <w:rPr>
          <w:rFonts w:eastAsia="Times New Roman" w:cs="Times New Roman" w:ascii="Times New Roman" w:hAnsi="Times New Roman"/>
          <w:i/>
        </w:rPr>
        <w:t>Syap1</w:t>
      </w:r>
      <w:r>
        <w:rPr>
          <w:rFonts w:eastAsia="Times New Roman" w:cs="Times New Roman" w:ascii="Times New Roman" w:hAnsi="Times New Roman"/>
        </w:rPr>
        <w:t>) loci. The resulting values are highly correlated (</w:t>
      </w:r>
      <w:r>
        <w:rPr>
          <w:rFonts w:eastAsia="Times New Roman" w:cs="Times New Roman" w:ascii="Times New Roman" w:hAnsi="Times New Roman"/>
          <w:i/>
        </w:rPr>
        <w:t>R</w:t>
      </w:r>
      <w:r>
        <w:rPr>
          <w:rFonts w:eastAsia="Times New Roman" w:cs="Times New Roman" w:ascii="Times New Roman" w:hAnsi="Times New Roman"/>
        </w:rPr>
        <w:t xml:space="preserve"> = 0.98) with those based on a high-density SNP array (Yang et al. 2009). We believe the choice of number of loci depends on goals of the study, given the number of mice and estimation of HI based on a reduced number of loci is fully relevant in this context. We also want to highlight that this comment can always be used (even ad absurdum requesting only whole genome sequences) to criticize any study.</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For the sake of transparency we provided originally (as supplementary material) our full raw data file, including mice not used for the analysis (N=10) for insufficient data on them, or because they were embryos. We had previously supplied, for each analysis, the number of mice considered. We now clarify this further as we:</w:t>
      </w:r>
    </w:p>
    <w:p>
      <w:pPr>
        <w:pStyle w:val="Normal"/>
        <w:keepNext w:val="false"/>
        <w:keepLines w:val="false"/>
        <w:widowControl w:val="false"/>
        <w:numPr>
          <w:ilvl w:val="0"/>
          <w:numId w:val="2"/>
        </w:numPr>
        <w:shd w:val="clear" w:fill="auto"/>
        <w:spacing w:lineRule="auto" w:line="360" w:before="288" w:after="0"/>
        <w:ind w:left="720" w:right="-28" w:hanging="36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added the histogram of distribution of markers, as well as the distribution along the hybrid index, for each analysis (lines 128-130 new;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Figure S1)</w:t>
      </w:r>
    </w:p>
    <w:p>
      <w:pPr>
        <w:pStyle w:val="Normal"/>
        <w:keepNext w:val="false"/>
        <w:keepLines w:val="false"/>
        <w:widowControl w:val="false"/>
        <w:numPr>
          <w:ilvl w:val="0"/>
          <w:numId w:val="2"/>
        </w:numPr>
        <w:shd w:val="clear" w:fill="auto"/>
        <w:spacing w:lineRule="auto" w:line="360" w:before="0" w:after="0"/>
        <w:ind w:left="720" w:right="-28" w:hanging="360"/>
        <w:jc w:val="both"/>
        <w:rPr>
          <w:rFonts w:ascii="Times New Roman" w:hAnsi="Times New Roman" w:eastAsia="Times New Roman" w:cs="Times New Roman"/>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removed 10 confusing mice (rows) from our supplementary data table (previous Supplementary Table S1, now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Table S3)</w:t>
      </w:r>
    </w:p>
    <w:p>
      <w:pPr>
        <w:pStyle w:val="Normal"/>
        <w:keepNext w:val="false"/>
        <w:keepLines w:val="false"/>
        <w:widowControl w:val="false"/>
        <w:numPr>
          <w:ilvl w:val="0"/>
          <w:numId w:val="2"/>
        </w:numPr>
        <w:shd w:val="clear" w:fill="auto"/>
        <w:spacing w:lineRule="auto" w:line="360" w:before="0" w:after="0"/>
        <w:ind w:left="720" w:right="-28" w:hanging="36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added in this table columns corresponding to each analysis. Entries “yes” and “no”, specify which mouse was used for which analysis (our qPCR technique was not optimised before 2016, hence this was used only for 2016 and 2017 (years and number of mice had me</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n already mentioned in the text, no analysis had to be modified)).</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These modifications did not change any results previously shown, as we never used the full raw data but only the indicated subset. The analysis is openly available in full detail at </w:t>
      </w:r>
      <w:hyperlink r:id="rId3">
        <w:r>
          <w:rPr>
            <w:rStyle w:val="ListLabel20"/>
            <w:rFonts w:eastAsia="Times New Roman" w:cs="Times New Roman" w:ascii="Times New Roman" w:hAnsi="Times New Roman"/>
            <w:b w:val="false"/>
            <w:i w:val="false"/>
            <w:caps w:val="false"/>
            <w:smallCaps w:val="false"/>
            <w:strike w:val="false"/>
            <w:dstrike w:val="false"/>
            <w:color w:val="000080"/>
            <w:position w:val="0"/>
            <w:sz w:val="22"/>
            <w:sz w:val="22"/>
            <w:szCs w:val="22"/>
            <w:u w:val="single"/>
            <w:vertAlign w:val="baseline"/>
          </w:rPr>
          <w:t>https://github.com/alicebalard/Article_IntensityEimeriaHMHZ/tree/master/code</w:t>
        </w:r>
      </w:hyperlink>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(indicated in lines 307-308 new). We, however, made the supplementary file self-explanatory without consultation this code. Importantly, the analyses had never been incoherent and the number of mice was indicated in the original version of the manuscript for all analyses. </w:t>
      </w:r>
    </w:p>
    <w:p>
      <w:pPr>
        <w:pStyle w:val="Normal"/>
        <w:keepNext w:val="false"/>
        <w:keepLines w:val="false"/>
        <w:widowControl w:val="false"/>
        <w:shd w:val="clear" w:fill="auto"/>
        <w:spacing w:lineRule="auto" w:line="360" w:before="288" w:after="0"/>
        <w:ind w:left="-24" w:right="-136"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118: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specify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that H6PD in the text is listed as GPD1 in Table S1. </w:t>
      </w:r>
    </w:p>
    <w:p>
      <w:pPr>
        <w:pStyle w:val="Normal"/>
        <w:keepNext w:val="false"/>
        <w:keepLines w:val="false"/>
        <w:widowControl w:val="false"/>
        <w:shd w:val="clear" w:fill="auto"/>
        <w:spacing w:lineRule="auto" w:line="360" w:before="288" w:after="0"/>
        <w:ind w:left="0" w:right="-136" w:hanging="0"/>
        <w:jc w:val="left"/>
        <w:rPr>
          <w:rFonts w:ascii="Times New Roman" w:hAnsi="Times New Roman" w:eastAsia="Times New Roman" w:cs="Times New Roman"/>
          <w:color w:val="00000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Thanks for pointing out this inconsistency, we have corrected</w:t>
      </w: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 xml:space="preserve"> it. </w:t>
      </w:r>
      <w:r>
        <w:rPr>
          <w:rFonts w:eastAsia="Times New Roman" w:cs="Times New Roman" w:ascii="Times New Roman" w:hAnsi="Times New Roman"/>
          <w:color w:val="000000"/>
          <w:highlight w:val="white"/>
        </w:rPr>
        <w:t>By mistake, we left in Table S1 the former name of the gene, Gpd1, used in our previous papers whereas in the main text we adopted the name H6pd according to the current version of the MGI database. The latter is now used consistently throughout the whole manuscript including Supplementary Table S3 (ex S1).</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122-123 : “...(graphical resolution increased over defaults) based on a subset of the six autosomal markers that were genotyped in all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contradicts what is written previously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some mice have been genotyped only on 4 markers so the minimum 6 autosomal ones are not there! See futher comments on results and table S1 </w:t>
      </w:r>
    </w:p>
    <w:p>
      <w:pPr>
        <w:pStyle w:val="Normal"/>
        <w:keepNext w:val="false"/>
        <w:keepLines w:val="false"/>
        <w:widowControl w:val="false"/>
        <w:shd w:val="clear" w:fill="auto"/>
        <w:spacing w:lineRule="auto" w:line="360" w:before="288" w:after="0"/>
        <w:ind w:left="0" w:right="5"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Thanks for pointing out this error, we corrected it in the text, and mention that we estimate the hybrid zone centre with “all individuals with 6 diploid markers (N=598 mice)” (line 135 new)</w:t>
      </w:r>
    </w:p>
    <w:p>
      <w:pPr>
        <w:pStyle w:val="Normal"/>
        <w:keepNext w:val="false"/>
        <w:keepLines w:val="false"/>
        <w:widowControl w:val="false"/>
        <w:shd w:val="clear" w:fill="auto"/>
        <w:spacing w:lineRule="auto" w:line="360" w:before="288"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133-134: focus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A. tertraptera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S. obvelata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only. </w:t>
      </w:r>
    </w:p>
    <w:p>
      <w:pPr>
        <w:pStyle w:val="Normal"/>
        <w:keepNext w:val="false"/>
        <w:keepLines w:val="false"/>
        <w:widowControl w:val="false"/>
        <w:shd w:val="clear" w:fill="auto"/>
        <w:spacing w:lineRule="auto" w:line="360" w:before="288" w:after="0"/>
        <w:ind w:left="686" w:right="-28" w:hanging="638"/>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1/Need some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justifications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keepNext w:val="false"/>
        <w:keepLines w:val="false"/>
        <w:widowControl w:val="false"/>
        <w:shd w:val="clear" w:fill="auto"/>
        <w:spacing w:lineRule="auto" w:line="360" w:before="288" w:after="0"/>
        <w:ind w:left="686" w:right="-28" w:hanging="638"/>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ab/>
        <w:t xml:space="preserve">2/ Perhaps in result part as well as in table S1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give some elements on helminth species diversity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to evaluate the proportion of the pinworms. </w:t>
      </w:r>
    </w:p>
    <w:p>
      <w:pPr>
        <w:pStyle w:val="Normal"/>
        <w:keepNext w:val="false"/>
        <w:keepLines w:val="false"/>
        <w:widowControl w:val="false"/>
        <w:shd w:val="clear" w:fill="auto"/>
        <w:spacing w:lineRule="auto" w:line="360" w:before="288" w:after="0"/>
        <w:ind w:left="0" w:right="-2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 text has been modified and a supplementary figure added as follows:</w:t>
      </w:r>
    </w:p>
    <w:p>
      <w:pPr>
        <w:pStyle w:val="Normal"/>
        <w:keepNext w:val="false"/>
        <w:keepLines w:val="false"/>
        <w:widowControl w:val="false"/>
        <w:shd w:val="clear" w:fill="auto"/>
        <w:spacing w:lineRule="auto" w:line="360" w:before="0" w:after="20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As in this study we need a high statistical power to test our hypothesis, we considered only the most prevalent helminths, the oxyurids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Syphacia obvelata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and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Aspiculuris tetraptera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Histograms presenting the distribution of counts for other helminths can be found in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Figure S2.”</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(lines 147-149 new)</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C20.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142-144: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primers: specify the source (it seems to be Jarquin-Diaz et al., 2019 and Ahmed et al. , 2019) as well as their universality for the three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species present in the HZ. </w:t>
      </w:r>
    </w:p>
    <w:p>
      <w:pPr>
        <w:pStyle w:val="Normal"/>
        <w:keepNext w:val="false"/>
        <w:keepLines w:val="false"/>
        <w:widowControl w:val="false"/>
        <w:shd w:val="clear" w:fill="auto"/>
        <w:spacing w:lineRule="auto" w:line="360" w:before="0" w:after="0"/>
        <w:ind w:left="-24" w:right="1915"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144-146: house mouse primers: same details than for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are needed. </w:t>
      </w:r>
    </w:p>
    <w:p>
      <w:pPr>
        <w:pStyle w:val="Normal"/>
        <w:keepNext w:val="false"/>
        <w:keepLines w:val="false"/>
        <w:widowControl w:val="false"/>
        <w:shd w:val="clear" w:fill="auto"/>
        <w:spacing w:lineRule="auto" w:line="360" w:before="288" w:after="0"/>
        <w:ind w:left="0" w:right="-28"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added the appropriate reference and details (lines 161-164 new)</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151-160.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Major lacks of explanation and validation of the protocol</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See specific comments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model . </w:t>
      </w:r>
    </w:p>
    <w:p>
      <w:pPr>
        <w:pStyle w:val="Normal"/>
        <w:keepNext w:val="false"/>
        <w:keepLines w:val="false"/>
        <w:widowControl w:val="false"/>
        <w:shd w:val="clear" w:fill="auto"/>
        <w:spacing w:lineRule="auto" w:line="360" w:before="288" w:after="0"/>
        <w:ind w:left="0" w:right="-28"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protocol has been validated, we added: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172-175 new)</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ab/>
        <w:t xml:space="preserve"> </w:t>
      </w:r>
    </w:p>
    <w:p>
      <w:pPr>
        <w:pStyle w:val="Normal"/>
        <w:keepNext w:val="false"/>
        <w:keepLines w:val="false"/>
        <w:widowControl w:val="false"/>
        <w:shd w:val="clear" w:fill="auto"/>
        <w:spacing w:lineRule="auto" w:line="360" w:before="288"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164-165: “the median of parasite load across all hosts”: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thank the reviewer for pointing out the lack of clarity in terminology. We replace “took” by “report”, as we do not use these medians for further analyses (line 187 new). We don’t consider sub-dividing the sampling according to the HI, as we work on a continuous scale of hybrid</w:t>
      </w:r>
      <w:r>
        <w:rPr>
          <w:rFonts w:eastAsia="Times New Roman" w:cs="Times New Roman" w:ascii="Times New Roman" w:hAnsi="Times New Roman"/>
        </w:rPr>
        <w:t xml:space="preserve"> level</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which is genetically and statistically more appropriate.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166: “and only median intensity for Eimeria spp”.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Lack of explanation.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What is (are) the argument (s) to omit abundance in the case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not nematodes?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is a good point, it is obviously not clear enough based on our previous description in material and methods. We added as explanation: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w:t>
      </w:r>
      <w:r>
        <w:rPr>
          <w:rFonts w:eastAsia="Times New Roman" w:cs="Times New Roman" w:ascii="Times New Roman" w:hAnsi="Times New Roman"/>
        </w:rPr>
        <w:t>o</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 report abundance for </w:t>
      </w:r>
      <w:r>
        <w:rPr>
          <w:rFonts w:eastAsia="Times New Roman" w:cs="Times New Roman" w:ascii="Times New Roman" w:hAnsi="Times New Roman"/>
          <w:b w:val="false"/>
          <w:i/>
          <w:iCs/>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see Jarquín-Díaz et al., 2019 for details).” (line 189-193 new)</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166 -170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repetition of the above lines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162-166.</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thank the reviewer for pointing out this mistake, we removed the repetition.</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176 -177.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Review the statement of the epidemiological model basis.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Eimeria sp</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induced mortality? See further specific comments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model.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has been fully modified and developed, see our answer to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180.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Relevance of the reference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I do not see in which way the work of Poulin 2013 supports the two categories subdivision of the model. Inappropriate. </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removed the reference.</w:t>
      </w:r>
    </w:p>
    <w:p>
      <w:pPr>
        <w:pStyle w:val="Normal"/>
        <w:keepNext w:val="false"/>
        <w:keepLines w:val="false"/>
        <w:widowControl w:val="false"/>
        <w:shd w:val="clear" w:fill="auto"/>
        <w:spacing w:lineRule="auto" w:line="360" w:before="288" w:after="0"/>
        <w:ind w:left="-3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181 -183. Using a proxy that equate introgression with more than 50%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musculus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genomes and introgression with more than 50%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domesticus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genomes. The authors make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an a priori of equality of the two mouse genomes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keepNext w:val="false"/>
        <w:keepLines w:val="false"/>
        <w:widowControl w:val="false"/>
        <w:shd w:val="clear" w:fill="auto"/>
        <w:spacing w:lineRule="auto" w:line="360" w:before="0" w:after="0"/>
        <w:ind w:left="-24" w:right="-23"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the counterpart parasite species/ taxa/ genotype P1 associated to host HI =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At least this simplifying choice must be argued and discussed. </w:t>
      </w:r>
    </w:p>
    <w:p>
      <w:pPr>
        <w:pStyle w:val="Normal"/>
        <w:keepNext w:val="false"/>
        <w:keepLines w:val="false"/>
        <w:widowControl w:val="false"/>
        <w:shd w:val="clear" w:fill="auto"/>
        <w:spacing w:lineRule="auto" w:line="360" w:before="0" w:after="0"/>
        <w:ind w:left="696" w:right="-2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ab/>
        <w:t xml:space="preserve"> </w:t>
        <w:tab/>
        <w:t xml:space="preserve"> </w:t>
        <w:tab/>
      </w:r>
    </w:p>
    <w:p>
      <w:pPr>
        <w:pStyle w:val="Normal"/>
        <w:keepNext w:val="false"/>
        <w:keepLines w:val="false"/>
        <w:widowControl w:val="false"/>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added justification for this choice, and tested separately on both sides (finding similar results)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t>as follow: “We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(lines 219-228 new; in results lines 335-343 new)</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188 à 229: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statistical analyses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 authors use the global methodology proposed by Baird et al. 2012. I am not expert in this area but the approach seems clearly explained in this previous 2012 work. However, in this study,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 for instance, equ 5 – line 199 à 202- is not enough explained (as well as the alpha parameter) whereas this is the main parameter use to compare parasite load!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 more general and basic criticism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et al.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(1986). Indeed, the two statistical approaches went in the same direction, but,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in my opinion, it is insufficiently demonstrated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keepNext w:val="false"/>
        <w:keepLines w:val="false"/>
        <w:widowControl w:val="false"/>
        <w:shd w:val="clear" w:fill="auto"/>
        <w:spacing w:lineRule="auto" w:line="360" w:before="288" w:after="0"/>
        <w:ind w:left="0" w:right="-3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strongly disagree with the reasoning behind this statement. One cannot validate a conceptual framework by comparing it with older, less biologically meaningful, less powerful previous one.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HI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can be used to place any mouse on a linear scale from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musculus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to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 xml:space="preserve">domesticus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depending on the count of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domesticus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alleles at assayed loci. </w:t>
      </w:r>
      <w:r>
        <w:fldChar w:fldCharType="begin"/>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instrText> HYPERLINK "https://onlinelibrary.wiley.com/doi/full/10.1111/j.1558-5646.2012.01633.x" \l "b61"</w:instrTex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separate"/>
      </w:r>
      <w:r>
        <w:rPr>
          <w:rStyle w:val="ListLabel21"/>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vertAlign w:val="baseline"/>
        </w:rPr>
        <w:t>Sage et al. (1986a)</w: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and </w:t>
      </w:r>
      <w:r>
        <w:fldChar w:fldCharType="begin"/>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instrText> HYPERLINK "https://onlinelibrary.wiley.com/doi/full/10.1111/j.1558-5646.2012.01633.x" \l "b42"</w:instrTex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separate"/>
      </w:r>
      <w:r>
        <w:rPr>
          <w:rStyle w:val="ListLabel21"/>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vertAlign w:val="baseline"/>
        </w:rPr>
        <w:t>Moulia et al. (1991)</w: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HI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as percentage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domesticus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“hybrids” have 12.5% &lt;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HI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&lt; 87.5% in </w:t>
      </w:r>
      <w:r>
        <w:fldChar w:fldCharType="begin"/>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instrText> HYPERLINK "https://onlinelibrary.wiley.com/doi/full/10.1111/j.1558-5646.2012.01633.x" \l "b61"</w:instrTex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separate"/>
      </w:r>
      <w:r>
        <w:rPr>
          <w:rStyle w:val="ListLabel21"/>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vertAlign w:val="baseline"/>
        </w:rPr>
        <w:t>Sage et al. (1986a</w: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20% &lt;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HI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&lt; 60% in </w:t>
      </w:r>
      <w:r>
        <w:fldChar w:fldCharType="begin"/>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instrText> HYPERLINK "https://onlinelibrary.wiley.com/doi/full/10.1111/j.1558-5646.2012.01633.x" \l "b42"</w:instrTex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separate"/>
      </w:r>
      <w:r>
        <w:rPr>
          <w:rStyle w:val="ListLabel21"/>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vertAlign w:val="baseline"/>
        </w:rPr>
        <w:t>Moulia et al. (1991)</w: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and 2% &lt;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HI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&lt; 97% in </w:t>
      </w:r>
      <w:r>
        <w:fldChar w:fldCharType="begin"/>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instrText> HYPERLINK "https://onlinelibrary.wiley.com/doi/full/10.1111/j.1558-5646.2012.01633.x" \l "b43"</w:instrTex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separate"/>
      </w:r>
      <w:r>
        <w:rPr>
          <w:rStyle w:val="ListLabel21"/>
          <w:rFonts w:eastAsia="Times New Roman" w:cs="Times New Roman" w:ascii="Times New Roman" w:hAnsi="Times New Roman"/>
          <w:b w:val="false"/>
          <w:i w:val="false"/>
          <w:caps w:val="false"/>
          <w:smallCaps w:val="false"/>
          <w:strike w:val="false"/>
          <w:dstrike w:val="false"/>
          <w:color w:val="00000A"/>
          <w:position w:val="0"/>
          <w:sz w:val="22"/>
          <w:sz w:val="22"/>
          <w:szCs w:val="22"/>
          <w:u w:val="single"/>
          <w:vertAlign w:val="baseline"/>
        </w:rPr>
        <w:t>Moulia et al. (1993)</w:t>
      </w:r>
      <w:r>
        <w:rPr>
          <w:rStyle w:val="ListLabel21"/>
          <w:smallCaps w:val="false"/>
          <w:caps w:val="false"/>
          <w:dstrike w:val="false"/>
          <w:strike w:val="false"/>
          <w:vertAlign w:val="baseline"/>
          <w:position w:val="0"/>
          <w:sz w:val="22"/>
          <w:sz w:val="22"/>
          <w:i w:val="false"/>
          <w:u w:val="single"/>
          <w:b w:val="false"/>
          <w:szCs w:val="22"/>
          <w:rFonts w:eastAsia="Times New Roman" w:cs="Times New Roman" w:ascii="Times New Roman" w:hAnsi="Times New Roman"/>
        </w:rPr>
        <w:fldChar w:fldCharType="end"/>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color w:val="000000"/>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Adding analysis in categories would not validate our approach, but misguide readers seemingly validating an inappropriate approach. </w:t>
      </w:r>
      <w:r>
        <w:rPr>
          <w:rFonts w:eastAsia="Times New Roman" w:cs="Times New Roman" w:ascii="Times New Roman" w:hAnsi="Times New Roman"/>
          <w:color w:val="000000"/>
        </w:rPr>
        <w:t xml:space="preserve">Earlier (in their C16 comment) this reviewer expressed at length their worries about uncertainty in the hybrid index estimates. Here, by contrast, they suggest we use an arbitrary categorization of HIs. These two points of view cannot be reconciled. Making uncertain estimates categorical does not eliminate their uncertainty. Rather, it obscures that uncertainty and leaves any downstream inference open to the simple question: What would one infer choosing </w:t>
      </w:r>
      <w:r>
        <w:rPr>
          <w:rFonts w:eastAsia="Times New Roman" w:cs="Times New Roman" w:ascii="Times New Roman" w:hAnsi="Times New Roman"/>
          <w:i/>
          <w:color w:val="000000"/>
        </w:rPr>
        <w:t>different</w:t>
      </w:r>
      <w:r>
        <w:rPr>
          <w:rFonts w:eastAsia="Times New Roman" w:cs="Times New Roman" w:ascii="Times New Roman" w:hAnsi="Times New Roman"/>
          <w:color w:val="000000"/>
        </w:rPr>
        <w:t xml:space="preserve"> (arbitrary) category boundaries? This second question is not addressed by the studies recommended by the reviewer. Indeed, inconsistencies in how mice from the same localities are arbitrarily categorized exist across those studies. The reviewer states “the approach seems clearly explained in this previous 2012”. If that is the case, we do not feel it is necessary to re-iterate the inference logic of avoiding arbitrary HI classification.</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Nevertheless, for the sake of transparency, we provide here (only in this response to the reviewer) an analysis based on a categorization according to Moulia et al. 1991. For both pinworms and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intensity, we fitted a generalised linear model (negative binomial distribution for pinworms, </w:t>
      </w:r>
      <w:r>
        <w:rPr>
          <w:rFonts w:eastAsia="Times New Roman" w:cs="Times New Roman" w:ascii="Times New Roman" w:hAnsi="Times New Roman"/>
        </w:rPr>
        <w:t>W</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eibull distribution for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as in our analysis) of the parasite intensity depending on the hybrid category. Then, we performed likelihood ratio tests, to test the significance of the hybrid category. Finally, we plot the parasite intensity as predicted by the model. We obtained comparable results t</w:t>
      </w:r>
      <w:r>
        <w:rPr>
          <w:rFonts w:eastAsia="Times New Roman" w:cs="Times New Roman" w:ascii="Times New Roman" w:hAnsi="Times New Roman"/>
        </w:rPr>
        <w:t>o</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those reported in our present manuscript, namely hybrid increased resistance:</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rPr>
      </w:pPr>
      <w:r>
        <w:rPr>
          <w:rFonts w:eastAsia="Times New Roman" w:cs="Times New Roman" w:ascii="Times New Roman" w:hAnsi="Times New Roman"/>
        </w:rPr>
      </w:r>
    </w:p>
    <w:tbl>
      <w:tblPr>
        <w:tblStyle w:val="Table1"/>
        <w:tblW w:w="9495"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108" w:type="dxa"/>
          <w:bottom w:w="0" w:type="dxa"/>
          <w:right w:w="108" w:type="dxa"/>
        </w:tblCellMar>
        <w:tblLook w:val="0000"/>
      </w:tblPr>
      <w:tblGrid>
        <w:gridCol w:w="1082"/>
        <w:gridCol w:w="1753"/>
        <w:gridCol w:w="3300"/>
        <w:gridCol w:w="3359"/>
      </w:tblGrid>
      <w:tr>
        <w:trPr/>
        <w:tc>
          <w:tcPr>
            <w:tcW w:w="1082"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Genotype</w:t>
            </w:r>
          </w:p>
        </w:tc>
        <w:tc>
          <w:tcPr>
            <w:tcW w:w="175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Hybrid index range</w:t>
            </w:r>
          </w:p>
        </w:tc>
        <w:tc>
          <w:tcPr>
            <w:tcW w:w="330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 xml:space="preserve">Number of infected mice examined </w:t>
            </w:r>
          </w:p>
        </w:tc>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 xml:space="preserve">Mean </w:t>
            </w:r>
            <w:r>
              <w:rPr>
                <w:rFonts w:eastAsia="Times New Roman" w:cs="Times New Roman" w:ascii="Times New Roman" w:hAnsi="Times New Roman"/>
                <w:i/>
                <w:caps w:val="false"/>
                <w:smallCaps w:val="false"/>
                <w:strike w:val="false"/>
                <w:dstrike w:val="false"/>
                <w:color w:val="000000"/>
                <w:position w:val="0"/>
                <w:sz w:val="22"/>
                <w:sz w:val="22"/>
                <w:u w:val="none"/>
                <w:shd w:fill="auto" w:val="clear"/>
                <w:vertAlign w:val="baseline"/>
              </w:rPr>
              <w:t>Eimeria</w:t>
            </w: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 xml:space="preserve"> intensity (delta Ct)</w:t>
            </w:r>
          </w:p>
        </w:tc>
      </w:tr>
      <w:tr>
        <w:trPr/>
        <w:tc>
          <w:tcPr>
            <w:tcW w:w="1082"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Mmd</w:t>
            </w:r>
          </w:p>
        </w:tc>
        <w:tc>
          <w:tcPr>
            <w:tcW w:w="175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[0 – 0.2]</w:t>
            </w:r>
          </w:p>
        </w:tc>
        <w:tc>
          <w:tcPr>
            <w:tcW w:w="330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28</w:t>
            </w:r>
          </w:p>
        </w:tc>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-1.32</w:t>
            </w:r>
          </w:p>
        </w:tc>
      </w:tr>
      <w:tr>
        <w:trPr/>
        <w:tc>
          <w:tcPr>
            <w:tcW w:w="1082"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Hybrids</w:t>
            </w:r>
          </w:p>
        </w:tc>
        <w:tc>
          <w:tcPr>
            <w:tcW w:w="175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[0.2 – 0.6]</w:t>
            </w:r>
          </w:p>
        </w:tc>
        <w:tc>
          <w:tcPr>
            <w:tcW w:w="330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8</w:t>
            </w:r>
          </w:p>
        </w:tc>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-3.35</w:t>
            </w:r>
          </w:p>
        </w:tc>
      </w:tr>
      <w:tr>
        <w:trPr/>
        <w:tc>
          <w:tcPr>
            <w:tcW w:w="1082"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Mmm</w:t>
            </w:r>
          </w:p>
        </w:tc>
        <w:tc>
          <w:tcPr>
            <w:tcW w:w="1753"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[0.6 – 1]</w:t>
            </w:r>
          </w:p>
        </w:tc>
        <w:tc>
          <w:tcPr>
            <w:tcW w:w="330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34</w:t>
            </w:r>
          </w:p>
        </w:tc>
        <w:tc>
          <w:tcPr>
            <w:tcW w:w="33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A"/>
                <w:position w:val="0"/>
                <w:sz w:val="22"/>
                <w:sz w:val="22"/>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2"/>
                <w:sz w:val="22"/>
                <w:u w:val="none"/>
                <w:shd w:fill="auto" w:val="clear"/>
                <w:vertAlign w:val="baseline"/>
              </w:rPr>
              <w:t>-1.78</w:t>
            </w:r>
          </w:p>
        </w:tc>
      </w:tr>
    </w:tbl>
    <w:p>
      <w:pPr>
        <w:pStyle w:val="Normal"/>
        <w:keepNext w:val="false"/>
        <w:keepLines w:val="false"/>
        <w:widowControl w:val="false"/>
        <w:shd w:val="clear" w:fill="auto"/>
        <w:spacing w:lineRule="auto" w:line="360" w:before="0"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tbl>
      <w:tblPr>
        <w:tblStyle w:val="Table2"/>
        <w:tblW w:w="9234"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108" w:type="dxa"/>
          <w:bottom w:w="0" w:type="dxa"/>
          <w:right w:w="108" w:type="dxa"/>
        </w:tblCellMar>
        <w:tblLook w:val="0000"/>
      </w:tblPr>
      <w:tblGrid>
        <w:gridCol w:w="1060"/>
        <w:gridCol w:w="1998"/>
        <w:gridCol w:w="3590"/>
        <w:gridCol w:w="2585"/>
      </w:tblGrid>
      <w:tr>
        <w:trPr/>
        <w:tc>
          <w:tcPr>
            <w:tcW w:w="106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Genotype</w:t>
            </w:r>
          </w:p>
        </w:tc>
        <w:tc>
          <w:tcPr>
            <w:tcW w:w="1998"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Hybrid index range</w:t>
            </w:r>
          </w:p>
        </w:tc>
        <w:tc>
          <w:tcPr>
            <w:tcW w:w="359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Number of infected mice examined </w:t>
            </w:r>
          </w:p>
        </w:tc>
        <w:tc>
          <w:tcPr>
            <w:tcW w:w="2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Mean pinworms intensity</w:t>
            </w:r>
          </w:p>
        </w:tc>
      </w:tr>
      <w:tr>
        <w:trPr/>
        <w:tc>
          <w:tcPr>
            <w:tcW w:w="106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Mmd</w:t>
            </w:r>
          </w:p>
        </w:tc>
        <w:tc>
          <w:tcPr>
            <w:tcW w:w="1998"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[0 – 0.2]</w:t>
            </w:r>
          </w:p>
        </w:tc>
        <w:tc>
          <w:tcPr>
            <w:tcW w:w="359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107</w:t>
            </w:r>
          </w:p>
        </w:tc>
        <w:tc>
          <w:tcPr>
            <w:tcW w:w="2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A"/>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30.2</w:t>
            </w:r>
          </w:p>
        </w:tc>
      </w:tr>
      <w:tr>
        <w:trPr/>
        <w:tc>
          <w:tcPr>
            <w:tcW w:w="106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Hybrids</w:t>
            </w:r>
          </w:p>
        </w:tc>
        <w:tc>
          <w:tcPr>
            <w:tcW w:w="1998"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[0.2 – 0.6]</w:t>
            </w:r>
          </w:p>
        </w:tc>
        <w:tc>
          <w:tcPr>
            <w:tcW w:w="359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34</w:t>
            </w:r>
          </w:p>
        </w:tc>
        <w:tc>
          <w:tcPr>
            <w:tcW w:w="2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19.5</w:t>
            </w:r>
          </w:p>
        </w:tc>
      </w:tr>
      <w:tr>
        <w:trPr/>
        <w:tc>
          <w:tcPr>
            <w:tcW w:w="106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Mmm</w:t>
            </w:r>
          </w:p>
        </w:tc>
        <w:tc>
          <w:tcPr>
            <w:tcW w:w="1998"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[0.6 – 1]</w:t>
            </w:r>
          </w:p>
        </w:tc>
        <w:tc>
          <w:tcPr>
            <w:tcW w:w="359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166</w:t>
            </w:r>
          </w:p>
        </w:tc>
        <w:tc>
          <w:tcPr>
            <w:tcW w:w="2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42.5</w:t>
            </w:r>
          </w:p>
        </w:tc>
      </w:tr>
    </w:tbl>
    <w:p>
      <w:pPr>
        <w:pStyle w:val="Normal"/>
        <w:keepNext w:val="false"/>
        <w:keepLines w:val="false"/>
        <w:widowControl w:val="false"/>
        <w:shd w:val="clear" w:fill="auto"/>
        <w:spacing w:lineRule="auto" w:line="360"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Arial" w:cs="Arial"/>
          <w:b w:val="false"/>
          <w:i w:val="false"/>
          <w:caps w:val="false"/>
          <w:smallCaps w:val="false"/>
          <w:strike w:val="false"/>
          <w:dstrike w:val="false"/>
          <w:color w:val="00000A"/>
          <w:position w:val="0"/>
          <w:sz w:val="22"/>
          <w:sz w:val="22"/>
          <w:szCs w:val="22"/>
          <w:u w:val="none"/>
          <w:vertAlign w:val="baseline"/>
        </w:rPr>
      </w:r>
    </w:p>
    <w:tbl>
      <w:tblPr>
        <w:tblStyle w:val="Table3"/>
        <w:tblW w:w="9359"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108" w:type="dxa"/>
          <w:bottom w:w="0" w:type="dxa"/>
          <w:right w:w="108" w:type="dxa"/>
        </w:tblCellMar>
        <w:tblLook w:val="0000"/>
      </w:tblPr>
      <w:tblGrid>
        <w:gridCol w:w="4680"/>
        <w:gridCol w:w="4678"/>
      </w:tblGrid>
      <w:tr>
        <w:trPr/>
        <w:tc>
          <w:tcPr>
            <w:tcW w:w="4680" w:type="dxa"/>
            <w:tcBorders>
              <w:top w:val="single" w:sz="4" w:space="0" w:color="000001"/>
              <w:left w:val="single" w:sz="4" w:space="0" w:color="000001"/>
              <w:bottom w:val="single" w:sz="4" w:space="0" w:color="000001"/>
              <w:insideH w:val="single" w:sz="4" w:space="0" w:color="000001"/>
            </w:tcBorders>
            <w:shd w:fill="auto" w:val="clear"/>
          </w:tcPr>
          <w:p>
            <w:pPr>
              <w:pStyle w:val="Normal"/>
              <w:keepNext w:val="false"/>
              <w:keepLines w:val="false"/>
              <w:widowControl w:val="false"/>
              <w:shd w:val="clear" w:fill="auto"/>
              <w:spacing w:lineRule="auto" w:line="360" w:before="0" w:after="0"/>
              <w:ind w:left="0" w:right="-33"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drawing>
                <wp:inline distT="0" distB="0" distL="0" distR="0">
                  <wp:extent cx="2901950" cy="221170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2901950" cy="2211705"/>
                          </a:xfrm>
                          <a:prstGeom prst="rect">
                            <a:avLst/>
                          </a:prstGeom>
                        </pic:spPr>
                      </pic:pic>
                    </a:graphicData>
                  </a:graphic>
                </wp:inline>
              </w:drawing>
            </w:r>
          </w:p>
          <w:p>
            <w:pPr>
              <w:pStyle w:val="Normal"/>
              <w:keepNext w:val="false"/>
              <w:keepLines w:val="false"/>
              <w:widowControl w:val="false"/>
              <w:shd w:val="clear" w:fill="auto"/>
              <w:spacing w:lineRule="auto" w:line="360" w:before="0" w:after="0"/>
              <w:ind w:left="0" w:right="-33"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significance of hybrid category (LRT, p-value = 0.036 *)</w:t>
            </w:r>
          </w:p>
        </w:tc>
        <w:tc>
          <w:tcPr>
            <w:tcW w:w="4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val="false"/>
              <w:shd w:val="clear" w:fill="auto"/>
              <w:spacing w:lineRule="auto" w:line="360" w:before="0" w:after="0"/>
              <w:ind w:left="0" w:right="-33"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drawing>
                <wp:inline distT="0" distB="0" distL="0" distR="0">
                  <wp:extent cx="2911475" cy="22193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2911475" cy="2219325"/>
                          </a:xfrm>
                          <a:prstGeom prst="rect">
                            <a:avLst/>
                          </a:prstGeom>
                        </pic:spPr>
                      </pic:pic>
                    </a:graphicData>
                  </a:graphic>
                </wp:inline>
              </w:drawing>
            </w:r>
          </w:p>
          <w:p>
            <w:pPr>
              <w:pStyle w:val="Normal"/>
              <w:keepNext w:val="false"/>
              <w:keepLines w:val="false"/>
              <w:widowControl w:val="false"/>
              <w:shd w:val="clear" w:fill="auto"/>
              <w:spacing w:lineRule="auto" w:line="360" w:before="0" w:after="0"/>
              <w:ind w:left="0" w:right="-33"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significance of hybrid category (LRT, p-value = 0.0030 **)</w:t>
            </w:r>
          </w:p>
        </w:tc>
      </w:tr>
    </w:tbl>
    <w:p>
      <w:pPr>
        <w:pStyle w:val="Normal"/>
        <w:keepNext w:val="false"/>
        <w:keepLines w:val="false"/>
        <w:widowControl w:val="false"/>
        <w:shd w:val="clear" w:fill="auto"/>
        <w:spacing w:lineRule="auto" w:line="360" w:before="0" w:after="0"/>
        <w:ind w:left="696"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288"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C29.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213: “which was confirmed for helminth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in the HZ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Baird et al., 2012)”.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Insufficient reference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Binomial negative is known as relevant distribution for helminths in all kind of host populations (and not only helminths) many previous works and years ago!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agree, and added “in a previous transect” in the original sentence (line 267 new). More citations were already given at the beginning of the sentence (“The negative binomial distribution should perform well for macroparasite counts (Crofton, 1971; Shaw &amp; Dobson, 1995),[...]”)  (orig. line 213).</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C30.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214-215: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incomplete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have now added the corresponding plots for clarity as supplementary material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Figure S4</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 value of 7.14 is biologically meaningless, it’s just the value that maximises the likelihood while guaranteeing positive values, so we modified the text as follow: “In the case of ΔCt</w:t>
      </w:r>
      <w:r>
        <w:rPr>
          <w:rFonts w:eastAsia="Times New Roman" w:cs="Times New Roman" w:ascii="Times New Roman" w:hAnsi="Times New Roman"/>
          <w:b w:val="false"/>
          <w:i w:val="false"/>
          <w:caps w:val="false"/>
          <w:smallCaps w:val="false"/>
          <w:strike w:val="false"/>
          <w:dstrike w:val="false"/>
          <w:color w:val="00000A"/>
          <w:sz w:val="22"/>
          <w:szCs w:val="22"/>
          <w:u w:val="none"/>
          <w:shd w:fill="auto" w:val="clear"/>
          <w:vertAlign w:val="subscript"/>
        </w:rPr>
        <w:t>Mouse</w:t>
      </w:r>
      <w:r>
        <w:rPr>
          <w:rFonts w:eastAsia="Gungsuh" w:cs="Gungsuh" w:ascii="Gungsuh" w:hAnsi="Gungsuh"/>
          <w:b w:val="false"/>
          <w:i/>
          <w:caps w:val="false"/>
          <w:smallCaps w:val="false"/>
          <w:strike w:val="false"/>
          <w:dstrike w:val="false"/>
          <w:color w:val="00000A"/>
          <w:sz w:val="22"/>
          <w:szCs w:val="22"/>
          <w:u w:val="none"/>
          <w:shd w:fill="auto" w:val="clear"/>
          <w:vertAlign w:val="subscript"/>
        </w:rPr>
        <w:t>−</w:t>
      </w:r>
      <w:r>
        <w:rPr>
          <w:rFonts w:eastAsia="Times New Roman" w:cs="Times New Roman" w:ascii="Times New Roman" w:hAnsi="Times New Roman"/>
          <w:b w:val="false"/>
          <w:i w:val="false"/>
          <w:caps w:val="false"/>
          <w:smallCaps w:val="false"/>
          <w:strike w:val="false"/>
          <w:dstrike w:val="false"/>
          <w:color w:val="00000A"/>
          <w:sz w:val="22"/>
          <w:szCs w:val="22"/>
          <w:u w:val="none"/>
          <w:shd w:fill="auto" w:val="clear"/>
          <w:vertAlign w:val="subscript"/>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the Weibull distribution requires positive values as input. Therefore, we estimated an extra “shift parameter” which was optimized by maximum likelihood.” (lines 279-281 new).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230 -251. correlating body condition (based on Body Weight) with health status.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No argument is given to support these data as indicator of fitness with or without parasite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b w:val="false"/>
          <w:i w:val="false"/>
          <w:caps w:val="false"/>
          <w:smallCaps w:val="false"/>
          <w:strike w:val="false"/>
          <w:dstrike w:val="false"/>
          <w:color w:val="073763"/>
          <w:sz w:val="23"/>
          <w:szCs w:val="23"/>
          <w:u w:val="none"/>
          <w:shd w:fill="auto" w:val="clear"/>
          <w:vertAlign w:val="superscript"/>
        </w:rPr>
        <w:t>1</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To conclude, I recommend the reading of Wilder et al. 2016.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Functional Ecology 30, 108–115 to question the relevance of BC parameter. Clearly, I am not convinced that this data reflects the health status under infection or not. At least, I would have appreciate the authors develop some arguments! See further comments on pathogeny , parasite cost/ host fitness and induced mortality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12"/>
          <w:sz w:val="12"/>
          <w:szCs w:val="12"/>
          <w:u w:val="none"/>
          <w:shd w:fill="auto" w:val="clear"/>
          <w:vertAlign w:val="baseline"/>
        </w:rPr>
        <w:t xml:space="preserve">1 </w:t>
      </w:r>
      <w:r>
        <w:rPr>
          <w:rFonts w:eastAsia="Times New Roman" w:cs="Times New Roman" w:ascii="Times New Roman" w:hAnsi="Times New Roman"/>
          <w:b w:val="false"/>
          <w:i w:val="false"/>
          <w:caps w:val="false"/>
          <w:smallCaps w:val="false"/>
          <w:strike w:val="false"/>
          <w:dstrike w:val="false"/>
          <w:color w:val="073763"/>
          <w:sz w:val="33"/>
          <w:szCs w:val="33"/>
          <w:u w:val="none"/>
          <w:shd w:fill="auto" w:val="clear"/>
          <w:vertAlign w:val="subscript"/>
        </w:rPr>
        <w:t xml:space="preserve">Ullman-Culleré and Foltz. 1999. Laboratory Animal Science. Difference in Relevance of BW to assess the health </w:t>
      </w:r>
      <w:r>
        <w:rPr>
          <w:rFonts w:eastAsia="Times New Roman" w:cs="Times New Roman" w:ascii="Times New Roman" w:hAnsi="Times New Roman"/>
          <w:b w:val="false"/>
          <w:i w:val="false"/>
          <w:caps w:val="false"/>
          <w:smallCaps w:val="false"/>
          <w:strike w:val="false"/>
          <w:dstrike w:val="false"/>
          <w:color w:val="073763"/>
          <w:position w:val="0"/>
          <w:sz w:val="19"/>
          <w:sz w:val="19"/>
          <w:szCs w:val="19"/>
          <w:u w:val="none"/>
          <w:shd w:fill="auto" w:val="clear"/>
          <w:vertAlign w:val="baseline"/>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i w:val="false"/>
          <w:caps w:val="false"/>
          <w:smallCaps w:val="false"/>
          <w:strike w:val="false"/>
          <w:dstrike w:val="false"/>
          <w:color w:val="073763"/>
          <w:position w:val="0"/>
          <w:sz w:val="19"/>
          <w:sz w:val="19"/>
          <w:szCs w:val="19"/>
          <w:u w:val="none"/>
          <w:shd w:fill="auto" w:val="clear"/>
          <w:vertAlign w:val="baseline"/>
        </w:rPr>
        <w:t xml:space="preserve">How is differences of age in BC taken into account in this very study?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We, however, have the strong opinion that the absence of an effect on health should be the null hypothesis.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232-233: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Lake of references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At least validate the use of the residue with some previous references. Perhaps Jacobs et al. 1996. OIKOS 77: 61-67?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260 -270: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 in this part we understand that sampling of mice studied for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and pinworm infections have not been completely identical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384 mice sampled in 2016 and 2017; Pinworms: Between 2014 and 2017, 585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This must be explained before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 M&amp;M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C16. </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2/See specific comments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3 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are pooled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 this result and the upcoming ones, but theirs distributions across the zone are not equal (Jarquín-Díaz et al., 2019). Only the most largely distributed species must be taken into account to be rigorous. </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C9.</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3/ the author have the possibility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to investigate co-infections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sp.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pinworm infections? When comparing number (prevalence) and intensities of co-infections, are parental and hybrid mice identical?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agree that co-infection is a major topic of research. We have the option to investigate co-infection with 2 specific parasites. These mice carry a lot of helminths, coccidia, bacteria… So this investigation would be only a small first glimpse at potential of co-infections. We are currently working on a more complete molecular analysis of parasites and the microbiome of mice in the HMHZ, but don’t consider this to be within the scope of the current study.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271-270. This result agrees with the previous parasitological studies of the HZ. Clearly, we do not expected great variation in encounter and ecological parameters in such a limited area.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was never tested with this method (logistic regression modelling prevalence) in the HMHZ</w:t>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See</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 C11.</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279-287 (Results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288-307 (results on Pinworms) and 308-318 (results on Body conditions): these results are coherent only if we agree with the protocol and the previous statements of modeling. See above comments and troubles on this subject.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are sure that our analysis is coherent. We hope the answers to previous comments and additions to the text allow the reviewer and the reader to come to the same conclusion.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obscure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to be validated by the reader without more arguments. See more comments on table 1.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All occurrences of “Alpha” in our text are now replaced with “hybridization effect”, we still use the shorthand (alpha) in tables. We added more explanation at the first occu</w:t>
      </w:r>
      <w:r>
        <w:rPr>
          <w:rFonts w:eastAsia="Times New Roman" w:cs="Times New Roman" w:ascii="Times New Roman" w:hAnsi="Times New Roman"/>
        </w:rPr>
        <w:t>r</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rence: “Alpha represent the hybridization effect, or deviation from additivity between the two parental genomes.“ (lines 240-241 new)</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325-327.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Unclear.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developed for clarity on line 406-411 (new) as follow: “House mouse hybrids in the European HMHZ are not first-generation crossings, but rather genetically complex “late generation” recombinants. This means that each of their genomes presents a complex admixture of both Mmm and Mmd tracts (Macholán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 This also explains our modelling approach.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331-332: “to de-confound the prevalence and intensity aspects of parasite load”. These two parasitological parameters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are clearly un-confounded and expressed quite different aspect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 of the parasite distributions. I could understand what this sentence suggested for the authors when reading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entire document – even if I am reserved (See specific comments on” parasitological indexes approach”). However, this assertion as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is a misunderstanding of epidemiology and parasite ecology</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Moreover, in this very context, it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misused.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part of the text has already been modified; see</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 C11.</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C39.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Lines 341-342: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is very likely </w:t>
      </w:r>
      <w:r>
        <w:rPr>
          <w:rFonts w:eastAsia="Times New Roman" w:cs="Times New Roman" w:ascii="Times New Roman" w:hAnsi="Times New Roman"/>
          <w:b/>
          <w:i/>
          <w:caps w:val="false"/>
          <w:smallCaps w:val="false"/>
          <w:strike w:val="false"/>
          <w:dstrike w:val="false"/>
          <w:color w:val="073763"/>
          <w:position w:val="0"/>
          <w:sz w:val="22"/>
          <w:sz w:val="22"/>
          <w:szCs w:val="22"/>
          <w:u w:val="none"/>
          <w:shd w:fill="auto" w:val="clear"/>
          <w:vertAlign w:val="baseline"/>
        </w:rPr>
        <w:t xml:space="preserve">more pathogenic than pinworms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(Al-khlifeh et al., 2019; Fuller &amp; Blaustein, 1996; Hakkarainen et al., 2007)”.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Pay attention to the meaning of the sentence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These studies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do not compare pathogeny of </w:t>
      </w:r>
      <w:r>
        <w:rPr>
          <w:rFonts w:eastAsia="Times New Roman" w:cs="Times New Roman" w:ascii="Times New Roman" w:hAnsi="Times New Roman"/>
          <w:b/>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and pinworms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but they studied the negative impact on health status (even mortality)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C4. &amp; C6.</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C40/1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(ref475).”Then in case of susceptibility (genetically determined or not) pinworms could then not be regarded as weakly pathogenic.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C4. &amp; C6.</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C40/2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Above all</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the symptomatic and medical- centered point of view that is pathogeny makes little sense in parasite ecology</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Symptoms as well as pathogenic “signals” do not reflect parasite cost on host fitness.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Occurrence of resistance/ tolerance genotypes, as existing among mice from pinworms (Derothe et al. 1997), prove selective pressure and then potential costs.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No field study can ever be perfectly controlled,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 the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analysis of the prevalence of parasites across the zone”.</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abundance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which is not a mix of intensity and prevalence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sensu stricto</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but a third parasitological parameter giving another information that the two others ( “number of infested ones” </w:t>
      </w:r>
    </w:p>
    <w:p>
      <w:pPr>
        <w:pStyle w:val="Normal"/>
        <w:keepNext w:val="false"/>
        <w:keepLines w:val="false"/>
        <w:widowControl w:val="false"/>
        <w:shd w:val="clear" w:fill="auto"/>
        <w:spacing w:lineRule="auto" w:line="360" w:before="0"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“parasite load if infested” respectively). See specific comments on” parasitological indexes approach”.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agree, but we never claimed that “abundance = intensity + prevalence”. We claim that we test for the first time separately prevalence and intensity in the context of a hybrid zone. 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C11.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362-365: See specific comments on” parasitological indexes approach”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 373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Incomplete references and discussion</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body conditions). Is it because they have opposite conclusions, as “The presence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parasites was higher in dense mainland populations than insparsely populated islands”.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cite Winternitz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Hakkarainen et al. citation.</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these three indexes are linked as they reflect distributions of parasite</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keepNext w:val="false"/>
        <w:keepLines w:val="false"/>
        <w:widowControl w:val="false"/>
        <w:shd w:val="clear" w:fill="auto"/>
        <w:spacing w:lineRule="auto" w:line="360" w:before="20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See</w:t>
      </w:r>
      <w:r>
        <w:rPr>
          <w:rFonts w:eastAsia="Times New Roman" w:cs="Times New Roman" w:ascii="Times New Roman" w:hAnsi="Times New Roman"/>
          <w:b w:val="false"/>
          <w:i w:val="false"/>
          <w:caps w:val="false"/>
          <w:smallCaps w:val="false"/>
          <w:strike w:val="false"/>
          <w:dstrike w:val="false"/>
          <w:color w:val="980000"/>
          <w:position w:val="0"/>
          <w:sz w:val="22"/>
          <w:sz w:val="22"/>
          <w:szCs w:val="22"/>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Lines 380 -388</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inappropriate statements for eco-evo-parasitological point of view</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See previous comments about pathogenic versus parasite costs, as well as about selection of resistance and immune mechanisms in mice with pinworms.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C4.&amp;C6.</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Do not confound symptoms and parasite effect on fitness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See previous comments about these points and specific comments on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See C40/2.</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397-398 : Are there really hybrids with strong heterosis on variable phenotypes in the hybrid zone in which genomes are highly recombined (not those of experimental F1)? </w:t>
      </w:r>
    </w:p>
    <w:p>
      <w:pPr>
        <w:pStyle w:val="Normal"/>
        <w:keepNext w:val="false"/>
        <w:keepLines w:val="false"/>
        <w:widowControl w:val="false"/>
        <w:shd w:val="clear" w:fill="auto"/>
        <w:spacing w:lineRule="auto" w:line="360" w:before="288" w:after="0"/>
        <w:ind w:left="0" w:right="-28" w:hanging="0"/>
        <w:jc w:val="left"/>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These are general statements about hybrids (not mice in particular). “Intensity of a particular parasite infection is not necessarily correlated with reduced health and a fitness decrease” lines orig. 395-396</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keepNext w:val="false"/>
        <w:keepLines w:val="false"/>
        <w:widowControl w:val="false"/>
        <w:shd w:val="clear" w:fill="auto"/>
        <w:spacing w:lineRule="auto" w:line="360" w:before="288"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thank the reviewer for all his/her comments that helped us to substantially improve the presentation of our work. We are very confident in our conclusions and hope that, after answering the different comments and correcting our article for clarity, reviewer 1 will agree that we have provided a clear demonstration of our conclusions. To address specific concerns: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no double statistical comparison, no clear modeling design” answer is addressed comment</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 C28/2</w:t>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confusion in parasite parameters and ecology” answer is addressed comment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p>
    <w:p>
      <w:pPr>
        <w:pStyle w:val="Normal"/>
        <w:spacing w:lineRule="auto" w:line="360" w:before="288" w:after="0"/>
        <w:ind w:left="-24" w:right="-28"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Derothe et al., 2004 hypothesis is not based on the same first step of reasoning. For “genome disruption” to “impair some immune functions” requires genes involved in immunity to co-adapt. As pointed out in (Baird 2012) these seem unlikely gene sets in which to see co-adaptation as diversity in immune targeting appears biologically important, favouring recombination which produces new combinations of those genes. Gene sets with high recombination rates are not strong candidates for co-adaptation as particular alleles do not spend sufficient time together to co-adapt.</w:t>
      </w:r>
    </w:p>
    <w:p>
      <w:pPr>
        <w:pStyle w:val="Normal"/>
        <w:spacing w:lineRule="auto" w:line="360" w:before="288" w:after="0"/>
        <w:ind w:left="-24" w:right="-28" w:hanging="0"/>
        <w:jc w:val="both"/>
        <w:rPr>
          <w:rFonts w:ascii="Times New Roman" w:hAnsi="Times New Roman" w:eastAsia="Times New Roman" w:cs="Times New Roman"/>
          <w:b/>
          <w:b/>
          <w:color w:val="980000"/>
        </w:rPr>
      </w:pPr>
      <w:r>
        <w:rPr>
          <w:rFonts w:eastAsia="Times New Roman" w:cs="Times New Roman" w:ascii="Times New Roman" w:hAnsi="Times New Roman"/>
          <w:color w:val="000000"/>
        </w:rPr>
        <w:t xml:space="preserve">The reviewer’s claim that the current study has ‘no clear demonstration of their conclusions [there is no hybrid susceptibility]’ might bear inspection if their claims for the </w:t>
      </w:r>
      <w:r>
        <w:rPr>
          <w:rFonts w:eastAsia="Times New Roman" w:cs="Times New Roman" w:ascii="Times New Roman" w:hAnsi="Times New Roman"/>
          <w:i/>
          <w:color w:val="000000"/>
        </w:rPr>
        <w:t>other</w:t>
      </w:r>
      <w:r>
        <w:rPr>
          <w:rFonts w:eastAsia="Times New Roman" w:cs="Times New Roman" w:ascii="Times New Roman" w:hAnsi="Times New Roman"/>
          <w:color w:val="000000"/>
        </w:rPr>
        <w:t xml:space="preserve"> studies they repeatedly cite did not rely on exactly the same type of observations: parasite loads in hybrids. To claim that </w:t>
      </w:r>
      <w:r>
        <w:rPr>
          <w:rFonts w:eastAsia="Times New Roman" w:cs="Times New Roman" w:ascii="Times New Roman" w:hAnsi="Times New Roman"/>
          <w:i/>
          <w:color w:val="000000"/>
        </w:rPr>
        <w:t>increased</w:t>
      </w:r>
      <w:r>
        <w:rPr>
          <w:rFonts w:eastAsia="Times New Roman" w:cs="Times New Roman" w:ascii="Times New Roman" w:hAnsi="Times New Roman"/>
          <w:color w:val="000000"/>
        </w:rPr>
        <w:t xml:space="preserve"> loads imply important effects, but </w:t>
      </w:r>
      <w:r>
        <w:rPr>
          <w:rFonts w:eastAsia="Times New Roman" w:cs="Times New Roman" w:ascii="Times New Roman" w:hAnsi="Times New Roman"/>
          <w:i/>
          <w:color w:val="000000"/>
        </w:rPr>
        <w:t>reduced</w:t>
      </w:r>
      <w:r>
        <w:rPr>
          <w:rFonts w:eastAsia="Times New Roman" w:cs="Times New Roman" w:ascii="Times New Roman" w:hAnsi="Times New Roman"/>
          <w:color w:val="000000"/>
        </w:rPr>
        <w:t xml:space="preserve"> loads (with much better statistical support) do not, appears perverse</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C49.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No comment/ explanation about these differences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How do you explain this with the same parasite models in the same zone?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noted these differences (see line 352-355 orig.) without entering into details as our main focus is effect of hybridization. We have now added a brief explanation and modified our text: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Power to detect distinct male/female load is expected to be reduced by lower prevalence and abundance.“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(line 434-443 new)</w:t>
      </w:r>
    </w:p>
    <w:p>
      <w:pPr>
        <w:pStyle w:val="Normal"/>
        <w:keepNext w:val="false"/>
        <w:keepLines w:val="false"/>
        <w:widowControl w:val="false"/>
        <w:shd w:val="clear" w:fill="auto"/>
        <w:spacing w:lineRule="auto" w:line="360" w:before="288" w:after="0"/>
        <w:ind w:left="-24" w:right="4612"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Figure legends: Lack of legends and explanations </w:t>
      </w:r>
    </w:p>
    <w:p>
      <w:pPr>
        <w:pStyle w:val="Normal"/>
        <w:keepNext w:val="false"/>
        <w:keepLines w:val="false"/>
        <w:widowControl w:val="false"/>
        <w:shd w:val="clear" w:fill="auto"/>
        <w:spacing w:lineRule="auto" w:line="360" w:before="288" w:after="0"/>
        <w:ind w:left="-24" w:right="83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Figure 1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C50.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C16. &amp; C18.</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The numbers at the level contours indicate posterior probabilities of population membership for each mouse subspecies”. What do the authors mean by posterior? </w:t>
      </w:r>
    </w:p>
    <w:p>
      <w:pPr>
        <w:pStyle w:val="Normal"/>
        <w:keepNext w:val="false"/>
        <w:keepLines w:val="false"/>
        <w:widowControl w:val="false"/>
        <w:shd w:val="clear" w:fill="auto"/>
        <w:spacing w:lineRule="auto" w:line="360" w:before="288" w:after="0"/>
        <w:ind w:left="0" w:right="-23"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is a specific wording of Bayesian statistics, which uses “prior” and “posterior” probabilities. The software is referenced, and our code modifications are available. Describing this would lead to a lecture on Bayesian statistics, which we think lies outside the focus of our article. </w:t>
      </w:r>
    </w:p>
    <w:p>
      <w:pPr>
        <w:pStyle w:val="Normal"/>
        <w:keepNext w:val="false"/>
        <w:keepLines w:val="false"/>
        <w:widowControl w:val="false"/>
        <w:shd w:val="clear" w:fill="auto"/>
        <w:spacing w:lineRule="auto" w:line="360" w:before="288" w:after="0"/>
        <w:ind w:left="-24"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If white dots are mice of the study, very few of them as hybrids with an undeniable part of recombination (between 0,2-0,8)? This does not seem consistent with the data, especially Table S1. </w:t>
      </w:r>
    </w:p>
    <w:p>
      <w:pPr>
        <w:pStyle w:val="Normal"/>
        <w:keepNext w:val="false"/>
        <w:keepLines w:val="false"/>
        <w:widowControl w:val="false"/>
        <w:shd w:val="clear" w:fill="auto"/>
        <w:spacing w:lineRule="auto" w:line="360" w:before="288" w:after="0"/>
        <w:ind w:left="0" w:right="-23" w:hanging="0"/>
        <w:jc w:val="left"/>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This software allows to detect separation between two groups and to categorize into this groups, it does not estimate hybrid zone width. We never claim to estimate the width of the zone. For clarity (and to be technically more correct) we modified “the course of the HMHZ” (line 121 old) to “the expected centre” (line 131 new).</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Figure 2 . </w:t>
      </w:r>
    </w:p>
    <w:p>
      <w:pPr>
        <w:pStyle w:val="Normal"/>
        <w:keepNext w:val="false"/>
        <w:keepLines w:val="false"/>
        <w:widowControl w:val="false"/>
        <w:shd w:val="clear" w:fill="auto"/>
        <w:spacing w:lineRule="auto" w:line="360" w:before="288" w:after="0"/>
        <w:ind w:left="-24" w:right="5"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1/ Explain the color code in a) and c). Why are some points paler than others? </w:t>
      </w:r>
    </w:p>
    <w:p>
      <w:pPr>
        <w:pStyle w:val="Normal"/>
        <w:keepNext w:val="false"/>
        <w:keepLines w:val="false"/>
        <w:widowControl w:val="false"/>
        <w:shd w:val="clear" w:fill="auto"/>
        <w:spacing w:lineRule="auto" w:line="360" w:before="288" w:after="0"/>
        <w:ind w:left="0" w:right="5"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added “(points color indicate mice genotype, on a gradient ranging from blue (pure Mmd) to red (pure Mmm); increased number of mice sampled at one point displayed as decrease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t xml:space="preserve">in opacity).”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in the legend.</w:t>
      </w:r>
    </w:p>
    <w:p>
      <w:pPr>
        <w:pStyle w:val="Normal"/>
        <w:keepNext w:val="false"/>
        <w:keepLines w:val="false"/>
        <w:widowControl w:val="false"/>
        <w:shd w:val="clear" w:fill="auto"/>
        <w:spacing w:lineRule="auto" w:line="360" w:before="288" w:after="0"/>
        <w:ind w:left="-24"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C54.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2/ “The predicted probability of infection does not differ in more admixed mice (b) for males (green) and females (orange)”. What are the more admixed mice: part of the sampling? Produced by model? </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more admixed mice” are hybrids that are more admixed. 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C37</w:t>
      </w:r>
    </w:p>
    <w:p>
      <w:pPr>
        <w:pStyle w:val="Normal"/>
        <w:keepNext w:val="false"/>
        <w:keepLines w:val="false"/>
        <w:widowControl w:val="false"/>
        <w:shd w:val="clear" w:fill="auto"/>
        <w:spacing w:lineRule="auto" w:line="360" w:before="288" w:after="0"/>
        <w:ind w:left="-24"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C55.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“(average observed probability of infection: grey dotted line)” Average of what? Males and females? if so, it could be such an horizontal line. Theoretic average if no hybridization effect? </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added this precision for clarity: “average overall observed probability of infection (prevalence) for males and females considered together: grey dotted line)</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C56.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3/ d) what are the white dots? The 70 Individuals with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 suppose. </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added this precision for clarity “(white dots = individual mice)”</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C57.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When considered HI between 0,25 and 0,75, no mouse show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intensity (as estimated) more than 0. See my previous comments about mortality and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specific comments. </w:t>
      </w:r>
    </w:p>
    <w:p>
      <w:pPr>
        <w:pStyle w:val="Normal"/>
        <w:keepNext w:val="false"/>
        <w:keepLines w:val="false"/>
        <w:widowControl w:val="false"/>
        <w:shd w:val="clear" w:fill="auto"/>
        <w:spacing w:lineRule="auto" w:line="360" w:before="288" w:after="0"/>
        <w:ind w:left="0" w:right="-23"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shown by the wider confidence interval in the centre of the HI. There is no narrowness of the HZ, as addressed comment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C52.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Mortality: 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p>
    <w:p>
      <w:pPr>
        <w:pStyle w:val="Normal"/>
        <w:keepNext w:val="false"/>
        <w:keepLines w:val="false"/>
        <w:widowControl w:val="false"/>
        <w:shd w:val="clear" w:fill="auto"/>
        <w:spacing w:lineRule="auto" w:line="360" w:before="288" w:after="0"/>
        <w:ind w:left="-24" w:right="8270"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Figure 3: </w:t>
      </w:r>
    </w:p>
    <w:p>
      <w:pPr>
        <w:pStyle w:val="Normal"/>
        <w:keepNext w:val="false"/>
        <w:keepLines w:val="false"/>
        <w:widowControl w:val="false"/>
        <w:shd w:val="clear" w:fill="auto"/>
        <w:spacing w:lineRule="auto" w:line="360" w:before="288" w:after="0"/>
        <w:ind w:left="-24" w:right="5155"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C58.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Same questions than for figure 2 1/ and 2/ </w:t>
      </w:r>
    </w:p>
    <w:p>
      <w:pPr>
        <w:pStyle w:val="Normal"/>
        <w:keepNext w:val="false"/>
        <w:keepLines w:val="false"/>
        <w:widowControl w:val="false"/>
        <w:shd w:val="clear" w:fill="auto"/>
        <w:spacing w:lineRule="auto" w:line="360" w:before="288" w:after="0"/>
        <w:ind w:left="0"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corrected on this plot legend as well 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C53.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C59.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3/remark: it clearly appears from those distributions that mice with HI between 0,25 and 0,75 are less numerous than parental ones ( narrowness of the HZ figure 1 and Table S1). </w:t>
      </w:r>
    </w:p>
    <w:p>
      <w:pPr>
        <w:pStyle w:val="Normal"/>
        <w:keepNext w:val="false"/>
        <w:keepLines w:val="false"/>
        <w:widowControl w:val="false"/>
        <w:shd w:val="clear" w:fill="auto"/>
        <w:spacing w:lineRule="auto" w:line="360" w:before="288" w:after="0"/>
        <w:ind w:left="0"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C57.</w:t>
      </w:r>
    </w:p>
    <w:p>
      <w:pPr>
        <w:pStyle w:val="Normal"/>
        <w:keepNext w:val="false"/>
        <w:keepLines w:val="false"/>
        <w:widowControl w:val="false"/>
        <w:shd w:val="clear" w:fill="auto"/>
        <w:spacing w:lineRule="auto" w:line="360" w:before="288" w:after="0"/>
        <w:ind w:left="0" w:right="-28"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Comments on table S1 (see xls joint document) </w:t>
      </w:r>
    </w:p>
    <w:p>
      <w:pPr>
        <w:pStyle w:val="Normal"/>
        <w:keepNext w:val="false"/>
        <w:keepLines w:val="false"/>
        <w:widowControl w:val="false"/>
        <w:shd w:val="clear" w:fill="auto"/>
        <w:spacing w:lineRule="auto" w:line="360" w:before="288" w:after="0"/>
        <w:ind w:left="-24" w:right="5"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C60.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 indeed identify 51 mice from 660 (near 8 %) to which HI was estimated from 4 to 9 loci. </w:t>
      </w:r>
    </w:p>
    <w:p>
      <w:pPr>
        <w:pStyle w:val="Normal"/>
        <w:keepNext w:val="false"/>
        <w:keepLines w:val="false"/>
        <w:widowControl w:val="false"/>
        <w:shd w:val="clear" w:fill="auto"/>
        <w:spacing w:lineRule="auto" w:line="360" w:before="0"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For a very few of them, clearly too much data are lacking and the HI is not valuable (SK 2891, AA_0272) It must be noted that for AA_0169, HI was determined on 6 loci and not 7 as indicated) </w:t>
      </w:r>
    </w:p>
    <w:p>
      <w:pPr>
        <w:pStyle w:val="Normal"/>
        <w:keepNext w:val="false"/>
        <w:keepLines w:val="false"/>
        <w:widowControl w:val="false"/>
        <w:shd w:val="clear" w:fill="auto"/>
        <w:spacing w:lineRule="auto" w:line="360" w:before="0" w:after="0"/>
        <w:ind w:left="0" w:right="-28" w:hanging="0"/>
        <w:jc w:val="left"/>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keepNext w:val="false"/>
        <w:keepLines w:val="false"/>
        <w:widowControl w:val="false"/>
        <w:shd w:val="clear" w:fill="auto"/>
        <w:spacing w:lineRule="auto" w:line="360" w:before="0" w:after="0"/>
        <w:ind w:left="0"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Corrections made; 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C16.</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C61.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C16.</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C62.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For most of the 51, the most troubling is that HI of some groups of mice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determined on markers entirely different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which is false, since for 17 mice the data are missing for all these markers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Note that lack of data on at least one of these 6 autosomal markers are present for 3 others mice from theses very 51 and for 36 of the remaining 609 (if I did not make a mistake counting too quickly) </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C16.</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C63.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Moreover, the authors “use” several of these 51 mice, which showed little supported HI as data for body weight, pinworm load, even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load. The assignment of these parasite data or health status to a weak hybridization level is not without consequence on the analysis of the models and therefore the results of the publication.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keepNext w:val="false"/>
        <w:keepLines w:val="false"/>
        <w:widowControl w:val="false"/>
        <w:shd w:val="clear" w:fill="auto"/>
        <w:spacing w:lineRule="auto" w:line="360" w:before="288" w:after="0"/>
        <w:ind w:left="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C16.</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Comments Concerning </w:t>
      </w:r>
      <w:r>
        <w:rPr>
          <w:rFonts w:eastAsia="Times New Roman" w:cs="Times New Roman" w:ascii="Times New Roman" w:hAnsi="Times New Roman"/>
          <w:b/>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model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A/ Species diversity across the HZ.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Species found in the HZ are those of Jarquín-Díaz et al., 2019, as being part of the same sampling (360 versus 660 mice). They reveal that not only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ferissi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is the most prevalent in the zone (very few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falciformis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very very few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E. vermiformis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ferissi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is too the species for which no weigh loss has been identified by Al-khlifeh et al., 2019 (strain derived from the same sampling again).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The same result on the same data is in fact use two time and present as a validation</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which is no rigorous. </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C7.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&amp;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C9.</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B /Induced mortality.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 rodent hosts: mortality and population regulation. But the authors do not even mention these results. Let focus on 3 main references about the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species studied in this study: one with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ferrissi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(Klesius and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Heinds, 1979) , two with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 falciformis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(Stockdale et al, 1985; Marhrt and Shi, 1988). They suggest that these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b w:val="false"/>
          <w:i w:val="false"/>
          <w:caps w:val="false"/>
          <w:smallCaps w:val="false"/>
          <w:strike w:val="false"/>
          <w:dstrike w:val="false"/>
          <w:color w:val="073763"/>
          <w:sz w:val="23"/>
          <w:szCs w:val="23"/>
          <w:u w:val="none"/>
          <w:shd w:fill="auto" w:val="clear"/>
          <w:vertAlign w:val="superscript"/>
        </w:rPr>
        <w:t>2</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See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C11.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There is no narrowness of the HZ, as addressed comment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C52.</w:t>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 xml:space="preserve">C66.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C / Quantification of the intensities thanks qPCR </w:t>
      </w:r>
    </w:p>
    <w:p>
      <w:pPr>
        <w:pStyle w:val="Normal"/>
        <w:keepNext w:val="false"/>
        <w:keepLines w:val="false"/>
        <w:widowControl w:val="false"/>
        <w:shd w:val="clear" w:fill="auto"/>
        <w:spacing w:lineRule="auto" w:line="360" w:before="288"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keepNext w:val="false"/>
        <w:keepLines w:val="false"/>
        <w:widowControl w:val="false"/>
        <w:shd w:val="clear" w:fill="auto"/>
        <w:spacing w:lineRule="auto" w:line="360" w:before="288" w:after="0"/>
        <w:ind w:left="-24" w:right="-2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author clearly want to use these non-helminth parasites as a quite definitive element of the demonstration or not of hybrid susceptibility. So, I have trouble understanding why they have not taken the time: </w:t>
      </w:r>
    </w:p>
    <w:p>
      <w:pPr>
        <w:pStyle w:val="Normal"/>
        <w:keepNext w:val="false"/>
        <w:keepLines w:val="false"/>
        <w:widowControl w:val="false"/>
        <w:shd w:val="clear" w:fill="auto"/>
        <w:spacing w:lineRule="auto" w:line="360" w:before="288" w:after="0"/>
        <w:ind w:left="335"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to build an rigorous experimental protocol on a mouse strain that they handle easily (NMRI for </w:t>
      </w:r>
    </w:p>
    <w:p>
      <w:pPr>
        <w:pStyle w:val="Normal"/>
        <w:keepNext w:val="false"/>
        <w:keepLines w:val="false"/>
        <w:widowControl w:val="false"/>
        <w:shd w:val="clear" w:fill="auto"/>
        <w:spacing w:lineRule="auto" w:line="360" w:before="91" w:after="0"/>
        <w:ind w:left="335" w:right="-28" w:firstLine="22"/>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example) , - to realize controlled infections and load data evaluated from histology and coprology (which </w:t>
      </w:r>
    </w:p>
    <w:p>
      <w:pPr>
        <w:pStyle w:val="Normal"/>
        <w:keepNext w:val="false"/>
        <w:keepLines w:val="false"/>
        <w:widowControl w:val="false"/>
        <w:shd w:val="clear" w:fill="auto"/>
        <w:spacing w:lineRule="auto" w:line="360" w:before="91" w:after="0"/>
        <w:ind w:left="335" w:right="1132" w:firstLine="22"/>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they know well) - to couple these date with an approach by qPCR they usually performed well too. </w:t>
      </w:r>
    </w:p>
    <w:p>
      <w:pPr>
        <w:pStyle w:val="Normal"/>
        <w:keepNext w:val="false"/>
        <w:keepLines w:val="false"/>
        <w:widowControl w:val="false"/>
        <w:shd w:val="clear" w:fill="auto"/>
        <w:spacing w:lineRule="auto" w:line="360" w:before="288" w:after="0"/>
        <w:ind w:left="335" w:right="-2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12"/>
          <w:szCs w:val="1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This experiment would allow them to validate rigorously and definitively the qPCR estimate of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Eimeria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keepNext w:val="false"/>
        <w:keepLines w:val="false"/>
        <w:widowControl w:val="false"/>
        <w:shd w:val="clear" w:fill="auto"/>
        <w:spacing w:lineRule="auto" w:line="360" w:before="796" w:after="0"/>
        <w:ind w:left="-24" w:right="854"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12"/>
          <w:sz w:val="12"/>
          <w:szCs w:val="12"/>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073763"/>
          <w:sz w:val="33"/>
          <w:szCs w:val="33"/>
          <w:u w:val="none"/>
          <w:shd w:fill="auto" w:val="clear"/>
          <w:vertAlign w:val="subscript"/>
        </w:rPr>
        <w:t xml:space="preserve">Note that pinworm distributions are not known as season-dependent in mouse populations. It could be </w:t>
      </w:r>
      <w:r>
        <w:rPr>
          <w:rFonts w:eastAsia="Times New Roman" w:cs="Times New Roman" w:ascii="Times New Roman" w:hAnsi="Times New Roman"/>
          <w:b w:val="false"/>
          <w:i w:val="false"/>
          <w:caps w:val="false"/>
          <w:smallCaps w:val="false"/>
          <w:strike w:val="false"/>
          <w:dstrike w:val="false"/>
          <w:color w:val="073763"/>
          <w:position w:val="0"/>
          <w:sz w:val="19"/>
          <w:sz w:val="19"/>
          <w:szCs w:val="19"/>
          <w:u w:val="none"/>
          <w:shd w:fill="auto" w:val="clear"/>
          <w:vertAlign w:val="baseline"/>
        </w:rPr>
        <w:t xml:space="preserve">verified </w:t>
      </w:r>
    </w:p>
    <w:p>
      <w:pPr>
        <w:pStyle w:val="Normal"/>
        <w:keepNext w:val="false"/>
        <w:keepLines w:val="false"/>
        <w:widowControl w:val="false"/>
        <w:shd w:val="clear" w:fill="auto"/>
        <w:spacing w:lineRule="auto" w:line="360" w:before="0" w:after="0"/>
        <w:ind w:left="-24" w:right="-33"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 Eaton et al. 2016. Parasites &amp; Vectors volume 9, 38.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A. lumbricoides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and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N. americanus</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Positive correlations between eggs count and QPCR on human stool samples. More Efficient with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A. lumbricoides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Note </w:t>
      </w:r>
    </w:p>
    <w:p>
      <w:pPr>
        <w:pStyle w:val="Normal"/>
        <w:keepNext w:val="false"/>
        <w:keepLines w:val="false"/>
        <w:widowControl w:val="false"/>
        <w:shd w:val="clear" w:fill="auto"/>
        <w:spacing w:lineRule="auto" w:line="360" w:before="288" w:after="0"/>
        <w:ind w:left="-24" w:right="-23"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that the relationship between number of expelled nematodes after treatment with both DNA quantification and Eggs counts is also evaluated.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-the authors claim for the use of more sensitive qPCR tool for prevalence and even intensity, but with prior rigorous standardization. </w:t>
      </w:r>
    </w:p>
    <w:p>
      <w:pPr>
        <w:pStyle w:val="Normal"/>
        <w:keepNext w:val="false"/>
        <w:keepLines w:val="false"/>
        <w:widowControl w:val="false"/>
        <w:shd w:val="clear" w:fill="auto"/>
        <w:spacing w:lineRule="auto" w:line="360" w:before="288" w:after="0"/>
        <w:ind w:left="-24" w:right="374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See Eaton et al., 2017 . Parasites &amp; Vectors volume 10, 256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keepNext w:val="false"/>
        <w:keepLines w:val="false"/>
        <w:widowControl w:val="false"/>
        <w:shd w:val="clear" w:fill="auto"/>
        <w:spacing w:lineRule="auto" w:line="360" w:before="288"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C/ Pett et al. 2016. Malaria Journal volume 15, 539. Correlation between estimation of gametocytes in blood / qPCR. Rigorous experimental calibration performed with different dilutions of gametocytes </w:t>
      </w:r>
    </w:p>
    <w:p>
      <w:pPr>
        <w:pStyle w:val="Normal"/>
        <w:keepNext w:val="false"/>
        <w:keepLines w:val="false"/>
        <w:widowControl w:val="false"/>
        <w:shd w:val="clear" w:fill="auto"/>
        <w:spacing w:lineRule="auto" w:line="360" w:before="0" w:after="0"/>
        <w:ind w:left="-24" w:right="-28" w:hanging="0"/>
        <w:jc w:val="left"/>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from cell cultures and various </w:t>
      </w:r>
      <w:r>
        <w:rPr>
          <w:rFonts w:eastAsia="Times New Roman" w:cs="Times New Roman" w:ascii="Times New Roman" w:hAnsi="Times New Roman"/>
          <w:b w:val="false"/>
          <w:i/>
          <w:caps w:val="false"/>
          <w:smallCaps w:val="false"/>
          <w:strike w:val="false"/>
          <w:dstrike w:val="false"/>
          <w:color w:val="073763"/>
          <w:position w:val="0"/>
          <w:sz w:val="22"/>
          <w:sz w:val="22"/>
          <w:szCs w:val="22"/>
          <w:u w:val="none"/>
          <w:shd w:fill="auto" w:val="clear"/>
          <w:vertAlign w:val="baseline"/>
        </w:rPr>
        <w:t xml:space="preserve">Plasmodium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strains. Clear explanation of their positive threshold and Δ. GLM analysis. </w:t>
      </w:r>
    </w:p>
    <w:p>
      <w:pPr>
        <w:pStyle w:val="Normal"/>
        <w:keepNext w:val="false"/>
        <w:keepLines w:val="false"/>
        <w:widowControl w:val="false"/>
        <w:shd w:val="clear" w:fill="auto"/>
        <w:spacing w:lineRule="auto" w:line="360" w:before="288"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protocol has been validated, we added for precision: </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154 orig., lines 172 new). The genotyping PCRs of Jarquín-Díaz et al., 2019 are methodologically independent.  We do not compare this to oocyst shedding, as we have evidence from e.g. re-infection (homologous and heterologous challenge of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 xml:space="preserve">E. ferrisi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 falciformis</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that intestinal intensity can be high  without any oocyst shedding. We argue that the intensity of intestinal parasite stages is a more meaningful measure than parasite reproduction (oocysts in faeces). See also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C11.</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 xml:space="preserve">Specific comments on “ parasitological indexes approach”.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For an analysis designed for data that does not include zero loads, including the zero loads is not only not essential, it would be non-sensical.</w:t>
      </w:r>
    </w:p>
    <w:p>
      <w:pPr>
        <w:pStyle w:val="Normal"/>
        <w:keepNext w:val="false"/>
        <w:keepLines w:val="false"/>
        <w:widowControl w:val="false"/>
        <w:shd w:val="clear" w:fill="auto"/>
        <w:spacing w:lineRule="auto" w:line="360" w:before="288"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An answer on the technical level is that the fit of our models was carefully optimised, see</w:t>
      </w:r>
      <w:r>
        <w:rPr>
          <w:rFonts w:eastAsia="Times New Roman" w:cs="Times New Roman" w:ascii="Times New Roman" w:hAnsi="Times New Roman"/>
          <w:b w:val="false"/>
          <w:i w:val="false"/>
          <w:caps w:val="false"/>
          <w:smallCaps w:val="false"/>
          <w:strike w:val="false"/>
          <w:dstrike w:val="false"/>
          <w:color w:val="980000"/>
          <w:position w:val="0"/>
          <w:sz w:val="22"/>
          <w:sz w:val="22"/>
          <w:szCs w:val="22"/>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980000"/>
          <w:position w:val="0"/>
          <w:sz w:val="22"/>
          <w:sz w:val="22"/>
          <w:szCs w:val="22"/>
          <w:u w:val="none"/>
          <w:shd w:fill="auto" w:val="clear"/>
          <w:vertAlign w:val="baseline"/>
        </w:rPr>
        <w:t>C30.</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To answer on an almost philosophical level: Natural sciences can only measure our uncertainty, we leave proofs to mathematicians. We thank the reviewer for their rigor and hope to engage in an open and fair discussion.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shd w:fill="auto" w:val="clear"/>
          <w:vertAlign w:val="baseline"/>
        </w:rPr>
        <w:t>Supplementary general comment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pPr>
        <w:pStyle w:val="Normal"/>
        <w:keepNext w:val="false"/>
        <w:keepLines w:val="false"/>
        <w:widowControl w:val="false"/>
        <w:shd w:val="clear" w:fill="auto"/>
        <w:spacing w:lineRule="auto" w:line="360" w:before="288" w:after="0"/>
        <w:ind w:left="-24" w:right="-28" w:hanging="0"/>
        <w:jc w:val="both"/>
        <w:rPr>
          <w:rFonts w:ascii="Times New Roman" w:hAnsi="Times New Roman" w:eastAsia="Times New Roman" w:cs="Times New Roman"/>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0000A"/>
          <w:position w:val="0"/>
          <w:sz w:val="22"/>
          <w:sz w:val="22"/>
          <w:szCs w:val="22"/>
          <w:u w:val="none"/>
          <w:shd w:fill="auto" w:val="clear"/>
          <w:vertAlign w:val="baseline"/>
        </w:rPr>
        <w:t xml:space="preserve">The reviewer’s question is most easily answered by reflection: Should studies from distant parts of the HZ </w:t>
      </w:r>
      <w:r>
        <w:rPr>
          <w:rFonts w:eastAsia="Times New Roman" w:cs="Times New Roman" w:ascii="Times New Roman" w:hAnsi="Times New Roman"/>
          <w:i/>
          <w:caps w:val="false"/>
          <w:smallCaps w:val="false"/>
          <w:strike w:val="false"/>
          <w:dstrike w:val="false"/>
          <w:color w:val="00000A"/>
          <w:position w:val="0"/>
          <w:sz w:val="22"/>
          <w:sz w:val="22"/>
          <w:szCs w:val="22"/>
          <w:u w:val="none"/>
          <w:shd w:fill="auto" w:val="clear"/>
          <w:vertAlign w:val="baseline"/>
        </w:rPr>
        <w:t>not</w:t>
      </w:r>
      <w:r>
        <w:rPr>
          <w:rFonts w:eastAsia="Times New Roman" w:cs="Times New Roman" w:ascii="Times New Roman" w:hAnsi="Times New Roman"/>
          <w:i w:val="false"/>
          <w:caps w:val="false"/>
          <w:smallCaps w:val="false"/>
          <w:strike w:val="false"/>
          <w:dstrike w:val="false"/>
          <w:color w:val="00000A"/>
          <w:position w:val="0"/>
          <w:sz w:val="22"/>
          <w:sz w:val="22"/>
          <w:szCs w:val="22"/>
          <w:u w:val="none"/>
          <w:shd w:fill="auto" w:val="clear"/>
          <w:vertAlign w:val="baseline"/>
        </w:rPr>
        <w:t xml:space="preserve"> be compared? We feel that if we had made no such comparison this reviewer would also have objected.</w:t>
      </w:r>
    </w:p>
    <w:p>
      <w:pPr>
        <w:pStyle w:val="Normal"/>
        <w:keepNext w:val="false"/>
        <w:keepLines w:val="false"/>
        <w:widowControl w:val="false"/>
        <w:shd w:val="clear" w:fill="auto"/>
        <w:spacing w:lineRule="auto" w:line="360" w:before="288"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The epidemiological and ecological situation in the field could obviously have changed in the past 33 years. We, however, find it more likely that earlier studies based on roughly tenfold lower sample sizes, field sampling protocols that obscure their results (mice kep</w:t>
      </w:r>
      <w:r>
        <w:rPr>
          <w:rFonts w:eastAsia="Times New Roman" w:cs="Times New Roman" w:ascii="Times New Roman" w:hAnsi="Times New Roman"/>
          <w:color w:val="000000"/>
        </w:rPr>
        <w:t>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for </w:t>
      </w:r>
      <w:r>
        <w:rPr>
          <w:rFonts w:eastAsia="Times New Roman" w:cs="Times New Roman" w:ascii="Times New Roman" w:hAnsi="Times New Roman"/>
          <w:color w:val="000000"/>
        </w:rPr>
        <w:t>2 months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Moulia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 xml:space="preserve">et al.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1991). We believe that progress and activity in the field of parasites in hybrid mice (and hybrids in general) is severely hampered by the burden to “disprove” these low quality studies. </w:t>
      </w:r>
    </w:p>
    <w:p>
      <w:pPr>
        <w:pStyle w:val="Normal"/>
        <w:keepNext w:val="false"/>
        <w:keepLines w:val="false"/>
        <w:widowControl w:val="false"/>
        <w:shd w:val="clear" w:fill="auto"/>
        <w:spacing w:lineRule="auto" w:line="360" w:before="288" w:after="0"/>
        <w:ind w:left="696"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Arial" w:cs="Arial"/>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keepNext w:val="false"/>
        <w:keepLines w:val="false"/>
        <w:widowControl w:val="false"/>
        <w:shd w:val="clear" w:fill="auto"/>
        <w:spacing w:lineRule="auto" w:line="360" w:before="0" w:after="0"/>
        <w:ind w:left="-24"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48"/>
          <w:sz w:val="48"/>
          <w:szCs w:val="48"/>
          <w:u w:val="none"/>
          <w:shd w:fill="auto" w:val="clear"/>
          <w:vertAlign w:val="baseline"/>
        </w:rPr>
        <w:t xml:space="preserve">Response to reviewer 2.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Comments to the Author</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This manuscript tests the hypothesis that hybrid hosts will be more susceptible to infection than parentals. I have a few comments below:</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4 – is this the thinking for hybrid mice, or hybrids in general? Would be best to have more broadly conceptual introduction to the experimental work.</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Lines 12-14 – Better to show what you did find given the tight word constraints of an abstract.</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thank the reviewer for these comments on the abstract. We updated the abstract and the discussion to start with general points on hybridization. </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14 – What is meant by ‘diverse’ parasites?</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3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introduction</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(line 70-75 new), and in the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discussion</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(line 422-427 new)</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40 – ‘our own species’ should be removed.</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modified it for “humans” (line 23 new)</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121 – ‘the course’ of the HMHZ’. What does this mean?</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changed for clarity “the course” to “the expected centre” (line 131 new)</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133 – how do the authors define ‘most prevalent’?</w:t>
      </w:r>
    </w:p>
    <w:p>
      <w:pPr>
        <w:pStyle w:val="Normal"/>
        <w:keepNext w:val="false"/>
        <w:keepLines w:val="false"/>
        <w:widowControl w:val="false"/>
        <w:shd w:val="clear" w:fill="auto"/>
        <w:spacing w:lineRule="auto" w:line="360" w:before="288" w:after="0"/>
        <w:ind w:left="0" w:right="-2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counted all worms, but only include the more prevalent as we need high statistical power to answer our question. The text has been modified and a supplementary figure added as follows:</w:t>
      </w:r>
    </w:p>
    <w:p>
      <w:pPr>
        <w:pStyle w:val="Normal"/>
        <w:widowControl w:val="false"/>
        <w:shd w:val="clear" w:fill="auto"/>
        <w:spacing w:lineRule="auto" w:line="360" w:before="288" w:after="0"/>
        <w:ind w:left="0" w:right="-23"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As in this study we need a high statistical power to test our hypothesis, we considered only the most prevalent helminths, the oxyurids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Syphacia obvelata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and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Aspiculuris tetraptera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Histograms presenting the distribution of counts for other helminths can be found in </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Supplementary Figure S2.”</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(lines 147-149 new)</w:t>
      </w:r>
    </w:p>
    <w:p>
      <w:pPr>
        <w:pStyle w:val="Normal"/>
        <w:widowControl w:val="false"/>
        <w:shd w:val="clear" w:fill="auto"/>
        <w:spacing w:lineRule="auto" w:line="360" w:before="288" w:after="0"/>
        <w:ind w:left="0" w:right="-2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33"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Our study is designed to jointly study two different parasites. We test if any general hybrid effect on resistance and impact on health could be detected. We chose to focus on two parasites from very different phyla, namely Nematoda and Apicomplexa. We wanted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Instead we highlight all differences between the parasites: a) extra vs. intra-cellular, b) targeting  Th2 vs  Th1 immune pathways, c) possible different impact on host health. We now introduce these aspects in more detail in the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introduction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(line 70-77 new), and in the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discussion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(line 422-427 new).</w:t>
      </w:r>
      <w:r>
        <w:rPr>
          <w:rFonts w:eastAsia="Times New Roman" w:cs="Times New Roman" w:ascii="Times New Roman" w:hAnsi="Times New Roman"/>
          <w:b w:val="false"/>
          <w:i w:val="false"/>
          <w:caps w:val="false"/>
          <w:smallCaps w:val="false"/>
          <w:strike w:val="false"/>
          <w:dstrike w:val="false"/>
          <w:color w:val="980000"/>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360" w:before="0" w:after="0"/>
        <w:ind w:left="720" w:right="-33"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1C4587"/>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1C4587"/>
          <w:position w:val="0"/>
          <w:sz w:val="22"/>
          <w:sz w:val="22"/>
          <w:szCs w:val="22"/>
          <w:u w:val="none"/>
          <w:shd w:fill="auto" w:val="clear"/>
          <w:vertAlign w:val="baseline"/>
        </w:rPr>
        <w:t>Paragraph starting at 360 – Why are new questions being mentioned at this point in the manuscript?</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rFonts w:ascii="Arial" w:hAnsi="Arial" w:eastAsia="Arial" w:cs="Arial"/>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for clarity. Reviewer 1 stressed this point. </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1C4587"/>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1C4587"/>
          <w:position w:val="0"/>
          <w:sz w:val="22"/>
          <w:sz w:val="22"/>
          <w:szCs w:val="22"/>
          <w:u w:val="none"/>
          <w:shd w:fill="auto" w:val="clear"/>
          <w:vertAlign w:val="baseline"/>
        </w:rPr>
        <w:t>Line 408 – Can authors elaborate on these future experiments and what they might deduce? This is unclear.</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developed as follow: </w:t>
        <w:tab/>
        <w:t xml:space="preserve"> </w:t>
        <w:tab/>
      </w:r>
    </w:p>
    <w:p>
      <w:pPr>
        <w:pStyle w:val="Normal"/>
        <w:keepNext w:val="false"/>
        <w:keepLines w:val="false"/>
        <w:widowControl w:val="false"/>
        <w:shd w:val="clear" w:fill="auto"/>
        <w:spacing w:lineRule="auto" w:line="360" w:before="0" w:after="20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can in future ask whether host (immunity and resistance) parasite (infectivity and virulence) or their interactions are underlying reduced parasite intensity in hybrid house mice.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Eimeria</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spp. are suitable pathogens to perform experimental and field studies in this endeavour. An experimental setup investigating resistance (inverse of parasite intensity) and tolerance (impact on host health measured by weight loss) during an infection in mice of pure subspecies and crosses between them could address this question in more detail.”  (line 492-497 new)</w:t>
      </w:r>
    </w:p>
    <w:p>
      <w:pPr>
        <w:pStyle w:val="Normal"/>
        <w:keepNext w:val="false"/>
        <w:keepLines w:val="false"/>
        <w:widowControl w:val="false"/>
        <w:shd w:val="clear" w:fill="auto"/>
        <w:spacing w:lineRule="auto" w:line="360" w:before="0" w:after="0"/>
        <w:ind w:left="-24" w:right="-28" w:hanging="0"/>
        <w:jc w:val="both"/>
        <w:rPr/>
      </w:pPr>
      <w:r>
        <w:rPr>
          <w:rFonts w:eastAsia="Times New Roman" w:cs="Times New Roman" w:ascii="Times New Roman" w:hAnsi="Times New Roman"/>
          <w:b w:val="false"/>
          <w:i w:val="false"/>
          <w:caps w:val="false"/>
          <w:smallCaps w:val="false"/>
          <w:strike w:val="false"/>
          <w:dstrike w:val="false"/>
          <w:color w:val="1C4587"/>
          <w:position w:val="0"/>
          <w:sz w:val="22"/>
          <w:sz w:val="22"/>
          <w:szCs w:val="22"/>
          <w:u w:val="none"/>
          <w:shd w:fill="auto" w:val="clear"/>
          <w:vertAlign w:val="baseline"/>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1C4587"/>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1C4587"/>
          <w:position w:val="0"/>
          <w:sz w:val="22"/>
          <w:sz w:val="22"/>
          <w:szCs w:val="22"/>
          <w:u w:val="none"/>
          <w:vertAlign w:val="baseline"/>
        </w:rPr>
      </w:r>
    </w:p>
    <w:p>
      <w:pPr>
        <w:pStyle w:val="Normal"/>
        <w:widowControl w:val="false"/>
        <w:shd w:val="clear" w:fill="auto"/>
        <w:spacing w:lineRule="auto" w:line="360" w:before="0" w:after="0"/>
        <w:ind w:left="-24" w:right="-28"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We thank the reviewer for this comment and modified the introduction accordingly.</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73763"/>
          <w:position w:val="0"/>
          <w:sz w:val="22"/>
          <w:sz w:val="22"/>
          <w:szCs w:val="22"/>
          <w:u w:val="none"/>
          <w:shd w:fill="auto" w:val="clear"/>
          <w:vertAlign w:val="baseline"/>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keepNext w:val="false"/>
        <w:keepLines w:val="false"/>
        <w:widowControl w:val="false"/>
        <w:shd w:val="clear" w:fill="auto"/>
        <w:spacing w:lineRule="auto" w:line="360" w:before="0" w:after="0"/>
        <w:ind w:left="-24" w:right="-28" w:hanging="0"/>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pPr>
      <w:bookmarkStart w:id="0" w:name="_30j0zll"/>
      <w:bookmarkEnd w:id="0"/>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 literature in this field is quite controversial. There is disagreement on both the direction of effects of hybridization on parasites in the house mouse system (see Sage et al. 1986 and Moulia ett al. 1991 vs. Baird et al. 2012 and our study) and on the interpretation of these findings with regards to host fitness and hybridization (see for example</w:t>
      </w:r>
      <w:r>
        <w:rPr>
          <w:rFonts w:eastAsia="Times New Roman" w:cs="Times New Roman" w:ascii="Times New Roman" w:hAnsi="Times New Roman"/>
          <w:b/>
          <w:i w:val="false"/>
          <w:caps w:val="false"/>
          <w:smallCaps w:val="false"/>
          <w:strike w:val="false"/>
          <w:dstrike w:val="false"/>
          <w:color w:val="00000A"/>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Theodosopoulos et al. 2019; Baird &amp; Goüy de Bellocq, 2019)</w:t>
      </w:r>
      <w:hyperlink r:id="rId6">
        <w:r>
          <w:rPr>
            <w:rStyle w:val="ListLabel19"/>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t>.</w:t>
          <w:tab/>
          <w:t xml:space="preserve"> </w:t>
        </w:r>
      </w:hyperlink>
    </w:p>
    <w:p>
      <w:pPr>
        <w:pStyle w:val="Normal"/>
        <w:widowControl w:val="false"/>
        <w:shd w:val="clear" w:fill="auto"/>
        <w:spacing w:lineRule="auto" w:line="360" w:before="0" w:after="0"/>
        <w:ind w:left="0" w:right="-28" w:hanging="0"/>
        <w:jc w:val="both"/>
        <w:rPr/>
      </w:pPr>
      <w:r>
        <w:rPr>
          <w:rFonts w:eastAsia="Times New Roman" w:cs="Times New Roman" w:ascii="Times New Roman" w:hAnsi="Times New Roman"/>
          <w:b w:val="false"/>
          <w:i w:val="false"/>
          <w:caps w:val="false"/>
          <w:smallCaps w:val="false"/>
          <w:strike w:val="false"/>
          <w:dstrike w:val="false"/>
          <w:color w:val="3C78D8"/>
          <w:position w:val="0"/>
          <w:sz w:val="22"/>
          <w:sz w:val="22"/>
          <w:szCs w:val="22"/>
          <w:u w:val="none"/>
          <w:shd w:fill="auto" w:val="clear"/>
          <w:vertAlign w:val="baseline"/>
        </w:rPr>
        <w:t>https://www.sciencedirect.com/science/article/pii/S0169534718302325?via%3Dihub</w:t>
      </w:r>
    </w:p>
    <w:p>
      <w:pPr>
        <w:pStyle w:val="Normal"/>
        <w:keepNext w:val="false"/>
        <w:keepLines w:val="false"/>
        <w:widowControl w:val="false"/>
        <w:shd w:val="clear" w:fill="auto"/>
        <w:spacing w:lineRule="auto" w:line="360" w:before="0" w:after="0"/>
        <w:ind w:left="0" w:right="-28" w:hanging="0"/>
        <w:jc w:val="both"/>
        <w:rPr>
          <w:rFonts w:ascii="Times New Roman" w:hAnsi="Times New Roman" w:eastAsia="Times New Roman" w:cs="Times New Roman"/>
          <w:b w:val="false"/>
          <w:b w:val="false"/>
          <w:i w:val="false"/>
          <w:i w:val="false"/>
          <w:caps w:val="false"/>
          <w:smallCaps w:val="false"/>
          <w:strike w:val="false"/>
          <w:dstrike w:val="false"/>
          <w:color w:val="3C78D8"/>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3C78D8"/>
          <w:position w:val="0"/>
          <w:sz w:val="22"/>
          <w:sz w:val="22"/>
          <w:szCs w:val="22"/>
          <w:u w:val="none"/>
          <w:shd w:fill="auto" w:val="clear"/>
          <w:vertAlign w:val="baseline"/>
        </w:rPr>
        <w:t>https://www.cell.com/trends/ecology-evolution/fulltext/S0169-5347(19)30026-6</w:t>
      </w:r>
    </w:p>
    <w:p>
      <w:pPr>
        <w:pStyle w:val="Normal"/>
        <w:keepNext w:val="false"/>
        <w:keepLines w:val="false"/>
        <w:widowControl w:val="false"/>
        <w:shd w:val="clear" w:fill="auto"/>
        <w:spacing w:lineRule="auto" w:line="360" w:before="0" w:after="0"/>
        <w:ind w:left="696" w:right="-28"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rPr>
      </w:r>
    </w:p>
    <w:p>
      <w:pPr>
        <w:pStyle w:val="Normal"/>
        <w:keepNext w:val="false"/>
        <w:keepLines w:val="false"/>
        <w:widowControl w:val="false"/>
        <w:shd w:val="clear" w:fill="auto"/>
        <w:spacing w:lineRule="auto" w:line="360" w:before="0" w:after="0"/>
        <w:ind w:left="0" w:right="-28" w:hanging="0"/>
        <w:jc w:val="both"/>
        <w:rPr/>
      </w:pPr>
      <w:bookmarkStart w:id="1" w:name="_1fob9te"/>
      <w:bookmarkEnd w:id="1"/>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We therefore focus on the study system and limit our hypotheses to hybrid resistance vs. hybrid susceptibility without favoring one result </w:t>
      </w:r>
      <w:r>
        <w:rPr>
          <w:rFonts w:eastAsia="Times New Roman" w:cs="Times New Roman" w:ascii="Times New Roman" w:hAnsi="Times New Roman"/>
          <w:b w:val="false"/>
          <w:i/>
          <w:caps w:val="false"/>
          <w:smallCaps w:val="false"/>
          <w:strike w:val="false"/>
          <w:dstrike w:val="false"/>
          <w:color w:val="00000A"/>
          <w:position w:val="0"/>
          <w:sz w:val="22"/>
          <w:sz w:val="22"/>
          <w:szCs w:val="22"/>
          <w:u w:val="none"/>
          <w:shd w:fill="auto" w:val="clear"/>
          <w:vertAlign w:val="baseline"/>
        </w:rPr>
        <w:t>a priori</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shd w:fill="auto" w:val="clear"/>
          <w:vertAlign w:val="baseline"/>
        </w:rPr>
        <w:t xml:space="preserve">. We hope that our work will help to resolve the long lasting debate about (even) the direction of hybrid effects on parasites in the house mouse system (see also comments of reviewer 1). We follow Baird &amp; Goüy de Bellocq, 2019 in their view that broader hypotheses on especially fitness effects of parasites on their hosts (or even the maintenance of hybrid zones) should be avoided, especially without evidence for a link between parasites and their impact on host health (if this is what the reviewer means by “condition”).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Gungsuh">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2"/>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2"/>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A"/>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next w:val="LOnormal"/>
    <w:qFormat/>
    <w:pPr>
      <w:keepNext w:val="true"/>
      <w:keepLines/>
      <w:widowControl w:val="false"/>
      <w:shd w:val="clear" w:fill="auto"/>
      <w:spacing w:lineRule="auto" w:line="240" w:before="480" w:after="120"/>
      <w:ind w:left="0" w:right="0" w:hanging="0"/>
      <w:jc w:val="left"/>
    </w:pPr>
    <w:rPr>
      <w:rFonts w:ascii="Arial" w:hAnsi="Arial" w:eastAsia="Arial" w:cs="Arial"/>
      <w:b/>
      <w:i w:val="false"/>
      <w:caps w:val="false"/>
      <w:smallCaps w:val="false"/>
      <w:strike w:val="false"/>
      <w:dstrike w:val="false"/>
      <w:color w:val="00000A"/>
      <w:kern w:val="0"/>
      <w:position w:val="0"/>
      <w:sz w:val="48"/>
      <w:sz w:val="48"/>
      <w:szCs w:val="48"/>
      <w:u w:val="none"/>
      <w:shd w:fill="auto" w:val="clear"/>
      <w:vertAlign w:val="baseline"/>
      <w:lang w:val="en-US" w:eastAsia="zh-CN" w:bidi="hi-IN"/>
    </w:rPr>
  </w:style>
  <w:style w:type="paragraph" w:styleId="Heading2">
    <w:name w:val="Heading 2"/>
    <w:next w:val="LOnormal"/>
    <w:qFormat/>
    <w:pPr>
      <w:keepNext w:val="true"/>
      <w:keepLines/>
      <w:widowControl w:val="false"/>
      <w:shd w:val="clear" w:fill="auto"/>
      <w:spacing w:lineRule="auto" w:line="240" w:before="360" w:after="80"/>
      <w:ind w:left="0" w:right="0" w:hanging="0"/>
      <w:jc w:val="left"/>
    </w:pPr>
    <w:rPr>
      <w:rFonts w:ascii="Arial" w:hAnsi="Arial" w:eastAsia="Arial" w:cs="Arial"/>
      <w:b/>
      <w:i w:val="false"/>
      <w:caps w:val="false"/>
      <w:smallCaps w:val="false"/>
      <w:strike w:val="false"/>
      <w:dstrike w:val="false"/>
      <w:color w:val="00000A"/>
      <w:kern w:val="0"/>
      <w:position w:val="0"/>
      <w:sz w:val="36"/>
      <w:sz w:val="36"/>
      <w:szCs w:val="36"/>
      <w:u w:val="none"/>
      <w:shd w:fill="auto" w:val="clear"/>
      <w:vertAlign w:val="baseline"/>
      <w:lang w:val="en-US" w:eastAsia="zh-CN" w:bidi="hi-IN"/>
    </w:rPr>
  </w:style>
  <w:style w:type="paragraph" w:styleId="Heading3">
    <w:name w:val="Heading 3"/>
    <w:next w:val="LOnormal"/>
    <w:qFormat/>
    <w:pPr>
      <w:keepNext w:val="true"/>
      <w:keepLines/>
      <w:widowControl w:val="false"/>
      <w:shd w:val="clear" w:fill="auto"/>
      <w:spacing w:lineRule="auto" w:line="240" w:before="280" w:after="80"/>
      <w:ind w:left="0" w:right="0" w:hanging="0"/>
      <w:jc w:val="left"/>
    </w:pPr>
    <w:rPr>
      <w:rFonts w:ascii="Arial" w:hAnsi="Arial" w:eastAsia="Arial" w:cs="Arial"/>
      <w:b/>
      <w:i w:val="false"/>
      <w:caps w:val="false"/>
      <w:smallCaps w:val="false"/>
      <w:strike w:val="false"/>
      <w:dstrike w:val="false"/>
      <w:color w:val="00000A"/>
      <w:kern w:val="0"/>
      <w:position w:val="0"/>
      <w:sz w:val="28"/>
      <w:sz w:val="28"/>
      <w:szCs w:val="28"/>
      <w:u w:val="none"/>
      <w:shd w:fill="auto" w:val="clear"/>
      <w:vertAlign w:val="baseline"/>
      <w:lang w:val="en-US" w:eastAsia="zh-CN" w:bidi="hi-IN"/>
    </w:rPr>
  </w:style>
  <w:style w:type="paragraph" w:styleId="Heading4">
    <w:name w:val="Heading 4"/>
    <w:next w:val="LOnormal"/>
    <w:qFormat/>
    <w:pPr>
      <w:keepNext w:val="true"/>
      <w:keepLines/>
      <w:widowControl w:val="false"/>
      <w:shd w:val="clear" w:fill="auto"/>
      <w:spacing w:lineRule="auto" w:line="240" w:before="240" w:after="40"/>
      <w:ind w:left="0" w:right="0" w:hanging="0"/>
      <w:jc w:val="left"/>
    </w:pPr>
    <w:rPr>
      <w:rFonts w:ascii="Arial" w:hAnsi="Arial" w:eastAsia="Arial" w:cs="Arial"/>
      <w:b/>
      <w:i w:val="false"/>
      <w:caps w:val="false"/>
      <w:smallCaps w:val="false"/>
      <w:strike w:val="false"/>
      <w:dstrike w:val="false"/>
      <w:color w:val="00000A"/>
      <w:kern w:val="0"/>
      <w:position w:val="0"/>
      <w:sz w:val="24"/>
      <w:sz w:val="24"/>
      <w:szCs w:val="24"/>
      <w:u w:val="none"/>
      <w:shd w:fill="auto" w:val="clear"/>
      <w:vertAlign w:val="baseline"/>
      <w:lang w:val="en-US" w:eastAsia="zh-CN" w:bidi="hi-IN"/>
    </w:rPr>
  </w:style>
  <w:style w:type="paragraph" w:styleId="Heading5">
    <w:name w:val="Heading 5"/>
    <w:next w:val="LOnormal"/>
    <w:qFormat/>
    <w:pPr>
      <w:keepNext w:val="true"/>
      <w:keepLines/>
      <w:widowControl w:val="false"/>
      <w:shd w:val="clear" w:fill="auto"/>
      <w:spacing w:lineRule="auto" w:line="240" w:before="220" w:after="40"/>
      <w:ind w:left="0" w:right="0" w:hanging="0"/>
      <w:jc w:val="left"/>
    </w:pPr>
    <w:rPr>
      <w:rFonts w:ascii="Arial" w:hAnsi="Arial" w:eastAsia="Arial" w:cs="Arial"/>
      <w:b/>
      <w:i w:val="false"/>
      <w:caps w:val="false"/>
      <w:smallCaps w:val="false"/>
      <w:strike w:val="false"/>
      <w:dstrike w:val="false"/>
      <w:color w:val="00000A"/>
      <w:kern w:val="0"/>
      <w:position w:val="0"/>
      <w:sz w:val="22"/>
      <w:sz w:val="22"/>
      <w:szCs w:val="22"/>
      <w:u w:val="none"/>
      <w:shd w:fill="auto" w:val="clear"/>
      <w:vertAlign w:val="baseline"/>
      <w:lang w:val="en-US" w:eastAsia="zh-CN" w:bidi="hi-IN"/>
    </w:rPr>
  </w:style>
  <w:style w:type="paragraph" w:styleId="Heading6">
    <w:name w:val="Heading 6"/>
    <w:next w:val="LOnormal"/>
    <w:qFormat/>
    <w:pPr>
      <w:keepNext w:val="true"/>
      <w:keepLines/>
      <w:widowControl w:val="false"/>
      <w:shd w:val="clear" w:fill="auto"/>
      <w:spacing w:lineRule="auto" w:line="240" w:before="200" w:after="40"/>
      <w:ind w:left="0" w:right="0" w:hanging="0"/>
      <w:jc w:val="left"/>
    </w:pPr>
    <w:rPr>
      <w:rFonts w:ascii="Arial" w:hAnsi="Arial" w:eastAsia="Arial" w:cs="Arial"/>
      <w:b/>
      <w:i w:val="false"/>
      <w:caps w:val="false"/>
      <w:smallCaps w:val="false"/>
      <w:strike w:val="false"/>
      <w:dstrike w:val="false"/>
      <w:color w:val="00000A"/>
      <w:kern w:val="0"/>
      <w:position w:val="0"/>
      <w:sz w:val="20"/>
      <w:sz w:val="20"/>
      <w:szCs w:val="20"/>
      <w:u w:val="none"/>
      <w:shd w:fill="auto" w:val="clear"/>
      <w:vertAlign w:val="baseline"/>
      <w:lang w:val="en-US" w:eastAsia="zh-CN" w:bidi="hi-IN"/>
    </w:rPr>
  </w:style>
  <w:style w:type="character" w:styleId="ListLabel1">
    <w:name w:val="ListLabel 1"/>
    <w:qFormat/>
    <w:rPr>
      <w:rFonts w:ascii="Times New Roman" w:hAnsi="Times New Roman"/>
      <w:b w:val="false"/>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val="false"/>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ListLabel20">
    <w:name w:val="ListLabel 20"/>
    <w:qFormat/>
    <w:rPr>
      <w:rFonts w:ascii="Times New Roman" w:hAnsi="Times New Roman" w:eastAsia="Times New Roman" w:cs="Times New Roman"/>
      <w:b w:val="false"/>
      <w:i w:val="false"/>
      <w:caps w:val="false"/>
      <w:smallCaps w:val="false"/>
      <w:strike w:val="false"/>
      <w:dstrike w:val="false"/>
      <w:color w:val="000080"/>
      <w:position w:val="0"/>
      <w:sz w:val="22"/>
      <w:sz w:val="22"/>
      <w:szCs w:val="22"/>
      <w:u w:val="single"/>
      <w:vertAlign w:val="baseline"/>
    </w:rPr>
  </w:style>
  <w:style w:type="character" w:styleId="ListLabel21">
    <w:name w:val="ListLabel 21"/>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single"/>
      <w:vertAlign w:val="baseline"/>
    </w:rPr>
  </w:style>
  <w:style w:type="character" w:styleId="ListLabel22">
    <w:name w:val="ListLabel 22"/>
    <w:qFormat/>
    <w:rPr>
      <w:rFonts w:cs="OpenSymbol"/>
      <w:b w:val="false"/>
      <w:sz w:val="22"/>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ascii="Times New Roman" w:hAnsi="Times New Roman" w:cs="OpenSymbol"/>
      <w:b w:val="false"/>
      <w:sz w:val="22"/>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41">
    <w:name w:val="ListLabel 41"/>
    <w:qFormat/>
    <w:rPr>
      <w:rFonts w:ascii="Times New Roman" w:hAnsi="Times New Roman" w:eastAsia="Times New Roman" w:cs="Times New Roman"/>
      <w:b w:val="false"/>
      <w:i w:val="false"/>
      <w:caps w:val="false"/>
      <w:smallCaps w:val="false"/>
      <w:strike w:val="false"/>
      <w:dstrike w:val="false"/>
      <w:color w:val="000080"/>
      <w:position w:val="0"/>
      <w:sz w:val="22"/>
      <w:sz w:val="22"/>
      <w:szCs w:val="22"/>
      <w:u w:val="single"/>
      <w:vertAlign w:val="baseline"/>
    </w:rPr>
  </w:style>
  <w:style w:type="character" w:styleId="ListLabel42">
    <w:name w:val="ListLabel 42"/>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singl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next w:val="LOnormal"/>
    <w:qFormat/>
    <w:pPr>
      <w:keepNext w:val="true"/>
      <w:keepLines/>
      <w:widowControl/>
      <w:shd w:val="clear" w:fill="auto"/>
      <w:spacing w:lineRule="auto" w:line="240" w:before="480" w:after="120"/>
      <w:ind w:left="0" w:right="0" w:hanging="0"/>
      <w:jc w:val="left"/>
    </w:pPr>
    <w:rPr>
      <w:rFonts w:ascii="Arial" w:hAnsi="Arial" w:eastAsia="Arial" w:cs="Arial"/>
      <w:b/>
      <w:i w:val="false"/>
      <w:caps w:val="false"/>
      <w:smallCaps w:val="false"/>
      <w:strike w:val="false"/>
      <w:dstrike w:val="false"/>
      <w:color w:val="00000A"/>
      <w:position w:val="0"/>
      <w:sz w:val="72"/>
      <w:sz w:val="72"/>
      <w:szCs w:val="72"/>
      <w:u w:val="none"/>
      <w:shd w:fill="auto" w:val="clear"/>
      <w:vertAlign w:val="baseline"/>
    </w:rPr>
  </w:style>
  <w:style w:type="paragraph" w:styleId="Subtitle">
    <w:name w:val="Subtitle"/>
    <w:basedOn w:val="LOnormal"/>
    <w:next w:val="LOnormal"/>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github.com/alicebalard/Article_IntensityEimeriaHMHZ/tree/master/cod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cell.com/trends/ecology-evolution/fulltext/S0169-5347(19)30026-6"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LibreOffice/6.1.5.2$Linux_X86_64 LibreOffice_project/10$Build-2</Application>
  <Pages>31</Pages>
  <Words>12205</Words>
  <Characters>64032</Characters>
  <CharactersWithSpaces>76160</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2019-10-07T19:50:29Z</dcterms:modified>
  <cp:revision>10</cp:revision>
  <dc:subject/>
  <dc:title/>
</cp:coreProperties>
</file>