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b w:val="false"/>
          <w:i w:val="false"/>
          <w:caps w:val="false"/>
          <w:smallCaps w:val="false"/>
          <w:color w:val="auto"/>
          <w:spacing w:val="0"/>
          <w:sz w:val="24"/>
          <w:highlight w:val="yellow"/>
        </w:rPr>
        <w:t>Genetic diversity of animal immune systems is usually beneficial. In hybrid recombinants, this is less clear, as the immune system could also be impacted by genetic conflicts.</w:t>
      </w:r>
      <w:r>
        <w:rPr>
          <w:rFonts w:eastAsia="Liberation Sans" w:ascii="Times New Roman" w:hAnsi="Times New Roman"/>
        </w:rPr>
        <w:t xml:space="preserve"> In the </w:t>
      </w:r>
      <w:r>
        <w:rPr>
          <w:rFonts w:eastAsia="Liberation Sans" w:cs="Liberation Sans" w:ascii="Times New Roman" w:hAnsi="Times New Roman"/>
          <w:color w:val="000000"/>
        </w:rPr>
        <w:t xml:space="preserve">European house mouse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color w:val="000000"/>
        </w:rPr>
        <w:t>Eimeria spp.</w:t>
      </w:r>
      <w:r>
        <w:rPr>
          <w:rFonts w:eastAsia="Liberation Sans" w:cs="Liberation Sans" w:ascii="Times New Roman" w:hAnsi="Times New Roman"/>
          <w:color w:val="000000"/>
        </w:rPr>
        <w:t xml:space="preserve">, and infections by extracellular macroparasites, pinworms. 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humans are also a product of hybridization has raised interest further (Green et al., 2010). In a conservation context hybridization with introduced species can threaten autochthonous endangered animals (Simberloff, 1996). Parasites are omnipresent in natural systems and impact human and animal health (Schurer, Mosites, Li, Meschke, &amp; Rabinowitz, 2016). It is therefore important for biologists to comprehend the interplay between parasites and hosts under hybridization.</w:t>
      </w:r>
    </w:p>
    <w:p>
      <w:pPr>
        <w:pStyle w:val="Normal"/>
        <w:rPr/>
      </w:pPr>
      <w:r>
        <w:rPr>
          <w:rFonts w:ascii="Times New Roman" w:hAnsi="Times New Roman"/>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Style w:val="ListLabel19"/>
          <w:rFonts w:eastAsia="Times New Roman" w:cs="Times New Roman" w:ascii="Times new roman" w:hAnsi="Times new roman"/>
          <w:b w:val="false"/>
          <w:i w:val="false"/>
          <w:iCs w:val="false"/>
          <w:caps w:val="false"/>
          <w:smallCaps w:val="false"/>
          <w:strike w:val="false"/>
          <w:dstrike w:val="false"/>
          <w:color w:val="auto"/>
          <w:spacing w:val="0"/>
          <w:position w:val="0"/>
          <w:sz w:val="22"/>
          <w:sz w:val="24"/>
          <w:szCs w:val="24"/>
          <w:highlight w:val="yellow"/>
          <w:u w:val="none"/>
          <w:vertAlign w:val="baseline"/>
        </w:rPr>
        <w:t xml:space="preserve">Hybrids in genetic tensions zones present an overall reduced fitness compared to pure individuals with parental genotypes </w:t>
      </w:r>
      <w:r>
        <w:rPr>
          <w:rStyle w:val="ListLabel19"/>
          <w:rFonts w:eastAsia="Times New Roman" w:cs="Times New Roman" w:ascii="Times New Roman" w:hAnsi="Times New Roman"/>
          <w:b w:val="false"/>
          <w:i w:val="false"/>
          <w:iCs w:val="false"/>
          <w:caps w:val="false"/>
          <w:smallCaps w:val="false"/>
          <w:strike w:val="false"/>
          <w:dstrike w:val="false"/>
          <w:color w:val="auto"/>
          <w:spacing w:val="0"/>
          <w:position w:val="0"/>
          <w:sz w:val="22"/>
          <w:sz w:val="24"/>
          <w:szCs w:val="24"/>
          <w:highlight w:val="yellow"/>
          <w:u w:val="none"/>
          <w:vertAlign w:val="baseline"/>
        </w:rPr>
        <w:t>(Barton &amp; Hewitt, 1985)</w:t>
      </w:r>
      <w:r>
        <w:rPr>
          <w:rStyle w:val="ListLabel19"/>
          <w:rFonts w:eastAsia="Times New Roman" w:cs="Times New Roman" w:ascii="Times new roman" w:hAnsi="Times new roman"/>
          <w:b w:val="false"/>
          <w:i w:val="false"/>
          <w:iCs w:val="false"/>
          <w:caps w:val="false"/>
          <w:smallCaps w:val="false"/>
          <w:strike w:val="false"/>
          <w:dstrike w:val="false"/>
          <w:color w:val="auto"/>
          <w:spacing w:val="0"/>
          <w:position w:val="0"/>
          <w:sz w:val="22"/>
          <w:sz w:val="24"/>
          <w:szCs w:val="24"/>
          <w:highlight w:val="yellow"/>
          <w:u w:val="none"/>
          <w:vertAlign w:val="baseline"/>
        </w:rPr>
        <w:t xml:space="preserve">. As different components of fitness can vary independently, the immune system might either benefit from </w:t>
      </w:r>
      <w:r>
        <w:rPr>
          <w:rStyle w:val="ListLabel19"/>
          <w:rFonts w:eastAsia="Times New Roman" w:cs="Times New Roman" w:ascii="Times new roman" w:hAnsi="Times new roman"/>
          <w:b w:val="false"/>
          <w:bCs w:val="false"/>
          <w:i w:val="false"/>
          <w:iCs w:val="false"/>
          <w:caps w:val="false"/>
          <w:smallCaps w:val="false"/>
          <w:strike w:val="false"/>
          <w:dstrike w:val="false"/>
          <w:color w:val="auto"/>
          <w:spacing w:val="0"/>
          <w:position w:val="0"/>
          <w:sz w:val="22"/>
          <w:sz w:val="24"/>
          <w:szCs w:val="24"/>
          <w:highlight w:val="yellow"/>
          <w:u w:val="none"/>
          <w:vertAlign w:val="baseline"/>
        </w:rPr>
        <w:t>recombinant genetic heterogeneity or – similar to the rest of the genome – suffer from breakdown of immune co-adaptations encoded by different loci. In case of benefits of genetic heterogeneity we predict decreased p</w:t>
      </w:r>
      <w:r>
        <w:rPr>
          <w:rStyle w:val="ListLabel19"/>
          <w:rFonts w:eastAsia="Times New Roman" w:cs="Times New Roman" w:ascii="Times new roman" w:hAnsi="Times new roman"/>
          <w:b w:val="false"/>
          <w:i w:val="false"/>
          <w:iCs w:val="false"/>
          <w:caps w:val="false"/>
          <w:smallCaps w:val="false"/>
          <w:strike w:val="false"/>
          <w:dstrike w:val="false"/>
          <w:color w:val="auto"/>
          <w:spacing w:val="0"/>
          <w:position w:val="0"/>
          <w:sz w:val="22"/>
          <w:sz w:val="24"/>
          <w:szCs w:val="24"/>
          <w:highlight w:val="yellow"/>
          <w:u w:val="none"/>
          <w:vertAlign w:val="baseline"/>
        </w:rPr>
        <w:t>arasite load in hybrid individuals, in case of breakdown of co-adaptations we predict increased load in hybrid individuals compared to parental hosts</w:t>
      </w:r>
      <w:r>
        <w:rPr>
          <w:rStyle w:val="ListLabel19"/>
          <w:rFonts w:eastAsia="Times New Roman" w:cs="Times New Roman" w:ascii="Times new roman" w:hAnsi="Times new roman"/>
          <w:b w:val="false"/>
          <w:bCs w:val="false"/>
          <w:i w:val="false"/>
          <w:iCs w:val="false"/>
          <w:caps w:val="false"/>
          <w:smallCaps w:val="false"/>
          <w:strike w:val="false"/>
          <w:dstrike w:val="false"/>
          <w:color w:val="auto"/>
          <w:spacing w:val="0"/>
          <w:position w:val="0"/>
          <w:sz w:val="22"/>
          <w:sz w:val="24"/>
          <w:szCs w:val="24"/>
          <w:highlight w:val="yellow"/>
          <w:u w:val="none"/>
          <w:vertAlign w:val="baseline"/>
        </w:rPr>
        <w:t xml:space="preserve">. </w:t>
      </w:r>
      <w:r>
        <w:rPr>
          <w:rFonts w:ascii="Times new roman" w:hAnsi="Times new roman"/>
          <w:b w:val="false"/>
          <w:i w:val="false"/>
          <w:caps w:val="false"/>
          <w:smallCaps w:val="false"/>
          <w:color w:val="auto"/>
          <w:spacing w:val="0"/>
          <w:sz w:val="24"/>
          <w:szCs w:val="24"/>
        </w:rPr>
        <w:t xml:space="preserve">Parasites are traditionally seen as decreasing their hosts’ fitness,  and differences in resistance to parasites between hybrid and pure hosts were suggested to affect the dynamics of hybrid zones (Fritz, Moulia, &amp; Newcombe, 1999). </w:t>
      </w:r>
      <w:r>
        <w:rPr>
          <w:rStyle w:val="ListLabel19"/>
          <w:rFonts w:eastAsia="Times New Roman" w:cs="Times New Roman" w:ascii="Times new roman" w:hAnsi="Times new roman"/>
          <w:b w:val="false"/>
          <w:i w:val="false"/>
          <w:iCs w:val="false"/>
          <w:caps w:val="false"/>
          <w:smallCaps w:val="false"/>
          <w:strike w:val="false"/>
          <w:dstrike w:val="false"/>
          <w:color w:val="auto"/>
          <w:spacing w:val="0"/>
          <w:position w:val="0"/>
          <w:sz w:val="22"/>
          <w:sz w:val="24"/>
          <w:szCs w:val="24"/>
          <w:highlight w:val="yellow"/>
          <w:u w:val="none"/>
          <w:vertAlign w:val="baseline"/>
        </w:rPr>
        <w:t>The involvement of parasites in the maintenance or breakdown of species barriers, however, has never been clearly demonstrated (Baird &amp; Goüy de Bellocq, 2019)</w:t>
      </w:r>
      <w:r>
        <w:rPr>
          <w:rStyle w:val="ListLabel19"/>
          <w:rFonts w:eastAsia="Times New Roman" w:cs="Times New Roman" w:ascii="arial" w:hAnsi="arial"/>
          <w:b w:val="false"/>
          <w:bCs w:val="false"/>
          <w:i w:val="false"/>
          <w:iCs w:val="false"/>
          <w:caps w:val="false"/>
          <w:smallCaps w:val="false"/>
          <w:strike w:val="false"/>
          <w:dstrike w:val="false"/>
          <w:color w:val="auto"/>
          <w:spacing w:val="0"/>
          <w:position w:val="0"/>
          <w:sz w:val="22"/>
          <w:sz w:val="24"/>
          <w:szCs w:val="24"/>
          <w:highlight w:val="yellow"/>
          <w:u w:val="none"/>
          <w:vertAlign w:val="baseline"/>
        </w:rPr>
        <w:t xml:space="preserve">. </w:t>
      </w:r>
      <w:r>
        <w:rPr>
          <w:rStyle w:val="ListLabel19"/>
          <w:rFonts w:eastAsia="Times New Roman" w:cs="Times New Roman" w:ascii="Times new roman" w:hAnsi="Times new roman"/>
          <w:b w:val="false"/>
          <w:i w:val="false"/>
          <w:iCs w:val="false"/>
          <w:caps w:val="false"/>
          <w:smallCaps w:val="false"/>
          <w:strike w:val="false"/>
          <w:dstrike w:val="false"/>
          <w:color w:val="00000A"/>
          <w:spacing w:val="0"/>
          <w:position w:val="0"/>
          <w:sz w:val="22"/>
          <w:sz w:val="24"/>
          <w:szCs w:val="24"/>
          <w:highlight w:val="yellow"/>
          <w:u w:val="none"/>
          <w:vertAlign w:val="baseline"/>
        </w:rPr>
        <w:t>In the HMHZ system, there is disagreement on both the direction of effects of hybridization on parasites (see Sage et al. 1986 and Moulia et al. 1991 vs. Baird et al. 2012) and on the interpretation of these findings with regards to host fitness and hybridization (see for example</w:t>
      </w:r>
      <w:r>
        <w:rPr>
          <w:rStyle w:val="ListLabel19"/>
          <w:rFonts w:eastAsia="Times New Roman" w:cs="Times New Roman" w:ascii="Times new roman" w:hAnsi="Times new roman"/>
          <w:b/>
          <w:i w:val="false"/>
          <w:iCs w:val="false"/>
          <w:caps w:val="false"/>
          <w:smallCaps w:val="false"/>
          <w:strike w:val="false"/>
          <w:dstrike w:val="false"/>
          <w:color w:val="00000A"/>
          <w:spacing w:val="0"/>
          <w:position w:val="0"/>
          <w:sz w:val="22"/>
          <w:sz w:val="24"/>
          <w:szCs w:val="24"/>
          <w:highlight w:val="yellow"/>
          <w:u w:val="none"/>
          <w:vertAlign w:val="baseline"/>
        </w:rPr>
        <w:t xml:space="preserve"> </w:t>
      </w:r>
      <w:r>
        <w:rPr>
          <w:rStyle w:val="ListLabel19"/>
          <w:rFonts w:eastAsia="Times New Roman" w:cs="Times New Roman" w:ascii="Times new roman" w:hAnsi="Times new roman"/>
          <w:b w:val="false"/>
          <w:i w:val="false"/>
          <w:iCs w:val="false"/>
          <w:caps w:val="false"/>
          <w:smallCaps w:val="false"/>
          <w:strike w:val="false"/>
          <w:dstrike w:val="false"/>
          <w:color w:val="00000A"/>
          <w:spacing w:val="0"/>
          <w:position w:val="0"/>
          <w:sz w:val="22"/>
          <w:sz w:val="24"/>
          <w:szCs w:val="24"/>
          <w:highlight w:val="yellow"/>
          <w:u w:val="none"/>
          <w:vertAlign w:val="baseline"/>
        </w:rPr>
        <w:t>Theodosopoulos, Hund &amp; Taylor, 2018; Baird &amp; Goüy de Bellocq, 2019).</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1" w:name="docs-internal-guid-1dcbdaca-7fff-fb01-2d"/>
      <w:bookmarkEnd w:id="1"/>
      <w:r>
        <w:rPr>
          <w:rFonts w:ascii="Times New Roman" w:hAnsi="Times New Roman"/>
          <w:color w:val="000000"/>
        </w:rPr>
        <w:t>effect in inter-subspecies F1s</w:t>
      </w:r>
      <w:r>
        <w:rPr>
          <w:rFonts w:ascii="Times New Roman" w:hAnsi="Times New Roman"/>
        </w:rPr>
        <w:t xml:space="preserve"> on helminth load or even reduced load in </w:t>
      </w:r>
      <w:r>
        <w:rPr>
          <w:rFonts w:ascii="Times New Roman" w:hAnsi="Times New Roman"/>
          <w:color w:val="000000"/>
        </w:rPr>
        <w:t>inter-subspecies F1s</w:t>
      </w:r>
      <w:r>
        <w:rPr>
          <w:rFonts w:ascii="Times New Roman" w:hAnsi="Times New Roman"/>
        </w:rPr>
        <w:t xml:space="preserve"> compared to pure mouse strains (Derothe, Porcherie, Perriat-Sanguinet, Loubès, &amp; Moulia, 2004; Moulia, Le Brun, Loubes, Marin, &amp; Renaud, 1995). </w:t>
      </w:r>
      <w:r>
        <w:rPr>
          <w:rFonts w:ascii="Times new roman" w:hAnsi="Times new roman"/>
          <w:b w:val="false"/>
          <w:i w:val="false"/>
          <w:caps w:val="false"/>
          <w:smallCaps w:val="false"/>
          <w:color w:val="auto"/>
          <w:spacing w:val="0"/>
          <w:sz w:val="24"/>
          <w:highlight w:val="yellow"/>
        </w:rPr>
        <w:t xml:space="preserve">In 2012, more than two decades after the original field studies (Moulia et al., 1991; Sage et al., 1986), Baird et al. found, using a high statistical power (more mice sampled and more suitable statistical approach) and improved sampling design, reduced helminth loads (especially the pinworms </w:t>
      </w:r>
      <w:r>
        <w:rPr>
          <w:rFonts w:ascii="Times new roman" w:hAnsi="Times new roman"/>
          <w:b w:val="false"/>
          <w:i/>
          <w:caps w:val="false"/>
          <w:smallCaps w:val="false"/>
          <w:color w:val="auto"/>
          <w:spacing w:val="0"/>
          <w:sz w:val="24"/>
          <w:highlight w:val="yellow"/>
        </w:rPr>
        <w:t>Aspiculuris tetraptera</w:t>
      </w:r>
      <w:r>
        <w:rPr>
          <w:rFonts w:ascii="Times new roman" w:hAnsi="Times new roman"/>
          <w:b w:val="false"/>
          <w:i w:val="false"/>
          <w:caps w:val="false"/>
          <w:smallCaps w:val="false"/>
          <w:color w:val="auto"/>
          <w:spacing w:val="0"/>
          <w:sz w:val="24"/>
          <w:highlight w:val="yellow"/>
        </w:rPr>
        <w:t xml:space="preserve"> and </w:t>
      </w:r>
      <w:r>
        <w:rPr>
          <w:rFonts w:ascii="Times new roman" w:hAnsi="Times new roman"/>
          <w:b w:val="false"/>
          <w:i/>
          <w:caps w:val="false"/>
          <w:smallCaps w:val="false"/>
          <w:color w:val="auto"/>
          <w:spacing w:val="0"/>
          <w:sz w:val="24"/>
          <w:highlight w:val="yellow"/>
        </w:rPr>
        <w:t>Syphacia obvelata</w:t>
      </w:r>
      <w:r>
        <w:rPr>
          <w:rFonts w:ascii="Times new roman" w:hAnsi="Times new roman"/>
          <w:b w:val="false"/>
          <w:i w:val="false"/>
          <w:caps w:val="false"/>
          <w:smallCaps w:val="false"/>
          <w:color w:val="auto"/>
          <w:spacing w:val="0"/>
          <w:sz w:val="24"/>
          <w:highlight w:val="yellow"/>
        </w:rPr>
        <w:t xml:space="preserve"> and the whipworm </w:t>
      </w:r>
      <w:r>
        <w:rPr>
          <w:rFonts w:ascii="Times new roman" w:hAnsi="Times new roman"/>
          <w:b w:val="false"/>
          <w:i/>
          <w:caps w:val="false"/>
          <w:smallCaps w:val="false"/>
          <w:color w:val="auto"/>
          <w:spacing w:val="0"/>
          <w:sz w:val="24"/>
          <w:highlight w:val="yellow"/>
        </w:rPr>
        <w:t>Trichuris muris</w:t>
      </w:r>
      <w:r>
        <w:rPr>
          <w:rFonts w:ascii="Times new roman" w:hAnsi="Times new roman"/>
          <w:b w:val="false"/>
          <w:i w:val="false"/>
          <w:caps w:val="false"/>
          <w:smallCaps w:val="false"/>
          <w:color w:val="auto"/>
          <w:spacing w:val="0"/>
          <w:sz w:val="24"/>
          <w:highlight w:val="yellow"/>
        </w:rPr>
        <w:t>) in hybrid mice (Baird et al., 2012).</w:t>
      </w:r>
      <w:r>
        <w:rPr>
          <w:rFonts w:ascii="Times New Roman" w:hAnsi="Times New Roman"/>
        </w:rPr>
        <w:t xml:space="preserve">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We now see that, despite working within the framework of the same hybrid zone, two different interpretations of parasite loads in hybrid mice have arisen. It should be noted that all the previous studies chose to focus on either helminth or protozoan parasite models. I</w:t>
      </w:r>
      <w:r>
        <w:rPr>
          <w:rFonts w:ascii="Times New Roman" w:hAnsi="Times New Roman"/>
          <w:color w:val="000000"/>
        </w:rPr>
        <w:t>n vertebrates,</w:t>
      </w:r>
      <w:r>
        <w:rPr>
          <w:rFonts w:ascii="Times New Roman" w:hAnsi="Times New Roman"/>
        </w:rPr>
        <w:t xml:space="preserve"> t</w:t>
      </w:r>
      <w:r>
        <w:rPr>
          <w:rFonts w:ascii="Times New Roman" w:hAnsi="Times New Roman"/>
          <w:color w:val="000000"/>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rPr>
        <w:t xml:space="preserve"> </w:t>
      </w:r>
      <w:r>
        <w:rPr>
          <w:rFonts w:ascii="Times New Roman" w:hAnsi="Times New Roman"/>
          <w:color w:val="000000"/>
        </w:rPr>
        <w:t xml:space="preserve">(Sher &amp; Coffman, 1992). </w:t>
      </w:r>
      <w:r>
        <w:rPr>
          <w:rFonts w:ascii="Times New Roman" w:hAnsi="Times New Roman"/>
        </w:rPr>
        <w:t>One way forward in such circumstances is to test hypotheses over replicates and “along different axes” of parasitism, and to consider simultaneously helminths and protozoans to address the generality of hybrid response. To distinguish between interpretations of parasite load we here asked if (1) parasite loads are higher or lower in hybrids compared to parentals, and (2) if these loads are consistent, or differ, between prevalent representative helminths and protozoa. We did so in a geographically new transect replicate of the HMHZ.</w:t>
      </w:r>
    </w:p>
    <w:p>
      <w:pPr>
        <w:pStyle w:val="Normal"/>
        <w:rPr/>
      </w:pPr>
      <w:r>
        <w:rPr>
          <w:rFonts w:ascii="Times New Roman" w:hAnsi="Times New Roman"/>
        </w:rPr>
        <w:t>Pinworms (oxyurids) have been d</w:t>
      </w:r>
      <w:r>
        <w:rPr>
          <w:rFonts w:ascii="Times New Roman" w:hAnsi="Times New Roman"/>
          <w:color w:val="000000"/>
        </w:rPr>
        <w:t xml:space="preserve">etected in mice in numerous field studies (see for example </w:t>
      </w:r>
      <w:bookmarkStart w:id="2" w:name="docs-internal-guid-6d4b2a51-7fff-6be5-b4"/>
      <w:bookmarkEnd w:id="2"/>
      <w:r>
        <w:rPr>
          <w:rFonts w:ascii="Times New Roman" w:hAnsi="Times New Roman"/>
          <w:color w:val="000000"/>
        </w:rPr>
        <w:t xml:space="preserve">Behnke, 1975; Behnke, 1976; Kriska, 1993; Ressouche et al., 1998). </w:t>
      </w:r>
      <w:r>
        <w:rPr>
          <w:rFonts w:ascii="Times New Roman" w:hAnsi="Times New Roman"/>
        </w:rPr>
        <w:t xml:space="preserve">They have been shown to be the most prevalent helminths infecting house mice in the HMHZ (Goüy de Bellocq, Ribas, &amp; Baird, 2012). They </w:t>
      </w:r>
      <w:r>
        <w:rPr>
          <w:rFonts w:ascii="Times New Roman" w:hAnsi="Times New Roman"/>
          <w:color w:val="000000"/>
        </w:rPr>
        <w:t>are often considered to provoke mild symptoms on their hosts, even if in rare conditions (e.g. particularly high burden) they have been shown to affect the health of laboratory mice (Taffs, 1976)</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in which the hypothesis of hybrid resistance/susceptibility to parasite had never before been tested. We assessed the impact of host hybridization on intensity of this parasite. By focusing on parasite intensity (extent of parasite infection in only infected animals; Bush et al. 1997), we arguably exclude ecological factors for differences in load. We show that (1) parasite loads are consistently lower in hybrids compared to parental genotypes in the HMHZ and (2) that this pattern is similar for</w:t>
      </w:r>
      <w:r>
        <w:rPr>
          <w:rFonts w:eastAsia="Liberation Sans" w:cs="Liberation Sans" w:ascii="Times New Roman" w:hAnsi="Times New Roman"/>
          <w:color w:val="000000"/>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3" w:name="docs-internal-guid-0be22610-7fff-4b69-62"/>
      <w:bookmarkEnd w:id="3"/>
      <w:r>
        <w:rPr>
          <w:rFonts w:ascii="Times New Roman" w:hAnsi="Times New Roman"/>
          <w:color w:val="000000"/>
        </w:rPr>
        <w:t>The locations for trapping were selected across a geographical range allowing b</w:t>
      </w:r>
      <w:r>
        <w:rPr>
          <w:rFonts w:ascii="Times New Roman" w:hAnsi="Times New Roman"/>
        </w:rPr>
        <w:t xml:space="preserve">oth parental and hybrid/recombinant individuals to be captured. Mice were individually isolated in cages and then euthanized by isoflurane inhalation followed by cervical dislocation within 24 hours after capture (animal experiment permit No. 2347/35/2014). </w:t>
      </w:r>
      <w:r>
        <w:rPr>
          <w:rFonts w:ascii="Times new roman" w:hAnsi="Times new roman"/>
          <w:b w:val="false"/>
          <w:i w:val="false"/>
          <w:caps w:val="false"/>
          <w:smallCaps w:val="false"/>
          <w:color w:val="auto"/>
          <w:spacing w:val="0"/>
          <w:sz w:val="24"/>
          <w:highlight w:val="yellow"/>
        </w:rPr>
        <w:t xml:space="preserve">Individual mice were measured (body length from nose to anus), weighted, and dissected. </w:t>
      </w:r>
      <w:r>
        <w:rPr>
          <w:rFonts w:ascii="Times New Roman" w:hAnsi="Times New Roman"/>
        </w:rPr>
        <w:t xml:space="preserve">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w:t>
      </w:r>
    </w:p>
    <w:p>
      <w:pPr>
        <w:pStyle w:val="Normal"/>
        <w:rPr/>
      </w:pPr>
      <w:r>
        <w:rPr>
          <w:rFonts w:ascii="Times New Roman" w:hAnsi="Times New Roman"/>
          <w:b/>
          <w:bCs/>
        </w:rPr>
        <w:t>Host genotyping</w:t>
      </w:r>
    </w:p>
    <w:p>
      <w:pPr>
        <w:pStyle w:val="Normal"/>
        <w:rPr/>
      </w:pPr>
      <w:r>
        <w:rPr>
          <w:rFonts w:ascii="Times New Roman" w:hAnsi="Times New Roman"/>
        </w:rPr>
        <w:t xml:space="preserve">The admixture of mouse genomes across the HMHZ was estimated for each mouse as a value of the hybrid index (HI) calculated as a proportion of Mmm alleles in a set of </w:t>
      </w:r>
      <w:r>
        <w:rPr>
          <w:rFonts w:ascii="Times New Roman" w:hAnsi="Times New Roman"/>
          <w:highlight w:val="yellow"/>
        </w:rPr>
        <w:t>14</w:t>
      </w:r>
      <w:r>
        <w:rPr>
          <w:rFonts w:ascii="Times New Roman" w:hAnsi="Times New Roman"/>
        </w:rPr>
        <w:t xml:space="preserve"> diagnostic markers.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Macholán et al., 2007). HIs ranged from 0 to 1, HI of 0 indicating a pure Mmd and HI of 1 a pure Mmm (Baird et al., 2012; Macholán et al., 2007). </w:t>
      </w:r>
      <w:r>
        <w:rPr>
          <w:rFonts w:ascii="Times new roman" w:hAnsi="Times new roman"/>
          <w:b w:val="false"/>
          <w:i w:val="false"/>
          <w:caps w:val="false"/>
          <w:smallCaps w:val="false"/>
          <w:color w:val="auto"/>
          <w:spacing w:val="0"/>
          <w:sz w:val="24"/>
          <w:highlight w:val="yellow"/>
        </w:rPr>
        <w:t xml:space="preserve">At least 10 loci provided information for 92% of the mice, and at least 4 loci for the remaining 8% due to technical issues. </w:t>
      </w:r>
      <w:r>
        <w:rPr>
          <w:rFonts w:ascii="Times New Roman" w:hAnsi="Times New Roman"/>
        </w:rPr>
        <w:t>Histograms for the number of genotyped markers, as well as their distribution across the hybrid index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rPr/>
      </w:pPr>
      <w:r>
        <w:rPr>
          <w:rFonts w:ascii="Times New Roman" w:hAnsi="Times New Roman"/>
        </w:rPr>
        <w:t>The expected centre of the HMHZ across the study area was estimated using the program Geneland v4.0.8 (with graphical resolution increased over defaults, the modified c</w:t>
      </w:r>
      <w:r>
        <w:rPr>
          <w:rFonts w:ascii="Times New Roman" w:hAnsi="Times New Roman"/>
          <w:color w:val="000000"/>
        </w:rPr>
        <w:t xml:space="preserve">ode is available at </w:t>
      </w:r>
      <w:hyperlink r:id="rId2">
        <w:r>
          <w:rPr>
            <w:rStyle w:val="InternetLink"/>
            <w:rFonts w:ascii="Times New Roman" w:hAnsi="Times New Roman"/>
            <w:color w:val="00000A"/>
          </w:rPr>
          <w:t>https://github.com/alicebalard/Geneland</w:t>
        </w:r>
      </w:hyperlink>
      <w:r>
        <w:rPr>
          <w:rStyle w:val="InternetLink"/>
          <w:rFonts w:ascii="Times New Roman" w:hAnsi="Times New Roman"/>
          <w:color w:val="00000A"/>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4" w:name="parasite-load-estimation"/>
      <w:bookmarkEnd w:id="4"/>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As in this study we required high statistical power to test our hypotheses, we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Histograms presenting the distribution of  counts for other helminths can be found in </w:t>
      </w:r>
      <w:r>
        <w:rPr>
          <w:rFonts w:ascii="Times New Roman" w:hAnsi="Times New Roman"/>
          <w:b/>
          <w:bCs/>
        </w:rPr>
        <w:t>Supplementary Figure S2</w:t>
      </w:r>
      <w:r>
        <w:rPr>
          <w:rFonts w:ascii="Times New Roman" w:hAnsi="Times New Roman"/>
        </w:rPr>
        <w:t xml:space="preserve"> and data is available in </w:t>
      </w:r>
      <w:r>
        <w:rPr>
          <w:rFonts w:ascii="Times New Roman" w:hAnsi="Times New Roman"/>
          <w:b/>
          <w:bCs/>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Al-khlifeh et al., 2019;</w:t>
      </w:r>
      <w:r>
        <w:rPr>
          <w:rFonts w:eastAsia="Cambria" w:ascii="Times New Roman" w:hAnsi="Times New Roman"/>
        </w:rPr>
        <w:t xml:space="preserve"> Jarquín-Díaz et al., 2019). These qPCRs have been independently confirmed with respect to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w:t>
      </w:r>
      <w:r>
        <w:rPr>
          <w:rFonts w:ascii="Times New Roman" w:hAnsi="Times New Roman"/>
          <w:color w:val="00000A"/>
          <w:sz w:val="24"/>
        </w:rPr>
        <w:t>SYBR</w:t>
      </w:r>
      <w:bookmarkStart w:id="5" w:name="__DdeLink__4524_965802527"/>
      <w:r>
        <w:rPr>
          <w:rFonts w:ascii="Times New Roman" w:hAnsi="Times New Roman"/>
          <w:color w:val="00000A"/>
          <w:sz w:val="24"/>
        </w:rPr>
        <w:t>®</w:t>
      </w:r>
      <w:bookmarkEnd w:id="5"/>
      <w:r>
        <w:rPr>
          <w:rFonts w:ascii="Times New Roman" w:hAnsi="Times New Roman"/>
        </w:rPr>
        <w:t xml:space="preserve"> Green Supermix (Bio-Rad Laboratories GmbH, München, Germany), 400 nM of each primer and 50 ng of DNA template in 20 µL final volume. Cycling amplification was carried out in a Mastercycler</w:t>
      </w:r>
      <w:r>
        <w:rPr>
          <w:rFonts w:ascii="Times New Roman" w:hAnsi="Times New Roman"/>
          <w:color w:val="00000A"/>
          <w:sz w:val="24"/>
        </w:rPr>
        <w:t>®</w:t>
      </w:r>
      <w:r>
        <w:rPr>
          <w:rFonts w:ascii="Times New Roman" w:hAnsi="Times New Roman"/>
        </w:rPr>
        <w:t xml:space="preserve">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ascii="Times New Roman" w:hAnsi="Times New Roman"/>
          <w:color w:val="000000"/>
        </w:rPr>
        <w:t>NA)</w:t>
      </w:r>
      <w:bookmarkStart w:id="6" w:name="docs-internal-guid-e3eafc64-7fff-75db-f1"/>
      <w:bookmarkEnd w:id="6"/>
      <w:r>
        <w:rPr>
          <w:rFonts w:eastAsia="Cambria" w:ascii="Times New Roman" w:hAnsi="Times New Roman"/>
          <w:color w:val="000000"/>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rPr>
        <w:t>Eimeria</w:t>
      </w:r>
      <w:r>
        <w:rPr>
          <w:rFonts w:ascii="Times New Roman" w:hAnsi="Times New Roman"/>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rPr>
        <w:t>Supplementary Table S3</w:t>
      </w:r>
      <w:r>
        <w:rPr>
          <w:rFonts w:ascii="Times New Roman" w:hAnsi="Times New Roman"/>
        </w:rPr>
        <w:t>).</w:t>
      </w:r>
    </w:p>
    <w:p>
      <w:pPr>
        <w:pStyle w:val="Normal"/>
        <w:rPr/>
      </w:pPr>
      <w:bookmarkStart w:id="7" w:name="general-parasite-assessment"/>
      <w:bookmarkEnd w:id="7"/>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report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rPr>
        <w:t>Eimeria,</w:t>
      </w:r>
      <w:r>
        <w:rPr>
          <w:rFonts w:ascii="Times New Roman" w:hAnsi="Times New Roman"/>
        </w:rPr>
        <w:t xml:space="preserve"> see Jarquín-Díaz et al., 2019 for details).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rPr>
        <w:t>Statistical design: testing hybrid resistance/susceptibility in a natural system</w:t>
      </w:r>
    </w:p>
    <w:p>
      <w:pPr>
        <w:pStyle w:val="Normal"/>
        <w:rPr/>
      </w:pPr>
      <w:r>
        <w:rPr>
          <w:rFonts w:ascii="Times New Roman" w:hAnsi="Times New Roman"/>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rPr>
        <w:t>Statist</w:t>
      </w:r>
      <w:r>
        <w:rPr>
          <w:rFonts w:ascii="Times New Roman" w:hAnsi="Times New Roman"/>
        </w:rPr>
        <w:t xml:space="preserve">ical test for different mortality of hybrids). </w:t>
      </w:r>
    </w:p>
    <w:p>
      <w:pPr>
        <w:pStyle w:val="Normal"/>
        <w:rPr/>
      </w:pPr>
      <w:r>
        <w:rPr>
          <w:rFonts w:ascii="Times New Roman" w:hAnsi="Times New Roman"/>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rPr>
        <w:t xml:space="preserve">He = 2 · HI · (1 </w:t>
      </w:r>
      <w:r>
        <w:rPr>
          <w:rFonts w:ascii="Times New Roman" w:hAnsi="Times New Roman"/>
        </w:rPr>
        <w:t xml:space="preserve">− </w:t>
      </w:r>
      <w:r>
        <w:rPr>
          <w:rFonts w:ascii="Times New Roman" w:hAnsi="Times New Roman"/>
          <w:i/>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rPr>
        <w:t>Statist</w:t>
      </w:r>
      <w:r>
        <w:rPr>
          <w:rFonts w:ascii="Times New Roman" w:hAnsi="Times New Roman"/>
          <w:b/>
          <w:bCs/>
        </w:rPr>
        <w:t>ical test for different mortality of hybrids</w:t>
      </w:r>
    </w:p>
    <w:p>
      <w:pPr>
        <w:pStyle w:val="TextBody"/>
        <w:rPr/>
      </w:pPr>
      <w:r>
        <w:rPr>
          <w:rFonts w:ascii="Times New Roman" w:hAnsi="Times New Roman"/>
          <w:bCs/>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rPr>
        <w:t>estimation based on weight (as in Behnke, 1976) as a proxy to t</w:t>
      </w:r>
      <w:r>
        <w:rPr>
          <w:rFonts w:ascii="Times New Roman" w:hAnsi="Times New Roman"/>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ExpectedBodyWeight = (BW1 + (BW2 </w:t>
      </w:r>
      <w:r>
        <w:rPr>
          <w:rFonts w:ascii="Times New Roman" w:hAnsi="Times New Roman"/>
        </w:rPr>
        <w:t>−</w:t>
      </w:r>
      <w:r>
        <w:rPr>
          <w:rFonts w:ascii="Times New Roman" w:hAnsi="Times New Roman"/>
          <w:i/>
        </w:rPr>
        <w:t xml:space="preserve"> BW1) · HI) · (1 </w:t>
      </w:r>
      <w:r>
        <w:rPr>
          <w:rFonts w:ascii="Times New Roman" w:hAnsi="Times New Roman"/>
        </w:rPr>
        <w:t>−</w:t>
      </w:r>
      <w:r>
        <w:rPr>
          <w:rFonts w:ascii="Times New Roman" w:hAnsi="Times New Roman"/>
          <w:i/>
        </w:rPr>
        <w:t xml:space="preserve"> alpha · He) ,     (Eq. 2)</w:t>
      </w:r>
    </w:p>
    <w:p>
      <w:pPr>
        <w:pStyle w:val="Normal"/>
        <w:rPr/>
      </w:pPr>
      <w:r>
        <w:rPr>
          <w:rFonts w:ascii="Times New Roman" w:hAnsi="Times New Roman"/>
        </w:rPr>
        <w:t xml:space="preserve">where BW1 is the expected body weight of pure Mmd, BW2 the expected body weight of pure Mmm. Alpha represent the hybridization effect, or deviation from additivity between the two parental genomes. We allowed difference between sex and </w:t>
      </w:r>
      <w:r>
        <w:rPr>
          <w:rFonts w:ascii="Times New Roman" w:hAnsi="Times New Roman"/>
          <w:highlight w:val="yellow"/>
        </w:rPr>
        <w:t>taxa</w:t>
      </w:r>
      <w:r>
        <w:rPr>
          <w:rFonts w:ascii="Times New Roman" w:hAnsi="Times New Roman"/>
        </w:rPr>
        <w:t xml:space="preserve">, </w:t>
      </w:r>
      <w:r>
        <w:rPr>
          <w:rFonts w:ascii="Times New Roman" w:hAnsi="Times New Roman"/>
          <w:bCs/>
          <w:color w:val="000000"/>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rPr>
        <w:t>ExpectedBodyWeight</w:t>
      </w:r>
      <w:r>
        <w:rPr>
          <w:rFonts w:ascii="Times New Roman" w:hAnsi="Times New Roman"/>
          <w:bCs/>
          <w:color w:val="000000"/>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3)</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(see </w:t>
      </w:r>
      <w:r>
        <w:rPr>
          <w:rFonts w:ascii="Times New Roman" w:hAnsi="Times New Roman"/>
          <w:b/>
          <w:bCs/>
        </w:rPr>
        <w:t>Supplementary Figure S4)</w:t>
      </w:r>
      <w:r>
        <w:rPr>
          <w:rFonts w:ascii="Times New Roman" w:hAnsi="Times New Roman"/>
        </w:rPr>
        <w:t>. The negative binomial distribution should perform well for macroparasite counts (Crofton, 1971; Shaw &amp; Dobson, 1995), which was confirmed for helminths in a previous  transect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The Negative Binomial distribution is parameterized by two arguments: its expectation (Expected Load, Eq. 3),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4)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Scale = ExpectedLoad / Ⲅ (1 + 1/ shape) ,           (Eq. 5)</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the Weibull distribution requires positive values as input. Therefore, we estimated an extra “shift parameter” which was optimized by maximum likelihood.</w:t>
      </w:r>
    </w:p>
    <w:p>
      <w:pPr>
        <w:pStyle w:val="Normal"/>
        <w:rPr/>
      </w:pPr>
      <w:bookmarkStart w:id="8" w:name="test-of-body-condition-differences-betwe"/>
      <w:bookmarkEnd w:id="8"/>
      <w:r>
        <w:rPr>
          <w:rFonts w:ascii="Times New Roman" w:hAnsi="Times New Roman"/>
          <w:b/>
          <w:bCs/>
        </w:rPr>
        <w:t>Test of body condition differences between infected and non-infected mice across the hybrid zone</w:t>
      </w:r>
    </w:p>
    <w:p>
      <w:pPr>
        <w:pStyle w:val="Normal"/>
        <w:rPr>
          <w:rFonts w:ascii="Times New Roman" w:hAnsi="Times New Roman"/>
        </w:rPr>
      </w:pPr>
      <w:r>
        <w:rPr>
          <w:rFonts w:ascii="Times New Roman" w:hAnsi="Times New Roman"/>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w:t>
      </w:r>
      <w:r>
        <w:rPr>
          <w:rFonts w:ascii="Times new roman" w:hAnsi="Times new roman"/>
          <w:b w:val="false"/>
          <w:i w:val="false"/>
          <w:caps w:val="false"/>
          <w:smallCaps w:val="false"/>
          <w:color w:val="auto"/>
          <w:spacing w:val="0"/>
          <w:sz w:val="24"/>
          <w:highlight w:val="yellow"/>
        </w:rPr>
        <w:t>Differences between the loads of both pure parental subspecies on each side of the hybrid zone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6)</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 xml:space="preserve">We caught and genotyped a total of 650 mice (359 females, 291 males) over four sampling seasons (2014: </w:t>
      </w:r>
      <w:r>
        <w:rPr>
          <w:rFonts w:ascii="Times New Roman" w:hAnsi="Times New Roman"/>
          <w:i/>
        </w:rPr>
        <w:t>N</w:t>
      </w:r>
      <w:r>
        <w:rPr>
          <w:rFonts w:ascii="Times New Roman" w:hAnsi="Times New Roman"/>
        </w:rPr>
        <w:t xml:space="preserve">=86; 2015: </w:t>
      </w:r>
      <w:r>
        <w:rPr>
          <w:rFonts w:ascii="Times New Roman" w:hAnsi="Times New Roman"/>
          <w:i/>
        </w:rPr>
        <w:t>N</w:t>
      </w:r>
      <w:r>
        <w:rPr>
          <w:rFonts w:ascii="Times New Roman" w:hAnsi="Times New Roman"/>
        </w:rPr>
        <w:t xml:space="preserve">=156; 2016: </w:t>
      </w:r>
      <w:r>
        <w:rPr>
          <w:rFonts w:ascii="Times New Roman" w:hAnsi="Times New Roman"/>
          <w:i/>
        </w:rPr>
        <w:t>N</w:t>
      </w:r>
      <w:r>
        <w:rPr>
          <w:rFonts w:ascii="Times New Roman" w:hAnsi="Times New Roman"/>
        </w:rPr>
        <w:t xml:space="preserve">=167; 2017: </w:t>
      </w:r>
      <w:r>
        <w:rPr>
          <w:rFonts w:ascii="Times New Roman" w:hAnsi="Times New Roman"/>
          <w:i/>
        </w:rPr>
        <w:t>N</w:t>
      </w:r>
      <w:r>
        <w:rPr>
          <w:rFonts w:ascii="Times New Roman" w:hAnsi="Times New Roman"/>
        </w:rPr>
        <w:t xml:space="preserve">=241) at 149 localities. A median of 2 mice per locality were captured. A table of individual mouse data including hybrid indices, georeferences and parasite loads is available in </w:t>
      </w:r>
      <w:r>
        <w:rPr>
          <w:rFonts w:ascii="Times New Roman" w:hAnsi="Times New Roman"/>
          <w:b/>
          <w:bCs/>
        </w:rPr>
        <w:t>Supplementary Table S3</w:t>
      </w:r>
      <w:r>
        <w:rPr>
          <w:rFonts w:ascii="Times New Roman" w:hAnsi="Times New Roman"/>
        </w:rPr>
        <w:t xml:space="preserve">. On the probability map of the hybrid zone centre, shown in </w:t>
      </w:r>
      <w:r>
        <w:rPr>
          <w:rFonts w:ascii="Times New Roman" w:hAnsi="Times New Roman"/>
          <w:b/>
          <w:bCs/>
        </w:rPr>
        <w:t>Figure 1</w:t>
      </w:r>
      <w:r>
        <w:rPr>
          <w:rFonts w:ascii="Times New Roman" w:hAnsi="Times New Roman"/>
        </w:rPr>
        <w:t>, we see that the HMHZ runs across the former East Germany, making a broad arc around the city of Berlin, approaching within ca. 20 km of the bordering Oder River near Eberswalde.</w:t>
      </w:r>
      <w:r>
        <w:rPr>
          <w:rFonts w:ascii="Times New Roman" w:hAnsi="Times New Roman"/>
          <w:color w:val="000000"/>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ascii="Times New Roman" w:hAnsi="Times New Roman"/>
          <w:b/>
          <w:bCs/>
        </w:rPr>
        <w:t>Figure 2a</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ascii="Times New Roman" w:hAnsi="Times New Roman"/>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rPr>
        <w:t xml:space="preserve">Overall prevalence of pinworms and </w:t>
      </w:r>
      <w:r>
        <w:rPr>
          <w:rFonts w:ascii="Times New Roman" w:hAnsi="Times New Roman"/>
          <w:i/>
          <w:color w:val="000000"/>
        </w:rPr>
        <w:t xml:space="preserve">Eimeria </w:t>
      </w:r>
      <w:r>
        <w:rPr>
          <w:rFonts w:ascii="Times New Roman" w:hAnsi="Times New Roman"/>
          <w:color w:val="000000"/>
        </w:rPr>
        <w:t>in our samples did not significantly differ between approximated age categories (using b</w:t>
      </w:r>
      <w:r>
        <w:rPr>
          <w:rFonts w:ascii="Times new roman" w:hAnsi="Times new roman"/>
          <w:color w:val="000000"/>
        </w:rPr>
        <w:t xml:space="preserve">ody weight as a proxy, as in Behnke, 1976; </w:t>
      </w:r>
      <w:r>
        <w:rPr>
          <w:rFonts w:ascii="Times new roman" w:hAnsi="Times new roman"/>
          <w:color w:val="000000"/>
          <w:sz w:val="24"/>
          <w:szCs w:val="24"/>
          <w:highlight w:val="yellow"/>
        </w:rPr>
        <w:t xml:space="preserve">pinworms: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6.25, P = 0.18; </w:t>
      </w:r>
      <w:r>
        <w:rPr>
          <w:rFonts w:ascii="Times new roman" w:hAnsi="Times new roman"/>
          <w:b w:val="false"/>
          <w:i/>
          <w:iCs/>
          <w:caps w:val="false"/>
          <w:smallCaps w:val="false"/>
          <w:color w:val="000000"/>
          <w:spacing w:val="0"/>
          <w:sz w:val="24"/>
          <w:szCs w:val="24"/>
          <w:highlight w:val="yellow"/>
        </w:rPr>
        <w:t>Eimeria</w:t>
      </w: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4.61, P = 0.33)</w:t>
      </w:r>
      <w:r>
        <w:rPr>
          <w:rFonts w:ascii="Times new roman" w:hAnsi="Times new roman"/>
          <w:color w:val="000000"/>
        </w:rPr>
        <w:t xml:space="preserve"> and between the sexes </w:t>
      </w:r>
      <w:r>
        <w:rPr>
          <w:rFonts w:ascii="Times new roman" w:hAnsi="Times new roman"/>
          <w:color w:val="000000"/>
          <w:sz w:val="24"/>
          <w:szCs w:val="24"/>
          <w:highlight w:val="yellow"/>
        </w:rPr>
        <w:t xml:space="preserve">(pinworms: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0.11, P = 0.74; </w:t>
      </w:r>
      <w:r>
        <w:rPr>
          <w:rFonts w:ascii="Times new roman" w:hAnsi="Times new roman"/>
          <w:b w:val="false"/>
          <w:i/>
          <w:iCs/>
          <w:caps w:val="false"/>
          <w:smallCaps w:val="false"/>
          <w:color w:val="000000"/>
          <w:spacing w:val="0"/>
          <w:sz w:val="24"/>
          <w:szCs w:val="24"/>
          <w:highlight w:val="yellow"/>
        </w:rPr>
        <w:t>Eimeria</w:t>
      </w:r>
      <w:r>
        <w:rPr>
          <w:rFonts w:ascii="Times new roman" w:hAnsi="Times new roman"/>
          <w:b w:val="false"/>
          <w:i w:val="false"/>
          <w:caps w:val="false"/>
          <w:smallCaps w:val="false"/>
          <w:color w:val="000000"/>
          <w:spacing w:val="0"/>
          <w:sz w:val="24"/>
          <w:szCs w:val="24"/>
          <w:highlight w:val="yellow"/>
        </w:rPr>
        <w:t xml:space="preserve"> :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0.001, P = 0.97)</w:t>
      </w:r>
      <w:r>
        <w:rPr>
          <w:rFonts w:ascii="Times new roman" w:hAnsi="Times new roman"/>
          <w:color w:val="000000"/>
        </w:rPr>
        <w:t xml:space="preserve"> (</w:t>
      </w:r>
      <w:r>
        <w:rPr>
          <w:rFonts w:ascii="Times new roman" w:hAnsi="Times new roman"/>
          <w:b/>
          <w:bCs/>
          <w:color w:val="000000"/>
        </w:rPr>
        <w:t>Su</w:t>
      </w:r>
      <w:r>
        <w:rPr>
          <w:rFonts w:ascii="Times New Roman" w:hAnsi="Times New Roman"/>
          <w:b/>
          <w:bCs/>
          <w:color w:val="000000"/>
        </w:rPr>
        <w:t>pplementary Table S5</w:t>
      </w:r>
      <w:r>
        <w:rPr>
          <w:rFonts w:ascii="Times New Roman" w:hAnsi="Times New Roman"/>
          <w:color w:val="000000"/>
        </w:rPr>
        <w:t>).</w:t>
      </w:r>
    </w:p>
    <w:p>
      <w:pPr>
        <w:pStyle w:val="Normal"/>
        <w:widowControl/>
        <w:spacing w:lineRule="auto" w:line="480"/>
        <w:ind w:left="0" w:right="0" w:hanging="0"/>
        <w:jc w:val="both"/>
        <w:rPr>
          <w:rFonts w:ascii="Times new roman" w:hAnsi="Times new roman"/>
          <w:color w:val="auto"/>
          <w:highlight w:val="yellow"/>
        </w:rPr>
      </w:pPr>
      <w:r>
        <w:rPr>
          <w:rFonts w:ascii="Times new roman" w:hAnsi="Times new roman"/>
          <w:b w:val="false"/>
          <w:i w:val="false"/>
          <w:caps w:val="false"/>
          <w:smallCaps w:val="false"/>
          <w:color w:val="000000"/>
          <w:spacing w:val="0"/>
          <w:sz w:val="24"/>
          <w:highlight w:val="yellow"/>
        </w:rPr>
        <w:t>Interactions between the two parasite species studied in co-infection could influence both their intensities. This would make the assessment of different parasites non independent with regards to the host immune system. We therefore tested the influence of co-infection by one investigated parasite on the second one using Chi-square tests on a presence/absence contingency table. We found infections with one parasite to not significantly change the likelihood of infection with the other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1.72, P = 0.18, N = 383)</w:t>
      </w:r>
      <w:r>
        <w:rPr>
          <w:rFonts w:ascii="Times new roman" w:hAnsi="Times new roman"/>
          <w:b w:val="false"/>
          <w:i w:val="false"/>
          <w:caps w:val="false"/>
          <w:smallCaps w:val="false"/>
          <w:color w:val="000000"/>
          <w:spacing w:val="0"/>
          <w:sz w:val="24"/>
          <w:highlight w:val="yellow"/>
        </w:rPr>
        <w:t>.</w:t>
      </w:r>
    </w:p>
    <w:p>
      <w:pPr>
        <w:pStyle w:val="Normal"/>
        <w:rPr/>
      </w:pPr>
      <w:bookmarkStart w:id="9" w:name="similar-prevalence-of-parasites-across-t"/>
      <w:bookmarkEnd w:id="9"/>
      <w:r>
        <w:rPr>
          <w:rFonts w:ascii="Times New Roman" w:hAnsi="Times New Roman"/>
          <w:b/>
          <w:bCs/>
        </w:rPr>
        <w:t>Similar prevalence of parasites across the zone</w:t>
      </w:r>
    </w:p>
    <w:p>
      <w:pPr>
        <w:pStyle w:val="Normal"/>
        <w:rPr/>
      </w:pPr>
      <w:r>
        <w:rPr>
          <w:rFonts w:ascii="Times New Roman" w:hAnsi="Times New Roman"/>
        </w:rPr>
        <w:t xml:space="preserve">In order to control for impact of ecological factors on prevalence, such as a host density trough at the zone centre, we tested if the probability of being infected was significantly lower for individuals at this zone centre. We performed this analysis (1)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t xml:space="preserve">with a unified “genetic distance to zone centre”and (2) on both halves of the hybrid index separately . </w:t>
      </w:r>
      <w:r>
        <w:rPr>
          <w:rFonts w:ascii="Times New Roman" w:hAnsi="Times New Roman"/>
          <w:sz w:val="24"/>
          <w:szCs w:val="24"/>
        </w:rPr>
        <w:t>Logistic regression using a linear combination of the pred</w:t>
      </w:r>
      <w:r>
        <w:rPr>
          <w:rFonts w:ascii="Times New Roman" w:hAnsi="Times New Roman"/>
        </w:rPr>
        <w:t xml:space="preserve">ictor variables “genetic distance to zone centre” and “Sex” (including interactions) didn’t show any statistically significant effect (p &gt; 0.05) on the probability of </w:t>
      </w:r>
      <w:r>
        <w:rPr>
          <w:rFonts w:ascii="times new roman" w:hAnsi="times new roman"/>
        </w:rPr>
        <w:t xml:space="preserve">infection when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vertAlign w:val="baseline"/>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w:t>
      </w:r>
      <w:r>
        <w:rPr>
          <w:rFonts w:ascii="times new roman" w:hAnsi="times new roman"/>
          <w:highlight w:val="yellow"/>
        </w:rPr>
        <w:t>genetic distance to zone centre: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-0.22, P = 0.82; sex: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1.02, P = 0.31; interactions: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-1.48, P = 0.14; </w:t>
      </w:r>
      <w:r>
        <w:rPr>
          <w:rFonts w:ascii="times new roman" w:hAnsi="times new roman"/>
          <w:b/>
          <w:bCs/>
        </w:rPr>
        <w:t>Figure 2b</w:t>
      </w:r>
      <w:r>
        <w:rPr>
          <w:rFonts w:ascii="times new roman" w:hAnsi="times new roman"/>
        </w:rPr>
        <w:t>) nor for pinworms (</w:t>
      </w:r>
      <w:r>
        <w:rPr>
          <w:rFonts w:ascii="Times new roman" w:hAnsi="Times new roman"/>
          <w:highlight w:val="yellow"/>
        </w:rPr>
        <w:t>genetic distance to zone centre: z</w:t>
      </w:r>
      <w:r>
        <w:rPr>
          <w:rFonts w:ascii="Times new roman" w:hAnsi="Times new roman"/>
          <w:b w:val="false"/>
          <w:i w:val="false"/>
          <w:caps w:val="false"/>
          <w:smallCaps w:val="false"/>
          <w:color w:val="000000"/>
          <w:spacing w:val="0"/>
          <w:sz w:val="24"/>
          <w:szCs w:val="24"/>
          <w:highlight w:val="yellow"/>
          <w:vertAlign w:val="subscript"/>
        </w:rPr>
        <w:t>581</w:t>
      </w:r>
      <w:r>
        <w:rPr>
          <w:rFonts w:ascii="Times new roman" w:hAnsi="Times new roman"/>
          <w:highlight w:val="yellow"/>
        </w:rPr>
        <w:t xml:space="preserve"> = -0.69, P = 0.49; sex: z</w:t>
      </w:r>
      <w:r>
        <w:rPr>
          <w:rFonts w:ascii="Times new roman" w:hAnsi="Times new roman"/>
          <w:b w:val="false"/>
          <w:i w:val="false"/>
          <w:caps w:val="false"/>
          <w:smallCaps w:val="false"/>
          <w:color w:val="000000"/>
          <w:spacing w:val="0"/>
          <w:sz w:val="24"/>
          <w:szCs w:val="24"/>
          <w:highlight w:val="yellow"/>
          <w:vertAlign w:val="subscript"/>
        </w:rPr>
        <w:t>581</w:t>
      </w:r>
      <w:r>
        <w:rPr>
          <w:rFonts w:ascii="Times new roman" w:hAnsi="Times new roman"/>
          <w:highlight w:val="yellow"/>
        </w:rPr>
        <w:t xml:space="preserve"> = 0.26, P = 0.76; interactions: z</w:t>
      </w:r>
      <w:r>
        <w:rPr>
          <w:rFonts w:ascii="Times new roman" w:hAnsi="Times new roman"/>
          <w:b w:val="false"/>
          <w:i w:val="false"/>
          <w:caps w:val="false"/>
          <w:smallCaps w:val="false"/>
          <w:color w:val="000000"/>
          <w:spacing w:val="0"/>
          <w:sz w:val="24"/>
          <w:szCs w:val="24"/>
          <w:highlight w:val="yellow"/>
          <w:vertAlign w:val="subscript"/>
        </w:rPr>
        <w:t>581</w:t>
      </w:r>
      <w:r>
        <w:rPr>
          <w:rFonts w:ascii="Times new roman" w:hAnsi="Times new roman"/>
          <w:highlight w:val="yellow"/>
        </w:rPr>
        <w:t xml:space="preserve"> = 0.73, P = 0.46; </w:t>
      </w:r>
      <w:r>
        <w:rPr>
          <w:rFonts w:ascii="times new roman" w:hAnsi="times new roman"/>
          <w:b/>
          <w:bCs/>
        </w:rPr>
        <w:t>Figure 3b</w:t>
      </w:r>
      <w:r>
        <w:rPr>
          <w:rFonts w:ascii="times new roman" w:hAnsi="times new roman"/>
        </w:rPr>
        <w:t xml:space="preserve">). Results were identical for specifically </w:t>
      </w:r>
      <w:r>
        <w:rPr>
          <w:rFonts w:ascii="times new roman" w:hAnsi="times new roman"/>
          <w:i/>
          <w:iCs/>
        </w:rPr>
        <w:t>Eimeria f</w:t>
      </w:r>
      <w:r>
        <w:rPr>
          <w:rFonts w:ascii="Times New Roman" w:hAnsi="Times New Roman"/>
          <w:i/>
          <w:iCs/>
        </w:rPr>
        <w:t>errisi</w:t>
      </w:r>
      <w:r>
        <w:rPr>
          <w:rFonts w:ascii="Times New Roman" w:hAnsi="Times New Roman"/>
        </w:rPr>
        <w:t xml:space="preserve"> infected mice vs. non infected (</w:t>
      </w:r>
      <w:r>
        <w:rPr>
          <w:rFonts w:ascii="Times new roman" w:hAnsi="Times new roman"/>
          <w:highlight w:val="yellow"/>
        </w:rPr>
        <w:t>genetic distance to zone centre: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-0.16, P = 0.88; sex: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-0.64, P = 0.52; interactions: z</w:t>
      </w:r>
      <w:r>
        <w:rPr>
          <w:rFonts w:ascii="Times new roman" w:hAnsi="Times new roman"/>
          <w:b w:val="false"/>
          <w:i w:val="false"/>
          <w:caps w:val="false"/>
          <w:smallCaps w:val="false"/>
          <w:color w:val="000000"/>
          <w:spacing w:val="0"/>
          <w:sz w:val="24"/>
          <w:szCs w:val="24"/>
          <w:highlight w:val="yellow"/>
          <w:vertAlign w:val="subscript"/>
        </w:rPr>
        <w:t>380</w:t>
      </w:r>
      <w:r>
        <w:rPr>
          <w:rFonts w:ascii="Times new roman" w:hAnsi="Times new roman"/>
          <w:highlight w:val="yellow"/>
        </w:rPr>
        <w:t xml:space="preserve"> = 0.48, P = 0.63; </w:t>
      </w:r>
      <w:r>
        <w:rPr>
          <w:rFonts w:ascii="Times New Roman" w:hAnsi="Times New Roman"/>
        </w:rPr>
        <w:t xml:space="preserve">see </w:t>
      </w:r>
      <w:r>
        <w:rPr>
          <w:rFonts w:ascii="Times New Roman" w:hAnsi="Times New Roman"/>
          <w:b/>
          <w:bCs/>
          <w:color w:val="000000"/>
        </w:rPr>
        <w:t>Supplementary Figure S6a</w:t>
      </w:r>
      <w:r>
        <w:rPr>
          <w:rFonts w:ascii="Times New Roman" w:hAnsi="Times New Roman"/>
        </w:rPr>
        <w:t>)</w:t>
      </w:r>
      <w:r>
        <w:rPr>
          <w:rFonts w:ascii="Times New Roman" w:hAnsi="Times New Roman"/>
          <w:i/>
          <w:iCs/>
        </w:rPr>
        <w:t>.</w:t>
      </w:r>
      <w:r>
        <w:rPr>
          <w:rFonts w:ascii="Times New Roman" w:hAnsi="Times New Roman"/>
        </w:rPr>
        <w:t xml:space="preserve"> Similarly, we could not reject the hypothesis of constant prevalence by running the analyses on both halves of the hybrid scale separately (2), for both parasites (</w:t>
      </w:r>
      <w:r>
        <w:rPr>
          <w:rFonts w:ascii="Times new roman" w:hAnsi="Times new roman"/>
          <w:i/>
          <w:iCs/>
          <w:highlight w:val="yellow"/>
        </w:rPr>
        <w:t>Eimeria</w:t>
      </w:r>
      <w:r>
        <w:rPr>
          <w:rFonts w:ascii="Times new roman" w:hAnsi="Times new roman"/>
          <w:i w:val="false"/>
          <w:iCs w:val="false"/>
          <w:highlight w:val="yellow"/>
        </w:rPr>
        <w:t>, west side</w:t>
      </w:r>
      <w:r>
        <w:rPr>
          <w:rFonts w:ascii="Times new roman" w:hAnsi="Times new roman"/>
          <w:highlight w:val="yellow"/>
        </w:rPr>
        <w:t>: genetic distance to zone centre: z</w:t>
      </w:r>
      <w:r>
        <w:rPr>
          <w:rFonts w:ascii="Times new roman" w:hAnsi="Times new roman"/>
          <w:b w:val="false"/>
          <w:i w:val="false"/>
          <w:caps w:val="false"/>
          <w:smallCaps w:val="false"/>
          <w:color w:val="000000"/>
          <w:spacing w:val="0"/>
          <w:sz w:val="24"/>
          <w:szCs w:val="24"/>
          <w:highlight w:val="yellow"/>
          <w:vertAlign w:val="subscript"/>
        </w:rPr>
        <w:t>161</w:t>
      </w:r>
      <w:r>
        <w:rPr>
          <w:rFonts w:ascii="Times new roman" w:hAnsi="Times new roman"/>
          <w:highlight w:val="yellow"/>
        </w:rPr>
        <w:t xml:space="preserve"> = -0.93, P = 0.35; sex: z</w:t>
      </w:r>
      <w:r>
        <w:rPr>
          <w:rFonts w:ascii="Times new roman" w:hAnsi="Times new roman"/>
          <w:b w:val="false"/>
          <w:i w:val="false"/>
          <w:caps w:val="false"/>
          <w:smallCaps w:val="false"/>
          <w:color w:val="000000"/>
          <w:spacing w:val="0"/>
          <w:sz w:val="24"/>
          <w:szCs w:val="24"/>
          <w:highlight w:val="yellow"/>
          <w:vertAlign w:val="subscript"/>
        </w:rPr>
        <w:t>161</w:t>
      </w:r>
      <w:r>
        <w:rPr>
          <w:rFonts w:ascii="Times new roman" w:hAnsi="Times new roman"/>
          <w:highlight w:val="yellow"/>
        </w:rPr>
        <w:t xml:space="preserve"> = 0.57, P = 0.57; interactions: z</w:t>
      </w:r>
      <w:r>
        <w:rPr>
          <w:rFonts w:ascii="Times new roman" w:hAnsi="Times new roman"/>
          <w:b w:val="false"/>
          <w:i w:val="false"/>
          <w:caps w:val="false"/>
          <w:smallCaps w:val="false"/>
          <w:color w:val="000000"/>
          <w:spacing w:val="0"/>
          <w:sz w:val="24"/>
          <w:szCs w:val="24"/>
          <w:highlight w:val="yellow"/>
          <w:vertAlign w:val="subscript"/>
        </w:rPr>
        <w:t>161</w:t>
      </w:r>
      <w:r>
        <w:rPr>
          <w:rFonts w:ascii="Times new roman" w:hAnsi="Times new roman"/>
          <w:highlight w:val="yellow"/>
        </w:rPr>
        <w:t xml:space="preserve"> = -0.53, P = 0.60; east side: genetic distance to zone centre: z</w:t>
      </w:r>
      <w:r>
        <w:rPr>
          <w:rFonts w:ascii="Times new roman" w:hAnsi="Times new roman"/>
          <w:b w:val="false"/>
          <w:i w:val="false"/>
          <w:caps w:val="false"/>
          <w:smallCaps w:val="false"/>
          <w:color w:val="000000"/>
          <w:spacing w:val="0"/>
          <w:sz w:val="24"/>
          <w:szCs w:val="24"/>
          <w:highlight w:val="yellow"/>
          <w:vertAlign w:val="subscript"/>
        </w:rPr>
        <w:t>215</w:t>
      </w:r>
      <w:r>
        <w:rPr>
          <w:rFonts w:ascii="Times new roman" w:hAnsi="Times new roman"/>
          <w:highlight w:val="yellow"/>
        </w:rPr>
        <w:t xml:space="preserve"> = 0.69, P = 0.49; sex: z</w:t>
      </w:r>
      <w:r>
        <w:rPr>
          <w:rFonts w:ascii="Times new roman" w:hAnsi="Times new roman"/>
          <w:b w:val="false"/>
          <w:i w:val="false"/>
          <w:caps w:val="false"/>
          <w:smallCaps w:val="false"/>
          <w:color w:val="000000"/>
          <w:spacing w:val="0"/>
          <w:sz w:val="24"/>
          <w:szCs w:val="24"/>
          <w:highlight w:val="yellow"/>
          <w:vertAlign w:val="subscript"/>
        </w:rPr>
        <w:t>215</w:t>
      </w:r>
      <w:r>
        <w:rPr>
          <w:rFonts w:ascii="Times new roman" w:hAnsi="Times new roman"/>
          <w:highlight w:val="yellow"/>
        </w:rPr>
        <w:t xml:space="preserve"> = 0.90, P = 0.37; interactions: z</w:t>
      </w:r>
      <w:r>
        <w:rPr>
          <w:rFonts w:ascii="Times new roman" w:hAnsi="Times new roman"/>
          <w:b w:val="false"/>
          <w:i w:val="false"/>
          <w:caps w:val="false"/>
          <w:smallCaps w:val="false"/>
          <w:color w:val="000000"/>
          <w:spacing w:val="0"/>
          <w:sz w:val="24"/>
          <w:szCs w:val="24"/>
          <w:highlight w:val="yellow"/>
          <w:vertAlign w:val="subscript"/>
        </w:rPr>
        <w:t xml:space="preserve">215 </w:t>
      </w:r>
      <w:r>
        <w:rPr>
          <w:rFonts w:ascii="Times new roman" w:hAnsi="Times new roman"/>
          <w:highlight w:val="yellow"/>
        </w:rPr>
        <w:t xml:space="preserve">= -1.36, P = 0.17; </w:t>
      </w:r>
      <w:r>
        <w:rPr>
          <w:rFonts w:ascii="Times new roman" w:hAnsi="Times new roman"/>
          <w:i w:val="false"/>
          <w:iCs w:val="false"/>
          <w:highlight w:val="yellow"/>
        </w:rPr>
        <w:t>Pinworms, west side</w:t>
      </w:r>
      <w:r>
        <w:rPr>
          <w:rFonts w:ascii="Times new roman" w:hAnsi="Times new roman"/>
          <w:highlight w:val="yellow"/>
        </w:rPr>
        <w:t>: genetic distance to zone centre: z</w:t>
      </w:r>
      <w:r>
        <w:rPr>
          <w:rFonts w:ascii="Times new roman" w:hAnsi="Times new roman"/>
          <w:b w:val="false"/>
          <w:i w:val="false"/>
          <w:caps w:val="false"/>
          <w:smallCaps w:val="false"/>
          <w:color w:val="000000"/>
          <w:spacing w:val="0"/>
          <w:sz w:val="24"/>
          <w:szCs w:val="24"/>
          <w:highlight w:val="yellow"/>
          <w:vertAlign w:val="subscript"/>
        </w:rPr>
        <w:t>257</w:t>
      </w:r>
      <w:r>
        <w:rPr>
          <w:rFonts w:ascii="Times new roman" w:hAnsi="Times new roman"/>
          <w:highlight w:val="yellow"/>
        </w:rPr>
        <w:t xml:space="preserve"> = -1.46, P = 0.14; sex: z</w:t>
      </w:r>
      <w:r>
        <w:rPr>
          <w:rFonts w:ascii="Times new roman" w:hAnsi="Times new roman"/>
          <w:b w:val="false"/>
          <w:i w:val="false"/>
          <w:caps w:val="false"/>
          <w:smallCaps w:val="false"/>
          <w:color w:val="000000"/>
          <w:spacing w:val="0"/>
          <w:sz w:val="24"/>
          <w:szCs w:val="24"/>
          <w:highlight w:val="yellow"/>
          <w:vertAlign w:val="subscript"/>
        </w:rPr>
        <w:t>257</w:t>
      </w:r>
      <w:r>
        <w:rPr>
          <w:rFonts w:ascii="Times new roman" w:hAnsi="Times new roman"/>
          <w:highlight w:val="yellow"/>
        </w:rPr>
        <w:t xml:space="preserve"> = 0.46, P = 0.64; interactions: z</w:t>
      </w:r>
      <w:r>
        <w:rPr>
          <w:rFonts w:ascii="Times new roman" w:hAnsi="Times new roman"/>
          <w:b w:val="false"/>
          <w:i w:val="false"/>
          <w:caps w:val="false"/>
          <w:smallCaps w:val="false"/>
          <w:color w:val="000000"/>
          <w:spacing w:val="0"/>
          <w:sz w:val="24"/>
          <w:szCs w:val="24"/>
          <w:highlight w:val="yellow"/>
          <w:vertAlign w:val="subscript"/>
        </w:rPr>
        <w:t>257</w:t>
      </w:r>
      <w:r>
        <w:rPr>
          <w:rFonts w:ascii="Times new roman" w:hAnsi="Times new roman"/>
          <w:highlight w:val="yellow"/>
        </w:rPr>
        <w:t xml:space="preserve"> = 0.63, P = 0.53; east side: genetic distance to zone centre: z</w:t>
      </w:r>
      <w:r>
        <w:rPr>
          <w:rFonts w:ascii="Times new roman" w:hAnsi="Times new roman"/>
          <w:b w:val="false"/>
          <w:i w:val="false"/>
          <w:caps w:val="false"/>
          <w:smallCaps w:val="false"/>
          <w:color w:val="000000"/>
          <w:spacing w:val="0"/>
          <w:sz w:val="24"/>
          <w:szCs w:val="24"/>
          <w:highlight w:val="yellow"/>
          <w:vertAlign w:val="subscript"/>
        </w:rPr>
        <w:t>320</w:t>
      </w:r>
      <w:r>
        <w:rPr>
          <w:rFonts w:ascii="Times new roman" w:hAnsi="Times new roman"/>
          <w:highlight w:val="yellow"/>
        </w:rPr>
        <w:t xml:space="preserve"> = -0.56, P = 0.57; sex: z</w:t>
      </w:r>
      <w:r>
        <w:rPr>
          <w:rFonts w:ascii="Times new roman" w:hAnsi="Times new roman"/>
          <w:b w:val="false"/>
          <w:i w:val="false"/>
          <w:caps w:val="false"/>
          <w:smallCaps w:val="false"/>
          <w:color w:val="000000"/>
          <w:spacing w:val="0"/>
          <w:sz w:val="24"/>
          <w:szCs w:val="24"/>
          <w:highlight w:val="yellow"/>
          <w:vertAlign w:val="subscript"/>
        </w:rPr>
        <w:t>320</w:t>
      </w:r>
      <w:r>
        <w:rPr>
          <w:rFonts w:ascii="Times new roman" w:hAnsi="Times new roman"/>
          <w:highlight w:val="yellow"/>
        </w:rPr>
        <w:t xml:space="preserve"> = -1.04, P = 0.30; interactions: z</w:t>
      </w:r>
      <w:r>
        <w:rPr>
          <w:rFonts w:ascii="Times new roman" w:hAnsi="Times new roman"/>
          <w:b w:val="false"/>
          <w:i w:val="false"/>
          <w:caps w:val="false"/>
          <w:smallCaps w:val="false"/>
          <w:color w:val="000000"/>
          <w:spacing w:val="0"/>
          <w:sz w:val="24"/>
          <w:szCs w:val="24"/>
          <w:highlight w:val="yellow"/>
          <w:vertAlign w:val="subscript"/>
        </w:rPr>
        <w:t xml:space="preserve">320 </w:t>
      </w:r>
      <w:r>
        <w:rPr>
          <w:rFonts w:ascii="Times new roman" w:hAnsi="Times new roman"/>
          <w:highlight w:val="yellow"/>
        </w:rPr>
        <w:t xml:space="preserve">= 0.98, P = 0.33 </w:t>
      </w:r>
      <w:r>
        <w:rPr>
          <w:rFonts w:ascii="Times New Roman" w:hAnsi="Times New Roman"/>
        </w:rPr>
        <w:t xml:space="preserve">). We therefore could not find evidence of significantly more or less </w:t>
      </w:r>
      <w:r>
        <w:rPr>
          <w:rFonts w:ascii="Times New Roman" w:hAnsi="Times New Roman"/>
          <w:highlight w:val="yellow"/>
        </w:rPr>
        <w:t xml:space="preserve">infected </w:t>
      </w:r>
      <w:r>
        <w:rPr>
          <w:rFonts w:ascii="Times New Roman" w:hAnsi="Times New Roman"/>
        </w:rPr>
        <w:t xml:space="preserve">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rPr>
        <w:t>No evidence of hyper- or under-mortality of hybrids compared to parents</w:t>
      </w:r>
    </w:p>
    <w:p>
      <w:pPr>
        <w:pStyle w:val="Normal"/>
        <w:rPr>
          <w:rFonts w:ascii="Times New Roman" w:hAnsi="Times New Roman"/>
        </w:rPr>
      </w:pPr>
      <w:r>
        <w:rPr>
          <w:rFonts w:ascii="Times new roman" w:hAnsi="Times new roman"/>
        </w:rPr>
        <w:t>We tested the hybridization effect on body weight as proxy of age. Modelling the body weight  across the hybrid zone showed an effect of taxon (model allowing taxon differences vs. no taxon differences (H1 vs. H0)</w:t>
      </w:r>
      <w:r>
        <w:rPr>
          <w:rFonts w:ascii="Times new roman" w:hAnsi="Times new roman"/>
          <w:highlight w:val="yellow"/>
        </w:rPr>
        <w:t xml:space="preserve">,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4e</w:t>
      </w:r>
      <w:r>
        <w:rPr>
          <w:rFonts w:ascii="Times new roman" w:hAnsi="Times new roman"/>
          <w:b w:val="false"/>
          <w:i w:val="false"/>
          <w:caps w:val="false"/>
          <w:smallCaps w:val="false"/>
          <w:color w:val="000000"/>
          <w:spacing w:val="0"/>
          <w:sz w:val="24"/>
          <w:szCs w:val="24"/>
          <w:highlight w:val="yellow"/>
          <w:vertAlign w:val="superscript"/>
        </w:rPr>
        <w:t>-4</w:t>
      </w:r>
      <w:r>
        <w:rPr>
          <w:rFonts w:ascii="Times new roman" w:hAnsi="Times new roman"/>
          <w:b w:val="false"/>
          <w:i w:val="false"/>
          <w:caps w:val="false"/>
          <w:smallCaps w:val="false"/>
          <w:color w:val="000000"/>
          <w:spacing w:val="0"/>
          <w:sz w:val="24"/>
          <w:szCs w:val="24"/>
          <w:highlight w:val="yellow"/>
        </w:rPr>
        <w:t xml:space="preserve">, P = </w:t>
      </w:r>
      <w:r>
        <w:rPr>
          <w:rFonts w:ascii="Times new roman" w:hAnsi="Times new roman"/>
        </w:rPr>
        <w:t>0.017, N = 456) and no effect of sex (models allowing sex differences vs. no sex differences (both H2 vs. H0 (</w:t>
      </w:r>
      <w:r>
        <w:rPr>
          <w:rFonts w:ascii="Times new roman" w:hAnsi="Times new roman"/>
          <w:highlight w:val="yellow"/>
        </w:rPr>
        <w:t xml:space="preserve">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3</w:t>
      </w:r>
      <w:r>
        <w:rPr>
          <w:rFonts w:ascii="Times new roman" w:hAnsi="Times new roman"/>
          <w:b w:val="false"/>
          <w:i w:val="false"/>
          <w:caps w:val="false"/>
          <w:smallCaps w:val="false"/>
          <w:color w:val="000000"/>
          <w:spacing w:val="0"/>
          <w:sz w:val="24"/>
          <w:szCs w:val="24"/>
          <w:highlight w:val="yellow"/>
        </w:rPr>
        <w:t xml:space="preserve"> = 0.39, P = </w:t>
      </w:r>
      <w:r>
        <w:rPr>
          <w:rFonts w:ascii="Times new roman" w:hAnsi="Times new roman"/>
        </w:rPr>
        <w:t>0.057), and H3 vs. H1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0.92, P = </w:t>
      </w:r>
      <w:r>
        <w:rPr>
          <w:rFonts w:ascii="Times new roman" w:hAnsi="Times new roman"/>
        </w:rPr>
        <w:t>0.079), N = 456)</w:t>
      </w:r>
      <w:bookmarkStart w:id="10" w:name="__DdeLink__1773_32158586341"/>
      <w:bookmarkEnd w:id="10"/>
      <w:r>
        <w:rPr>
          <w:rFonts w:ascii="Times new roman" w:hAnsi="Times new roman"/>
        </w:rPr>
        <w:t>). More notably, the model allowing taxon difference did not show a statistically significant hybridization effect (G-test</w:t>
      </w:r>
      <w:r>
        <w:rPr>
          <w:rFonts w:ascii="Times new roman" w:hAnsi="Times new roman"/>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0.74, P = </w:t>
      </w:r>
      <w:r>
        <w:rPr>
          <w:rFonts w:ascii="Times new roman" w:hAnsi="Times new roman"/>
        </w:rPr>
        <w:t xml:space="preserve">0.214, N = 456; see </w:t>
      </w:r>
      <w:r>
        <w:rPr>
          <w:rFonts w:ascii="Times new roman" w:hAnsi="Times new roman"/>
          <w:b/>
          <w:bCs/>
          <w:color w:val="000000"/>
        </w:rPr>
        <w:t>Supplementary Figure S7</w:t>
      </w:r>
      <w:r>
        <w:rPr>
          <w:rFonts w:ascii="Times new roman" w:hAnsi="Times new roman"/>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w:t>
      </w:r>
      <w:r>
        <w:rPr>
          <w:rFonts w:ascii="Times new roman" w:hAnsi="Times new roman"/>
          <w:highlight w:val="yellow"/>
        </w:rPr>
        <w:t xml:space="preserve">(H2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3</w:t>
      </w:r>
      <w:r>
        <w:rPr>
          <w:rFonts w:ascii="Times new roman" w:hAnsi="Times new roman"/>
          <w:b w:val="false"/>
          <w:i w:val="false"/>
          <w:caps w:val="false"/>
          <w:smallCaps w:val="false"/>
          <w:color w:val="000000"/>
          <w:spacing w:val="0"/>
          <w:sz w:val="24"/>
          <w:szCs w:val="24"/>
          <w:highlight w:val="yellow"/>
        </w:rPr>
        <w:t xml:space="preserve"> = 6.12, P = </w:t>
      </w:r>
      <w:r>
        <w:rPr>
          <w:rFonts w:ascii="Times new roman" w:hAnsi="Times new roman"/>
          <w:highlight w:val="yellow"/>
        </w:rPr>
        <w:t xml:space="preserve">0.89; H3 vs. H1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8.09, P = </w:t>
      </w:r>
      <w:r>
        <w:rPr>
          <w:rFonts w:ascii="Times new roman" w:hAnsi="Times new roman"/>
          <w:highlight w:val="yellow"/>
        </w:rPr>
        <w:t xml:space="preserve">0.91) </w:t>
      </w:r>
      <w:r>
        <w:rPr>
          <w:rFonts w:ascii="Times new roman" w:hAnsi="Times new roman"/>
        </w:rPr>
        <w:t>and parental taxa</w:t>
      </w:r>
      <w:r>
        <w:rPr>
          <w:rFonts w:ascii="Times new roman" w:hAnsi="Times new roman"/>
          <w:highlight w:val="yellow"/>
        </w:rPr>
        <w:t xml:space="preserve"> (H1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0.11, P = 0.26;</w:t>
      </w:r>
      <w:r>
        <w:rPr>
          <w:rFonts w:ascii="Times new roman" w:hAnsi="Times new roman"/>
          <w:highlight w:val="yellow"/>
        </w:rPr>
        <w:t xml:space="preserve"> H3 vs. H2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2</w:t>
      </w:r>
      <w:r>
        <w:rPr>
          <w:rFonts w:ascii="Times new roman" w:hAnsi="Times new roman"/>
          <w:b w:val="false"/>
          <w:i w:val="false"/>
          <w:caps w:val="false"/>
          <w:smallCaps w:val="false"/>
          <w:color w:val="000000"/>
          <w:spacing w:val="0"/>
          <w:sz w:val="24"/>
          <w:szCs w:val="24"/>
          <w:highlight w:val="yellow"/>
        </w:rPr>
        <w:t xml:space="preserve"> = 1.13, P = </w:t>
      </w:r>
      <w:r>
        <w:rPr>
          <w:rFonts w:ascii="Times new roman" w:hAnsi="Times new roman"/>
          <w:highlight w:val="yellow"/>
        </w:rPr>
        <w:t>0.43)</w:t>
      </w:r>
      <w:r>
        <w:rPr>
          <w:rFonts w:ascii="Times New Roman" w:hAnsi="Times New Roman"/>
        </w:rPr>
        <w:t xml:space="preserve"> did not fit the data significantly better than the null model (</w:t>
      </w:r>
      <w:bookmarkStart w:id="11" w:name="__DdeLink__3503_2122412361"/>
      <w:r>
        <w:rPr>
          <w:rFonts w:ascii="Times New Roman" w:hAnsi="Times New Roman"/>
          <w:b/>
          <w:bCs/>
        </w:rPr>
        <w:t>Supplementary Table S</w:t>
      </w:r>
      <w:bookmarkEnd w:id="11"/>
      <w:r>
        <w:rPr>
          <w:rFonts w:ascii="Times New Roman" w:hAnsi="Times New Roman"/>
          <w:b/>
          <w:bCs/>
        </w:rPr>
        <w:t>8</w:t>
      </w:r>
      <w:r>
        <w:rPr>
          <w:rFonts w:ascii="Times New Roman" w:hAnsi="Times New Roman"/>
        </w:rPr>
        <w:t>). The fit involving the hybridization effect, however, showed significantly higher likelihood than the model without it (G-test</w:t>
      </w:r>
      <w:r>
        <w:rPr>
          <w:rFonts w:ascii="Times new roman" w:hAnsi="Times new roman"/>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8e</w:t>
      </w:r>
      <w:r>
        <w:rPr>
          <w:rFonts w:ascii="Times new roman" w:hAnsi="Times new roman"/>
          <w:b w:val="false"/>
          <w:i w:val="false"/>
          <w:caps w:val="false"/>
          <w:smallCaps w:val="false"/>
          <w:color w:val="000000"/>
          <w:spacing w:val="0"/>
          <w:sz w:val="24"/>
          <w:szCs w:val="24"/>
          <w:highlight w:val="yellow"/>
          <w:vertAlign w:val="superscript"/>
        </w:rPr>
        <w:t>-4</w:t>
      </w:r>
      <w:r>
        <w:rPr>
          <w:rFonts w:ascii="Times new roman" w:hAnsi="Times new roman"/>
          <w:b w:val="false"/>
          <w:i w:val="false"/>
          <w:caps w:val="false"/>
          <w:smallCaps w:val="false"/>
          <w:color w:val="000000"/>
          <w:spacing w:val="0"/>
          <w:sz w:val="24"/>
          <w:szCs w:val="24"/>
          <w:highlight w:val="yellow"/>
        </w:rPr>
        <w:t>, P =</w:t>
      </w:r>
      <w:r>
        <w:rPr>
          <w:rFonts w:ascii="Times New Roman" w:hAnsi="Times New Roman"/>
        </w:rPr>
        <w:t xml:space="preserve">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 xml:space="preserve">). Considering only the more prevalent </w:t>
      </w:r>
      <w:r>
        <w:rPr>
          <w:rFonts w:ascii="Times New Roman" w:hAnsi="Times New Roman"/>
          <w:i/>
          <w:iCs/>
        </w:rPr>
        <w:t>Eimeria</w:t>
      </w:r>
      <w:r>
        <w:rPr>
          <w:rFonts w:ascii="Times New Roman" w:hAnsi="Times New Roman"/>
        </w:rPr>
        <w:t xml:space="preserve"> species, </w:t>
      </w:r>
      <w:r>
        <w:rPr>
          <w:rFonts w:ascii="Times New Roman" w:hAnsi="Times New Roman"/>
          <w:i/>
          <w:iCs/>
        </w:rPr>
        <w:t>E. ferrisi,</w:t>
      </w:r>
      <w:r>
        <w:rPr>
          <w:rFonts w:ascii="Times New Roman" w:hAnsi="Times New Roman"/>
        </w:rPr>
        <w:t xml:space="preserve"> infected mice (N=44), we found similar results: no significant improvement of the model when differences between sexes </w:t>
      </w:r>
      <w:r>
        <w:rPr>
          <w:rFonts w:ascii="Times new roman" w:hAnsi="Times new roman"/>
          <w:highlight w:val="yellow"/>
        </w:rPr>
        <w:t xml:space="preserve">(H2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3</w:t>
      </w:r>
      <w:r>
        <w:rPr>
          <w:rFonts w:ascii="Times new roman" w:hAnsi="Times new roman"/>
          <w:b w:val="false"/>
          <w:i w:val="false"/>
          <w:caps w:val="false"/>
          <w:smallCaps w:val="false"/>
          <w:color w:val="000000"/>
          <w:spacing w:val="0"/>
          <w:sz w:val="24"/>
          <w:szCs w:val="24"/>
          <w:highlight w:val="yellow"/>
        </w:rPr>
        <w:t xml:space="preserve"> = 4.24, P = </w:t>
      </w:r>
      <w:r>
        <w:rPr>
          <w:rFonts w:ascii="Times new roman" w:hAnsi="Times new roman"/>
          <w:highlight w:val="yellow"/>
        </w:rPr>
        <w:t xml:space="preserve">0.76; H3 vs. H1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6.63, P = </w:t>
      </w:r>
      <w:r>
        <w:rPr>
          <w:rFonts w:ascii="Times new roman" w:hAnsi="Times new roman"/>
          <w:highlight w:val="yellow"/>
        </w:rPr>
        <w:t xml:space="preserve">0.84) </w:t>
      </w:r>
      <w:r>
        <w:rPr>
          <w:rFonts w:ascii="Times New Roman" w:hAnsi="Times New Roman"/>
        </w:rPr>
        <w:t xml:space="preserve">and parental taxa </w:t>
      </w:r>
      <w:r>
        <w:rPr>
          <w:rFonts w:ascii="Times new roman" w:hAnsi="Times new roman"/>
          <w:highlight w:val="yellow"/>
        </w:rPr>
        <w:t xml:space="preserve">(H1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0.43, P = 0.48;</w:t>
      </w:r>
      <w:r>
        <w:rPr>
          <w:rFonts w:ascii="Times new roman" w:hAnsi="Times new roman"/>
          <w:highlight w:val="yellow"/>
        </w:rPr>
        <w:t xml:space="preserve"> H3 vs. H2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2</w:t>
      </w:r>
      <w:r>
        <w:rPr>
          <w:rFonts w:ascii="Times new roman" w:hAnsi="Times new roman"/>
          <w:b w:val="false"/>
          <w:i w:val="false"/>
          <w:caps w:val="false"/>
          <w:smallCaps w:val="false"/>
          <w:color w:val="000000"/>
          <w:spacing w:val="0"/>
          <w:sz w:val="24"/>
          <w:szCs w:val="24"/>
          <w:highlight w:val="yellow"/>
        </w:rPr>
        <w:t xml:space="preserve"> = 2.37, P = </w:t>
      </w:r>
      <w:r>
        <w:rPr>
          <w:rFonts w:ascii="Times new roman" w:hAnsi="Times new roman"/>
          <w:highlight w:val="yellow"/>
        </w:rPr>
        <w:t xml:space="preserve">0.69) </w:t>
      </w:r>
      <w:r>
        <w:rPr>
          <w:rFonts w:ascii="Times New Roman" w:hAnsi="Times New Roman"/>
        </w:rPr>
        <w:t>were included and significantly higher likelihood of the model with hybridization effect than the model without i</w:t>
      </w:r>
      <w:r>
        <w:rPr>
          <w:rFonts w:ascii="times new roman" w:hAnsi="times new roman"/>
        </w:rPr>
        <w:t>t (G-test</w:t>
      </w:r>
      <w:r>
        <w:rPr>
          <w:rFonts w:ascii="times new roman" w:hAnsi="times new roman"/>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5e</w:t>
      </w:r>
      <w:r>
        <w:rPr>
          <w:rFonts w:ascii="times new roman" w:hAnsi="times new roman"/>
          <w:b w:val="false"/>
          <w:i w:val="false"/>
          <w:caps w:val="false"/>
          <w:smallCaps w:val="false"/>
          <w:color w:val="000000"/>
          <w:spacing w:val="0"/>
          <w:sz w:val="24"/>
          <w:szCs w:val="24"/>
          <w:highlight w:val="yellow"/>
          <w:vertAlign w:val="superscript"/>
        </w:rPr>
        <w:t>-4</w:t>
      </w:r>
      <w:r>
        <w:rPr>
          <w:rFonts w:ascii="times new roman" w:hAnsi="times new roman"/>
          <w:b w:val="false"/>
          <w:i w:val="false"/>
          <w:caps w:val="false"/>
          <w:smallCaps w:val="false"/>
          <w:color w:val="000000"/>
          <w:spacing w:val="0"/>
          <w:sz w:val="24"/>
          <w:szCs w:val="24"/>
          <w:highlight w:val="yellow"/>
        </w:rPr>
        <w:t xml:space="preserve">, P = </w:t>
      </w:r>
      <w:r>
        <w:rPr>
          <w:rFonts w:ascii="times new roman" w:hAnsi="times new roman"/>
        </w:rPr>
        <w:t xml:space="preserve">0.02, hybridization parameter = 0.73; see </w:t>
      </w:r>
      <w:r>
        <w:rPr>
          <w:rFonts w:ascii="times new roman" w:hAnsi="times new roman"/>
          <w:b/>
          <w:bCs/>
          <w:color w:val="000000"/>
        </w:rPr>
        <w:t>Supplementary Figu</w:t>
      </w:r>
      <w:r>
        <w:rPr>
          <w:rFonts w:ascii="Times New Roman" w:hAnsi="Times New Roman"/>
          <w:b/>
          <w:bCs/>
          <w:color w:val="000000"/>
        </w:rPr>
        <w:t>re S6b</w:t>
      </w:r>
      <w:r>
        <w:rPr>
          <w:rFonts w:ascii="Times New Roman" w:hAnsi="Times New Roman"/>
          <w:b w:val="false"/>
          <w:bCs w:val="false"/>
          <w:color w:val="000000"/>
        </w:rPr>
        <w:t>)</w:t>
      </w:r>
      <w:r>
        <w:rPr>
          <w:rFonts w:ascii="Times New Roman" w:hAnsi="Times New Roman"/>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ascii="times new roman" w:hAnsi="times new roman"/>
          <w:highlight w:val="yellow"/>
        </w:rPr>
        <w:t xml:space="preserve">(H2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0.18, P = </w:t>
      </w:r>
      <w:r>
        <w:rPr>
          <w:rFonts w:ascii="times new roman" w:hAnsi="times new roman"/>
          <w:highlight w:val="yellow"/>
        </w:rPr>
        <w:t xml:space="preserve">0.004; H3 vs. H1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6</w:t>
      </w:r>
      <w:r>
        <w:rPr>
          <w:rFonts w:ascii="times new roman" w:hAnsi="times new roman"/>
          <w:b w:val="false"/>
          <w:i w:val="false"/>
          <w:caps w:val="false"/>
          <w:smallCaps w:val="false"/>
          <w:color w:val="000000"/>
          <w:spacing w:val="0"/>
          <w:sz w:val="24"/>
          <w:szCs w:val="24"/>
          <w:highlight w:val="yellow"/>
        </w:rPr>
        <w:t xml:space="preserve"> = 0.73, P = </w:t>
      </w:r>
      <w:r>
        <w:rPr>
          <w:rFonts w:ascii="times new roman" w:hAnsi="times new roman"/>
          <w:highlight w:val="yellow"/>
        </w:rPr>
        <w:t xml:space="preserve">0.006; H1 vs. H0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2</w:t>
      </w:r>
      <w:r>
        <w:rPr>
          <w:rFonts w:ascii="times new roman" w:hAnsi="times new roman"/>
          <w:b w:val="false"/>
          <w:i w:val="false"/>
          <w:caps w:val="false"/>
          <w:smallCaps w:val="false"/>
          <w:color w:val="000000"/>
          <w:spacing w:val="0"/>
          <w:sz w:val="24"/>
          <w:szCs w:val="24"/>
          <w:highlight w:val="yellow"/>
        </w:rPr>
        <w:t xml:space="preserve"> = 0.008, P = 0.004;</w:t>
      </w:r>
      <w:r>
        <w:rPr>
          <w:rFonts w:ascii="times new roman" w:hAnsi="times new roman"/>
          <w:highlight w:val="yellow"/>
        </w:rPr>
        <w:t xml:space="preserve"> H3 vs. H2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4</w:t>
      </w:r>
      <w:r>
        <w:rPr>
          <w:rFonts w:ascii="times new roman" w:hAnsi="times new roman"/>
          <w:b w:val="false"/>
          <w:i w:val="false"/>
          <w:caps w:val="false"/>
          <w:smallCaps w:val="false"/>
          <w:color w:val="000000"/>
          <w:spacing w:val="0"/>
          <w:sz w:val="24"/>
          <w:szCs w:val="24"/>
          <w:highlight w:val="yellow"/>
        </w:rPr>
        <w:t xml:space="preserve"> = 0.27, P = </w:t>
      </w:r>
      <w:r>
        <w:rPr>
          <w:rFonts w:ascii="times new roman" w:hAnsi="times new roman"/>
          <w:highlight w:val="yellow"/>
        </w:rPr>
        <w:t xml:space="preserve">0.008; </w:t>
      </w:r>
      <w:r>
        <w:rPr>
          <w:rFonts w:ascii="times new roman" w:hAnsi="times new roman"/>
          <w:b/>
          <w:bCs/>
        </w:rPr>
        <w:t>Suppleme</w:t>
      </w:r>
      <w:r>
        <w:rPr>
          <w:rFonts w:ascii="Times New Roman" w:hAnsi="Times New Roman"/>
          <w:b/>
          <w:bCs/>
        </w:rPr>
        <w:t>ntary Table S8</w:t>
      </w:r>
      <w:r>
        <w:rPr>
          <w:rFonts w:ascii="Times New Roman" w:hAnsi="Times New Roman"/>
        </w:rPr>
        <w:t>). For both sexes, the fit including the hybridization effect showed significantly higher likelihood than the model without it</w:t>
      </w:r>
      <w:r>
        <w:rPr>
          <w:rFonts w:ascii="times new roman" w:hAnsi="times new roman"/>
        </w:rPr>
        <w:t xml:space="preserve"> (</w:t>
      </w:r>
      <w:r>
        <w:rPr>
          <w:rFonts w:ascii="times new roman" w:hAnsi="times new roman"/>
          <w:highlight w:val="yellow"/>
        </w:rPr>
        <w:t>females</w:t>
      </w:r>
      <w:r>
        <w:rPr>
          <w:rFonts w:ascii="times new roman" w:hAnsi="times new roman"/>
        </w:rPr>
        <w:t xml:space="preserve">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0.003, P =</w:t>
      </w:r>
      <w:r>
        <w:rPr>
          <w:rFonts w:ascii="times new roman" w:hAnsi="times new roman"/>
        </w:rPr>
        <w:t xml:space="preserve">0.04; </w:t>
      </w:r>
      <w:r>
        <w:rPr>
          <w:rFonts w:ascii="times new roman" w:hAnsi="times new roman"/>
          <w:highlight w:val="yellow"/>
        </w:rPr>
        <w:t>males</w:t>
      </w:r>
      <w:r>
        <w:rPr>
          <w:rFonts w:ascii="times new roman" w:hAnsi="times new roman"/>
        </w:rPr>
        <w:t xml:space="preserve"> 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3e</w:t>
      </w:r>
      <w:r>
        <w:rPr>
          <w:rFonts w:ascii="times new roman" w:hAnsi="times new roman"/>
          <w:b w:val="false"/>
          <w:i w:val="false"/>
          <w:caps w:val="false"/>
          <w:smallCaps w:val="false"/>
          <w:color w:val="000000"/>
          <w:spacing w:val="0"/>
          <w:sz w:val="24"/>
          <w:szCs w:val="24"/>
          <w:highlight w:val="yellow"/>
          <w:vertAlign w:val="superscript"/>
        </w:rPr>
        <w:t>-7</w:t>
      </w:r>
      <w:r>
        <w:rPr>
          <w:rFonts w:ascii="times new roman" w:hAnsi="times new roman"/>
          <w:b w:val="false"/>
          <w:i w:val="false"/>
          <w:caps w:val="false"/>
          <w:smallCaps w:val="false"/>
          <w:color w:val="000000"/>
          <w:spacing w:val="0"/>
          <w:sz w:val="24"/>
          <w:szCs w:val="24"/>
          <w:highlight w:val="yellow"/>
        </w:rPr>
        <w:t>, P</w:t>
      </w:r>
      <w:r>
        <w:rPr>
          <w:rFonts w:ascii="times new roman" w:hAnsi="times new roman"/>
          <w:b w:val="false"/>
          <w:i w:val="false"/>
          <w:caps w:val="false"/>
          <w:smallCaps w:val="false"/>
          <w:color w:val="000000"/>
          <w:spacing w:val="0"/>
          <w:sz w:val="24"/>
          <w:szCs w:val="24"/>
        </w:rPr>
        <w:t>&lt;0.001</w:t>
      </w:r>
      <w:r>
        <w:rPr>
          <w:rFonts w:ascii="times new roman" w:hAnsi="times new roman"/>
        </w:rPr>
        <w:t>). Infected hybrids had significantly lower pinworm load than expected if the load was linear across t</w:t>
      </w:r>
      <w:r>
        <w:rPr>
          <w:rFonts w:ascii="Times New Roman" w:hAnsi="Times New Roman"/>
        </w:rPr>
        <w: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w:t>
      </w:r>
      <w:r>
        <w:rPr>
          <w:rFonts w:ascii="Times new roman" w:hAnsi="Times new roman"/>
        </w:rPr>
        <w:t>G-test</w:t>
      </w:r>
      <w:r>
        <w:rPr>
          <w:rFonts w:ascii="Times new roman" w:hAnsi="Times new roman"/>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w:t>
      </w:r>
      <w:r>
        <w:rPr>
          <w:rFonts w:ascii="Times new roman" w:hAnsi="Times new roman"/>
          <w:highlight w:val="yellow"/>
        </w:rPr>
        <w:t>1</w:t>
      </w:r>
      <w:r>
        <w:rPr>
          <w:rFonts w:ascii="Times new roman" w:hAnsi="Times new roman"/>
          <w:b w:val="false"/>
          <w:i w:val="false"/>
          <w:caps w:val="false"/>
          <w:smallCaps w:val="false"/>
          <w:color w:val="000000"/>
          <w:spacing w:val="0"/>
          <w:sz w:val="24"/>
          <w:szCs w:val="24"/>
          <w:highlight w:val="yellow"/>
        </w:rPr>
        <w:t>e</w:t>
      </w:r>
      <w:r>
        <w:rPr>
          <w:rFonts w:ascii="Times new roman" w:hAnsi="Times new roman"/>
          <w:b w:val="false"/>
          <w:i w:val="false"/>
          <w:caps w:val="false"/>
          <w:smallCaps w:val="false"/>
          <w:color w:val="000000"/>
          <w:spacing w:val="0"/>
          <w:sz w:val="24"/>
          <w:szCs w:val="24"/>
          <w:highlight w:val="yellow"/>
          <w:vertAlign w:val="superscript"/>
        </w:rPr>
        <w:t>-9</w:t>
      </w:r>
      <w:r>
        <w:rPr>
          <w:rFonts w:ascii="Times new roman" w:hAnsi="Times new roman"/>
          <w:highlight w:val="yellow"/>
        </w:rPr>
        <w:t xml:space="preserve"> , P</w:t>
      </w:r>
      <w:r>
        <w:rPr>
          <w:rFonts w:ascii="Times new roman" w:hAnsi="Times new roman"/>
        </w:rPr>
        <w:t xml:space="preserve"> &lt;</w:t>
      </w:r>
      <w:r>
        <w:rPr>
          <w:rFonts w:ascii="Times New Roman" w:hAnsi="Times New Roman"/>
        </w:rPr>
        <w:t xml:space="preserve"> 0.001). The comparison between the model with freely varying alpha (fit </w:t>
      </w:r>
      <w:r>
        <w:rPr>
          <w:rFonts w:ascii="times new roman" w:hAnsi="times new roman"/>
        </w:rPr>
        <w:t>1) and that using fixed alpha (fit 2) showed no significant likelihood difference (G-test</w:t>
      </w:r>
      <w:r>
        <w:rPr>
          <w:rFonts w:ascii="times new roman" w:hAnsi="times new roman"/>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0.02</w:t>
      </w:r>
      <w:r>
        <w:rPr>
          <w:rFonts w:ascii="times new roman" w:hAnsi="times new roman"/>
          <w:highlight w:val="yellow"/>
        </w:rPr>
        <w:t>, P</w:t>
      </w:r>
      <w:r>
        <w:rPr>
          <w:rFonts w:ascii="times new roman" w:hAnsi="times new roman"/>
        </w:rPr>
        <w:t xml:space="preserve"> =</w:t>
      </w:r>
      <w:r>
        <w:rPr>
          <w:rFonts w:ascii="Times New Roman" w:hAnsi="Times New Roman"/>
        </w:rPr>
        <w:t xml:space="preserve"> 0.11). Therefore, we can conclude that pinworm load differences found in hybrids in this study are consistent with the results obtained in the previously studied Czech-Bavarian transect (Baird et al., 2012). </w:t>
      </w:r>
    </w:p>
    <w:p>
      <w:pPr>
        <w:pStyle w:val="Normal"/>
        <w:rPr/>
      </w:pPr>
      <w:bookmarkStart w:id="12" w:name="no-evidence-of-body-condition-difference"/>
      <w:bookmarkEnd w:id="12"/>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w:t>
      </w:r>
      <w:r>
        <w:rPr>
          <w:rFonts w:ascii="times new roman" w:hAnsi="times new roman"/>
        </w:rPr>
        <w:t>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w:t>
      </w:r>
      <w:r>
        <w:rPr>
          <w:rFonts w:ascii="times new roman" w:hAnsi="times new roman"/>
          <w:b w:val="false"/>
          <w:i w:val="false"/>
          <w:caps w:val="false"/>
          <w:smallCaps w:val="false"/>
          <w:color w:val="222222"/>
          <w:spacing w:val="0"/>
          <w:sz w:val="24"/>
        </w:rPr>
        <w:t xml:space="preserve">in both parasite datasets considered </w:t>
      </w:r>
      <w:r>
        <w:rPr>
          <w:rFonts w:ascii="times new roman" w:hAnsi="times new roman"/>
          <w:b w:val="false"/>
          <w:i w:val="false"/>
          <w:caps w:val="false"/>
          <w:smallCaps w:val="false"/>
          <w:color w:val="222222"/>
          <w:spacing w:val="0"/>
          <w:sz w:val="24"/>
          <w:highlight w:val="yellow"/>
        </w:rPr>
        <w:t>(</w:t>
      </w:r>
      <w:r>
        <w:rPr>
          <w:rFonts w:ascii="times new roman" w:hAnsi="times new roman"/>
          <w:b w:val="false"/>
          <w:i/>
          <w:iCs/>
          <w:caps w:val="false"/>
          <w:smallCaps w:val="false"/>
          <w:color w:val="222222"/>
          <w:spacing w:val="0"/>
          <w:sz w:val="24"/>
          <w:highlight w:val="yellow"/>
        </w:rPr>
        <w:t>Eimeria</w:t>
      </w:r>
      <w:r>
        <w:rPr>
          <w:rFonts w:ascii="times new roman" w:hAnsi="times new roman"/>
          <w:b w:val="false"/>
          <w:i w:val="false"/>
          <w:iCs/>
          <w:caps w:val="false"/>
          <w:smallCaps w:val="false"/>
          <w:color w:val="222222"/>
          <w:spacing w:val="0"/>
          <w:sz w:val="24"/>
          <w:highlight w:val="yellow"/>
        </w:rPr>
        <w:t xml:space="preserve"> </w:t>
      </w:r>
      <w:r>
        <w:rPr>
          <w:rFonts w:ascii="times new roman" w:hAnsi="times new roman"/>
          <w:b w:val="false"/>
          <w:i w:val="false"/>
          <w:caps w:val="false"/>
          <w:smallCaps w:val="false"/>
          <w:color w:val="222222"/>
          <w:spacing w:val="0"/>
          <w:sz w:val="24"/>
          <w:highlight w:val="yellow"/>
        </w:rPr>
        <w:t xml:space="preserve">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0.29, P = </w:t>
      </w:r>
      <w:r>
        <w:rPr>
          <w:rFonts w:ascii="times new roman" w:hAnsi="times new roman"/>
          <w:b w:val="false"/>
          <w:i w:val="false"/>
          <w:caps w:val="false"/>
          <w:smallCaps w:val="false"/>
          <w:color w:val="222222"/>
          <w:spacing w:val="0"/>
          <w:sz w:val="24"/>
          <w:highlight w:val="yellow"/>
        </w:rPr>
        <w:t xml:space="preserve">0.41; </w:t>
      </w:r>
      <w:r>
        <w:rPr>
          <w:rFonts w:ascii="times new roman" w:hAnsi="times new roman"/>
          <w:b w:val="false"/>
          <w:i w:val="false"/>
          <w:iCs w:val="false"/>
          <w:caps w:val="false"/>
          <w:smallCaps w:val="false"/>
          <w:color w:val="222222"/>
          <w:spacing w:val="0"/>
          <w:sz w:val="24"/>
          <w:highlight w:val="yellow"/>
        </w:rPr>
        <w:t>pinworms</w:t>
      </w:r>
      <w:r>
        <w:rPr>
          <w:rFonts w:ascii="times new roman" w:hAnsi="times new roman"/>
          <w:b w:val="false"/>
          <w:i w:val="false"/>
          <w:iCs/>
          <w:caps w:val="false"/>
          <w:smallCaps w:val="false"/>
          <w:color w:val="222222"/>
          <w:spacing w:val="0"/>
          <w:sz w:val="24"/>
          <w:highlight w:val="yellow"/>
        </w:rPr>
        <w:t xml:space="preserve"> </w:t>
      </w:r>
      <w:r>
        <w:rPr>
          <w:rFonts w:ascii="times new roman" w:hAnsi="times new roman"/>
          <w:b w:val="false"/>
          <w:i w:val="false"/>
          <w:caps w:val="false"/>
          <w:smallCaps w:val="false"/>
          <w:color w:val="222222"/>
          <w:spacing w:val="0"/>
          <w:sz w:val="24"/>
          <w:highlight w:val="yellow"/>
        </w:rPr>
        <w:t xml:space="preserve">G-test: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2.81, P = </w:t>
      </w:r>
      <w:r>
        <w:rPr>
          <w:rFonts w:ascii="times new roman" w:hAnsi="times new roman"/>
          <w:b w:val="false"/>
          <w:i w:val="false"/>
          <w:caps w:val="false"/>
          <w:smallCaps w:val="false"/>
          <w:color w:val="222222"/>
          <w:spacing w:val="0"/>
          <w:sz w:val="24"/>
          <w:highlight w:val="yellow"/>
        </w:rPr>
        <w:t>0.91)</w:t>
      </w:r>
      <w:r>
        <w:rPr>
          <w:rFonts w:ascii="times new roman" w:hAnsi="times new roman"/>
        </w:rPr>
        <w:t xml:space="preserve">.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w:t>
      </w:r>
      <w:r>
        <w:rPr>
          <w:rFonts w:ascii="times new roman" w:hAnsi="times new roman"/>
          <w:b w:val="false"/>
          <w:i w:val="false"/>
          <w:caps w:val="false"/>
          <w:smallCaps w:val="false"/>
          <w:color w:val="222222"/>
          <w:spacing w:val="0"/>
          <w:sz w:val="24"/>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0.65, P</w:t>
      </w:r>
      <w:r>
        <w:rPr>
          <w:rFonts w:ascii="times new roman" w:hAnsi="times new roman"/>
        </w:rPr>
        <w:t xml:space="preserve"> = 0.58) nor </w:t>
      </w:r>
      <w:r>
        <w:rPr>
          <w:rFonts w:ascii="times new roman" w:hAnsi="times new roman"/>
          <w:i/>
        </w:rPr>
        <w:t>Eimeria</w:t>
      </w:r>
      <w:r>
        <w:rPr>
          <w:rFonts w:ascii="times new roman" w:hAnsi="times new roman"/>
        </w:rPr>
        <w:t xml:space="preserve"> spp. non-infected individuals (G-test</w:t>
      </w:r>
      <w:r>
        <w:rPr>
          <w:rFonts w:ascii="times new roman" w:hAnsi="times new roman"/>
          <w:b w:val="false"/>
          <w:i w:val="false"/>
          <w:caps w:val="false"/>
          <w:smallCaps w:val="false"/>
          <w:color w:val="222222"/>
          <w:spacing w:val="0"/>
          <w:sz w:val="24"/>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2.69, P</w:t>
      </w:r>
      <w:r>
        <w:rPr>
          <w:rFonts w:ascii="times new roman" w:hAnsi="times new roman"/>
        </w:rPr>
        <w:t xml:space="preserve"> = 0.90) showed a hybridization effect in body condition index (</w:t>
      </w:r>
      <w:r>
        <w:rPr>
          <w:rFonts w:ascii="times new roman" w:hAnsi="times new roman"/>
          <w:b/>
          <w:bCs/>
          <w:color w:val="000000"/>
        </w:rPr>
        <w:t>Figure 4b</w:t>
      </w:r>
      <w:r>
        <w:rPr>
          <w:rFonts w:ascii="times new roman" w:hAnsi="times new roman"/>
        </w:rPr>
        <w:t>). The same was true for pinworm infected individuals (G-test</w:t>
      </w:r>
      <w:r>
        <w:rPr>
          <w:rFonts w:ascii="times new roman" w:hAnsi="times new roman"/>
          <w:b w:val="false"/>
          <w:i w:val="false"/>
          <w:caps w:val="false"/>
          <w:smallCaps w:val="false"/>
          <w:color w:val="222222"/>
          <w:spacing w:val="0"/>
          <w:sz w:val="24"/>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0.34, P</w:t>
      </w:r>
      <w:r>
        <w:rPr>
          <w:rFonts w:ascii="times new roman" w:hAnsi="times new roman"/>
        </w:rPr>
        <w:t xml:space="preserve"> = 0.44) and pinworm non-infected individuals (G-test</w:t>
      </w:r>
      <w:r>
        <w:rPr>
          <w:rFonts w:ascii="times new roman" w:hAnsi="times new roman"/>
          <w:b w:val="false"/>
          <w:i w:val="false"/>
          <w:caps w:val="false"/>
          <w:smallCaps w:val="false"/>
          <w:color w:val="222222"/>
          <w:spacing w:val="0"/>
          <w:sz w:val="24"/>
          <w:highlight w:val="yellow"/>
        </w:rPr>
        <w:t xml:space="preserve">: </w:t>
      </w:r>
      <w:r>
        <w:rPr>
          <w:rFonts w:ascii="times new roman" w:hAnsi="times new roman"/>
          <w:b w:val="false"/>
          <w:i w:val="false"/>
          <w:iCs/>
          <w:caps w:val="false"/>
          <w:smallCaps w:val="false"/>
          <w:color w:val="000000"/>
          <w:spacing w:val="0"/>
          <w:sz w:val="24"/>
          <w:szCs w:val="24"/>
          <w:highlight w:val="yellow"/>
        </w:rPr>
        <w:t>χ</w:t>
      </w:r>
      <w:r>
        <w:rPr>
          <w:rFonts w:ascii="times new roman" w:hAnsi="times new roman"/>
          <w:b w:val="false"/>
          <w:i w:val="false"/>
          <w:caps w:val="false"/>
          <w:smallCaps w:val="false"/>
          <w:color w:val="000000"/>
          <w:spacing w:val="0"/>
          <w:sz w:val="24"/>
          <w:szCs w:val="24"/>
          <w:highlight w:val="yellow"/>
          <w:vertAlign w:val="superscript"/>
        </w:rPr>
        <w:t>2</w:t>
      </w:r>
      <w:r>
        <w:rPr>
          <w:rFonts w:ascii="times new roman" w:hAnsi="times new roman"/>
          <w:b w:val="false"/>
          <w:i w:val="false"/>
          <w:caps w:val="false"/>
          <w:smallCaps w:val="false"/>
          <w:color w:val="000000"/>
          <w:spacing w:val="0"/>
          <w:sz w:val="24"/>
          <w:szCs w:val="24"/>
          <w:highlight w:val="yellow"/>
          <w:vertAlign w:val="subscript"/>
        </w:rPr>
        <w:t>1</w:t>
      </w:r>
      <w:r>
        <w:rPr>
          <w:rFonts w:ascii="times new roman" w:hAnsi="times new roman"/>
          <w:b w:val="false"/>
          <w:i w:val="false"/>
          <w:caps w:val="false"/>
          <w:smallCaps w:val="false"/>
          <w:color w:val="000000"/>
          <w:spacing w:val="0"/>
          <w:sz w:val="24"/>
          <w:szCs w:val="24"/>
          <w:highlight w:val="yellow"/>
        </w:rPr>
        <w:t xml:space="preserve"> = 4.12, P</w:t>
      </w:r>
      <w:r>
        <w:rPr>
          <w:rFonts w:ascii="times new roman" w:hAnsi="times new roman"/>
        </w:rPr>
        <w:t xml:space="preserve"> = 0.96; </w:t>
      </w:r>
      <w:r>
        <w:rPr>
          <w:rFonts w:ascii="times new roman" w:hAnsi="times new roman"/>
          <w:b/>
          <w:bCs/>
          <w:color w:val="000000"/>
        </w:rPr>
        <w:t>Figure 4c</w:t>
      </w:r>
      <w:r>
        <w:rPr>
          <w:rFonts w:ascii="times new roman" w:hAnsi="times new roman"/>
        </w:rPr>
        <w:t xml:space="preserve">). </w:t>
      </w:r>
    </w:p>
    <w:p>
      <w:pPr>
        <w:pStyle w:val="Normal"/>
        <w:rPr/>
      </w:pPr>
      <w:bookmarkStart w:id="13" w:name="discussion"/>
      <w:bookmarkEnd w:id="13"/>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ecological differences across the HMHZ, as we did not find the probability of infection to be similarly reduced in hybrid hosts, and no overall increase or decrease </w:t>
      </w:r>
      <w:r>
        <w:rPr>
          <w:rFonts w:ascii="Times New Roman" w:hAnsi="Times New Roman"/>
          <w:highlight w:val="yellow"/>
        </w:rPr>
        <w:t>in</w:t>
      </w:r>
      <w:r>
        <w:rPr>
          <w:rFonts w:ascii="Times New Roman" w:hAnsi="Times New Roman"/>
        </w:rPr>
        <w:t xml:space="preserve"> mortality towards the zone centre. </w:t>
      </w:r>
    </w:p>
    <w:p>
      <w:pPr>
        <w:pStyle w:val="Normal"/>
        <w:rPr/>
      </w:pPr>
      <w:bookmarkStart w:id="14" w:name="docs-internal-guid-2c1fbd6a-7fff-7b99-ff"/>
      <w:bookmarkEnd w:id="14"/>
      <w:r>
        <w:rPr>
          <w:rFonts w:ascii="Times New Roman" w:hAnsi="Times New Roman"/>
          <w:color w:val="000000"/>
        </w:rPr>
        <w:t>House mouse hybrids in the European HMHZ are not first-generation crossings, but rather genetically complex “late generation” recombinants. This means that each of their genomes presents a complex admixture of both Mmm and M</w:t>
      </w:r>
      <w:r>
        <w:rPr>
          <w:rFonts w:ascii="Times New Roman" w:hAnsi="Times New Roman"/>
          <w:color w:val="000000"/>
          <w:sz w:val="24"/>
          <w:szCs w:val="24"/>
        </w:rPr>
        <w:t xml:space="preserve">md </w:t>
      </w:r>
      <w:r>
        <w:rPr>
          <w:rFonts w:eastAsia="Times New Roman" w:cs="Times New Roman" w:ascii="Times New Roman" w:hAnsi="Times New Roman"/>
          <w:b w:val="false"/>
          <w:i w:val="false"/>
          <w:caps w:val="false"/>
          <w:smallCaps w:val="false"/>
          <w:strike w:val="false"/>
          <w:dstrike w:val="false"/>
          <w:color w:val="00000A"/>
          <w:position w:val="0"/>
          <w:sz w:val="24"/>
          <w:sz w:val="24"/>
          <w:szCs w:val="24"/>
          <w:u w:val="none"/>
          <w:shd w:fill="auto" w:val="clear"/>
          <w:vertAlign w:val="baseline"/>
        </w:rPr>
        <w:t xml:space="preserve">tracts </w:t>
      </w:r>
      <w:r>
        <w:rPr>
          <w:rFonts w:ascii="Times New Roman" w:hAnsi="Times New Roman"/>
          <w:color w:val="000000"/>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b w:val="false"/>
          <w:i w:val="false"/>
          <w:caps w:val="false"/>
          <w:smallCaps w:val="false"/>
          <w:color w:val="auto"/>
          <w:spacing w:val="0"/>
          <w:sz w:val="24"/>
        </w:rPr>
        <w:t xml:space="preserve">To understand the </w:t>
      </w:r>
      <w:r>
        <w:rPr>
          <w:rFonts w:ascii="Times new roman" w:hAnsi="Times new roman"/>
          <w:b w:val="false"/>
          <w:i w:val="false"/>
          <w:caps w:val="false"/>
          <w:smallCaps w:val="false"/>
          <w:color w:val="auto"/>
          <w:spacing w:val="0"/>
          <w:sz w:val="24"/>
          <w:highlight w:val="yellow"/>
        </w:rPr>
        <w:t>impact of immune diversity in hybrid hosts on parasites</w:t>
      </w:r>
      <w:r>
        <w:rPr>
          <w:rFonts w:ascii="Times new roman" w:hAnsi="Times new roman"/>
          <w:b w:val="false"/>
          <w:i w:val="false"/>
          <w:caps w:val="false"/>
          <w:smallCaps w:val="false"/>
          <w:color w:val="auto"/>
          <w:spacing w:val="0"/>
          <w:sz w:val="24"/>
        </w:rPr>
        <w:t xml:space="preserve">, it is necessary to test different types </w:t>
      </w:r>
      <w:r>
        <w:rPr>
          <w:rFonts w:ascii="Times new roman" w:hAnsi="Times new roman"/>
          <w:b w:val="false"/>
          <w:i w:val="false"/>
          <w:caps w:val="false"/>
          <w:smallCaps w:val="false"/>
          <w:color w:val="auto"/>
          <w:spacing w:val="0"/>
          <w:sz w:val="24"/>
          <w:highlight w:val="yellow"/>
        </w:rPr>
        <w:t>of</w:t>
      </w:r>
      <w:r>
        <w:rPr>
          <w:rFonts w:ascii="Times new roman" w:hAnsi="Times new roman"/>
          <w:b w:val="false"/>
          <w:i w:val="false"/>
          <w:caps w:val="false"/>
          <w:smallCaps w:val="false"/>
          <w:color w:val="auto"/>
          <w:spacing w:val="0"/>
          <w:sz w:val="24"/>
        </w:rPr>
        <w:t xml:space="preserve"> parasites </w:t>
      </w:r>
      <w:r>
        <w:rPr>
          <w:rFonts w:ascii="Times New Roman" w:hAnsi="Times New Roman"/>
        </w:rPr>
        <w:t>.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rPr>
        <w:t>s (Jankovic, Sher &amp; Yap, 2001; Maizels &amp; Holland, 1998))</w:t>
      </w:r>
      <w:r>
        <w:rPr>
          <w:rFonts w:ascii="Times New Roman" w:hAnsi="Times New Roman"/>
        </w:rPr>
        <w:t xml:space="preserve">. 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pinworms loads in hybrids of our novel transect of the HMHZ. </w:t>
      </w:r>
      <w:bookmarkStart w:id="15" w:name="docs-internal-guid-5a4dc4d4-7fff-2cd8-2d"/>
      <w:bookmarkEnd w:id="15"/>
      <w:r>
        <w:rPr>
          <w:rFonts w:ascii="Times New Roman" w:hAnsi="Times New Roman"/>
          <w:color w:val="000000"/>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w:t>
      </w:r>
      <w:r>
        <w:rPr>
          <w:rFonts w:ascii="Times new roman" w:hAnsi="Times new roman"/>
          <w:b w:val="false"/>
          <w:i w:val="false"/>
          <w:caps w:val="false"/>
          <w:smallCaps w:val="false"/>
          <w:color w:val="auto"/>
          <w:spacing w:val="0"/>
          <w:sz w:val="24"/>
          <w:highlight w:val="yellow"/>
        </w:rPr>
        <w:t>Geographical locations of the HMHZ likely present different ecological conditions underlying such differences. Despite this fact, the direction (lower intensity in hybrids)</w:t>
      </w:r>
      <w:r>
        <w:rPr>
          <w:rFonts w:ascii="Times New Roman" w:hAnsi="Times New Roman"/>
          <w:color w:val="000000"/>
        </w:rPr>
        <w:t xml:space="preserve"> and strength of the hybridization effect were very similar in the two study areas. This similarity reinforces our confidence that reduced parasite load in mouse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parasite load 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 Hakkarainen et al., 2007).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An experimental setup </w:t>
      </w:r>
      <w:r>
        <w:rPr>
          <w:rFonts w:eastAsia="Times New Roman" w:cs="Times New Roman" w:ascii="Times New Roman" w:hAnsi="Times New Roman"/>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 xml:space="preserve">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w:t>
      </w:r>
      <w:bookmarkStart w:id="16" w:name="_GoBack"/>
      <w:bookmarkEnd w:id="16"/>
      <w:r>
        <w:rPr>
          <w:rFonts w:ascii="Times New Roman" w:hAnsi="Times New Roman"/>
        </w:rPr>
        <w:t>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7" w:name="references"/>
      <w:bookmarkEnd w:id="17"/>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rPr>
        <w:t xml:space="preserve">Behnke, J. M. (1975). Aspiculuris tetraptera in wild </w:t>
      </w:r>
      <w:r>
        <w:rPr>
          <w:rFonts w:ascii="Times New Roman" w:hAnsi="Times New Roman"/>
          <w:i/>
          <w:iCs/>
          <w:color w:val="181817"/>
        </w:rPr>
        <w:t>Mus musculus</w:t>
      </w:r>
      <w:r>
        <w:rPr>
          <w:rFonts w:ascii="Times New Roman" w:hAnsi="Times New Roman"/>
          <w:color w:val="181817"/>
        </w:rPr>
        <w:t xml:space="preserve">. The prevalence of infection in male and female mice. </w:t>
      </w:r>
      <w:r>
        <w:rPr>
          <w:rFonts w:ascii="Times New Roman" w:hAnsi="Times New Roman"/>
          <w:i/>
          <w:color w:val="181817"/>
        </w:rPr>
        <w:t>Journal of Helminthology,</w:t>
      </w:r>
      <w:r>
        <w:rPr>
          <w:rFonts w:ascii="Times New Roman" w:hAnsi="Times New Roman"/>
          <w:color w:val="181817"/>
        </w:rPr>
        <w:t xml:space="preserve"> </w:t>
      </w:r>
      <w:r>
        <w:rPr>
          <w:rFonts w:ascii="Times New Roman" w:hAnsi="Times New Roman"/>
          <w:i/>
          <w:color w:val="181817"/>
        </w:rPr>
        <w:t>49</w:t>
      </w:r>
      <w:r>
        <w:rPr>
          <w:rFonts w:ascii="Times New Roman" w:hAnsi="Times New Roman"/>
          <w:color w:val="181817"/>
        </w:rPr>
        <w:t>(2), 85-90.</w:t>
        <w:tab/>
        <w:t xml:space="preserve"> doi:10.1017/S0022149X0002318X</w:t>
      </w:r>
    </w:p>
    <w:p>
      <w:pPr>
        <w:pStyle w:val="Normal"/>
        <w:spacing w:before="0" w:after="202"/>
        <w:rPr/>
      </w:pPr>
      <w:r>
        <w:rPr>
          <w:rFonts w:ascii="Times New Roman" w:hAnsi="Times New Roman"/>
          <w:color w:val="181817"/>
        </w:rPr>
        <w:t xml:space="preserve">Behnke, J. M. (1976). Aspiculuris tetraptera in wild </w:t>
      </w:r>
      <w:r>
        <w:rPr>
          <w:rFonts w:ascii="Times New Roman" w:hAnsi="Times New Roman"/>
          <w:i/>
          <w:iCs/>
          <w:color w:val="181817"/>
        </w:rPr>
        <w:t>Mus musculus</w:t>
      </w:r>
      <w:r>
        <w:rPr>
          <w:rFonts w:ascii="Times New Roman" w:hAnsi="Times New Roman"/>
          <w:color w:val="181817"/>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rPr>
        <w:t>Kriska, T. (1993). Parasitic helminths of house mouse (</w:t>
      </w:r>
      <w:r>
        <w:rPr>
          <w:rFonts w:ascii="Times New Roman" w:hAnsi="Times New Roman"/>
          <w:i/>
          <w:iCs/>
          <w:color w:val="000000"/>
        </w:rPr>
        <w:t>Mus musculus Linnaeus</w:t>
      </w:r>
      <w:r>
        <w:rPr>
          <w:rFonts w:ascii="Times New Roman" w:hAnsi="Times New Roman"/>
          <w:color w:val="000000"/>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rPr>
        <w:t xml:space="preserve">Ressouche, L., Ganem, G., Derothe, J. M., Searle, J., Renaud, F. &amp; Moulia, C. (1998). Host chromosomal evolution and parasites of the house mouse </w:t>
      </w:r>
      <w:r>
        <w:rPr>
          <w:rFonts w:ascii="Times New Roman" w:hAnsi="Times New Roman"/>
          <w:i/>
          <w:iCs/>
          <w:color w:val="000000"/>
        </w:rPr>
        <w:t>Mus musculus domesticus</w:t>
      </w:r>
      <w:r>
        <w:rPr>
          <w:rFonts w:ascii="Times New Roman" w:hAnsi="Times New Roman"/>
          <w:color w:val="000000"/>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TextBody"/>
        <w:widowControl/>
        <w:numPr>
          <w:ilvl w:val="0"/>
          <w:numId w:val="0"/>
        </w:numPr>
        <w:spacing w:before="0" w:after="202"/>
        <w:ind w:left="0" w:right="0" w:hanging="0"/>
        <w:jc w:val="left"/>
        <w:rPr>
          <w:rFonts w:ascii="Times New Roman" w:hAnsi="Times New Roman"/>
        </w:rPr>
      </w:pPr>
      <w:r>
        <w:rPr>
          <w:rFonts w:ascii="Times new roman" w:hAnsi="Times new roman"/>
          <w:b w:val="false"/>
          <w:bCs w:val="false"/>
          <w:i w:val="false"/>
          <w:caps w:val="false"/>
          <w:smallCaps w:val="false"/>
          <w:color w:val="auto"/>
          <w:spacing w:val="0"/>
          <w:sz w:val="24"/>
          <w:szCs w:val="24"/>
          <w:highlight w:val="yellow"/>
        </w:rPr>
        <w:t xml:space="preserve">Theodosopoulos, A. N., Hund, A. K. &amp; Taylor, S. A. (2018). Parasites and host species barriers in animal </w:t>
      </w:r>
      <w:r>
        <w:rPr>
          <w:rFonts w:ascii="Times new roman" w:hAnsi="Times new roman"/>
          <w:b w:val="false"/>
          <w:bCs w:val="false"/>
          <w:i w:val="false"/>
          <w:caps w:val="false"/>
          <w:smallCaps w:val="false"/>
          <w:color w:val="auto"/>
          <w:spacing w:val="0"/>
          <w:sz w:val="24"/>
          <w:szCs w:val="24"/>
          <w:highlight w:val="yellow"/>
          <w:u w:val="none"/>
        </w:rPr>
        <w:t>hybrid zones. Trends in Ecology &amp; Evolution, 34, 19–30. https://doi.org/10.1016/j.tree.2018.09.011</w:t>
      </w:r>
    </w:p>
    <w:p>
      <w:pPr>
        <w:pStyle w:val="TextBody"/>
        <w:widowControl/>
        <w:numPr>
          <w:ilvl w:val="0"/>
          <w:numId w:val="0"/>
        </w:numPr>
        <w:spacing w:before="0" w:after="202"/>
        <w:ind w:left="0" w:right="0" w:hanging="0"/>
        <w:jc w:val="left"/>
        <w:rPr/>
      </w:pPr>
      <w:r>
        <w:rPr>
          <w:rFonts w:ascii="Times new roman" w:hAnsi="Times new roman"/>
          <w:b w:val="false"/>
          <w:bCs w:val="false"/>
          <w:i w:val="false"/>
          <w:caps w:val="false"/>
          <w:smallCaps w:val="false"/>
          <w:color w:val="auto"/>
          <w:spacing w:val="0"/>
          <w:sz w:val="24"/>
          <w:szCs w:val="24"/>
        </w:rPr>
        <w:t>T</w:t>
      </w:r>
      <w:r>
        <w:rPr>
          <w:rFonts w:ascii="Times New Roman" w:hAnsi="Times New Roman"/>
        </w:rPr>
        <w: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8" w:name="tables"/>
      <w:bookmarkEnd w:id="18"/>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5"/>
        <w:gridCol w:w="1010"/>
        <w:gridCol w:w="1795"/>
        <w:gridCol w:w="1693"/>
        <w:gridCol w:w="1693"/>
        <w:gridCol w:w="1693"/>
        <w:gridCol w:w="1693"/>
        <w:gridCol w:w="1690"/>
      </w:tblGrid>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3"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w:t>
            </w:r>
            <w:r>
              <w:rPr>
                <w:rFonts w:ascii="Times New Roman" w:hAnsi="Times New Roman"/>
              </w:rPr>
              <w:t xml:space="preserve"> sp.</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 ferrisi</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H0</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2.33</w:t>
            </w:r>
          </w:p>
        </w:tc>
        <w:tc>
          <w:tcPr>
            <w:tcW w:w="3383"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5"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5"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90"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5"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5"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90"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9" w:name="figure-legends"/>
      <w:bookmarkEnd w:id="19"/>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(point color indicates mice genotype, on a gradient ranging from blue (pure Mmd) to red (pure Mmm); increasing number of mice sampled at one locality is displayed as decrease in transparency). The predicted probability of infection does not differ in more admixed mice (b) for males (green) and females (orange)(</w:t>
      </w:r>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xml:space="preserve">: grey dotted line). </w:t>
      </w:r>
      <w:r>
        <w:rPr>
          <w:rFonts w:ascii="Times New Roman" w:hAnsi="Times New Roman"/>
          <w:i/>
        </w:rPr>
        <w:t>Eimeria</w:t>
      </w:r>
      <w:r>
        <w:rPr>
          <w:rFonts w:ascii="Times New Roman" w:hAnsi="Times New Roman"/>
        </w:rPr>
        <w:t xml:space="preserve"> intensity (white dots = individual mice)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(point color indicates mice genotype, on a gradient ranging from blue (pure Mmd) to red (pure Mmm); increased number of mice sampled at one point displayed as decrease in transparency). The predicted probability of infection does not differ in more admixed mice (b) for males (green) and females (orange)(</w:t>
      </w:r>
      <w:bookmarkStart w:id="20" w:name="docs-internal-guid-f56c7d2b-7fff-0977-1d"/>
      <w:bookmarkEnd w:id="20"/>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grey dotted line). Pinworm intensity (white dots = individual mice)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name w:val="ListLabel 7"/>
    <w:qFormat/>
    <w:rPr>
      <w:rFonts w:ascii="Times New Roman" w:hAnsi="Times New Roman"/>
      <w:color w:val="00000A"/>
      <w:highlight w:val="yellow"/>
    </w:rPr>
  </w:style>
  <w:style w:type="character" w:styleId="ListLabel8">
    <w:name w:val="ListLabel 8"/>
    <w:qFormat/>
    <w:rPr>
      <w:rFonts w:ascii="Times New Roman" w:hAnsi="Times New Roman"/>
    </w:rPr>
  </w:style>
  <w:style w:type="character" w:styleId="ListLabel9">
    <w:name w:val="ListLabel 9"/>
    <w:qFormat/>
    <w:rPr>
      <w:rFonts w:ascii="Times New Roman" w:hAnsi="Times New Roman"/>
      <w:color w:val="auto"/>
    </w:rPr>
  </w:style>
  <w:style w:type="character" w:styleId="ListLabel10">
    <w:name w:val="ListLabel 10"/>
    <w:qFormat/>
    <w:rPr>
      <w:rFonts w:ascii="Times New Roman" w:hAnsi="Times New Roman"/>
      <w:color w:val="00000A"/>
      <w:highlight w:val="yellow"/>
    </w:rPr>
  </w:style>
  <w:style w:type="character" w:styleId="ListLabel11">
    <w:name w:val="ListLabel 11"/>
    <w:qFormat/>
    <w:rPr>
      <w:rFonts w:ascii="Times New Roman" w:hAnsi="Times New Roman"/>
    </w:rPr>
  </w:style>
  <w:style w:type="character" w:styleId="ListLabel12">
    <w:name w:val="ListLabel 12"/>
    <w:qFormat/>
    <w:rPr>
      <w:rFonts w:ascii="Times New Roman" w:hAnsi="Times New Roman"/>
      <w:color w:val="auto"/>
    </w:rPr>
  </w:style>
  <w:style w:type="character" w:styleId="ListLabel13">
    <w:name w:val="ListLabel 13"/>
    <w:qFormat/>
    <w:rPr>
      <w:rFonts w:ascii="Times New Roman" w:hAnsi="Times New Roman"/>
      <w:color w:val="00000A"/>
      <w:highlight w:val="yellow"/>
    </w:rPr>
  </w:style>
  <w:style w:type="character" w:styleId="ListLabel14">
    <w:name w:val="ListLabel 14"/>
    <w:qFormat/>
    <w:rPr>
      <w:rFonts w:ascii="Times New Roman" w:hAnsi="Times New Roman"/>
    </w:rPr>
  </w:style>
  <w:style w:type="character" w:styleId="ListLabel15">
    <w:name w:val="ListLabel 15"/>
    <w:qFormat/>
    <w:rPr>
      <w:rFonts w:ascii="Times New Roman" w:hAnsi="Times New Roman"/>
      <w:color w:val="auto"/>
    </w:rPr>
  </w:style>
  <w:style w:type="character" w:styleId="ListLabel16">
    <w:name w:val="ListLabel 16"/>
    <w:qFormat/>
    <w:rPr>
      <w:rFonts w:ascii="Times New Roman" w:hAnsi="Times New Roman"/>
      <w:color w:val="00000A"/>
    </w:rPr>
  </w:style>
  <w:style w:type="character" w:styleId="ListLabel17">
    <w:name w:val="ListLabel 17"/>
    <w:qFormat/>
    <w:rPr>
      <w:rFonts w:ascii="Times New Roman" w:hAnsi="Times New Roman"/>
    </w:rPr>
  </w:style>
  <w:style w:type="character" w:styleId="ListLabel18">
    <w:name w:val="ListLabel 18"/>
    <w:qFormat/>
    <w:rPr>
      <w:rFonts w:ascii="Times New Roman" w:hAnsi="Times New Roman"/>
      <w:color w:val="auto"/>
    </w:rPr>
  </w:style>
  <w:style w:type="character" w:styleId="ListLabel19">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olor w:val="00000A"/>
    </w:rPr>
  </w:style>
  <w:style w:type="character" w:styleId="ListLabel30">
    <w:name w:val="ListLabel 30"/>
    <w:qFormat/>
    <w:rPr>
      <w:rFonts w:ascii="Times New Roman" w:hAnsi="Times New Roman"/>
    </w:rPr>
  </w:style>
  <w:style w:type="character" w:styleId="ListLabel31">
    <w:name w:val="ListLabel 31"/>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LibreOffice/6.1.5.2$Linux_X86_64 LibreOffice_project/10$Build-2</Application>
  <Pages>45</Pages>
  <Words>10656</Words>
  <Characters>60039</Characters>
  <CharactersWithSpaces>70534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2019-10-07T12:47:00Z</dcterms:created>
  <dc:creator>Stuart Baird</dc:creator>
  <dc:description/>
  <dc:language>en-US</dc:language>
  <cp:lastModifiedBy/>
  <dcterms:modified xsi:type="dcterms:W3CDTF">2019-11-12T16:01:19Z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